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 xml:space="preserve">证券代码：603232             证券简称：格尔软件    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        公告编号：</w:t>
      </w:r>
      <w:r>
        <w:rPr>
          <w:rFonts w:ascii="Times New Roman" w:hAnsi="Times New Roman" w:cs="Times New Roman"/>
          <w:szCs w:val="21"/>
          <w:highlight w:val="none"/>
        </w:rPr>
        <w:t>202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1</w:t>
      </w:r>
      <w:r>
        <w:rPr>
          <w:rFonts w:ascii="Times New Roman" w:hAnsi="Times New Roman" w:cs="Times New Roman"/>
          <w:szCs w:val="21"/>
          <w:highlight w:val="none"/>
        </w:rPr>
        <w:t>-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045</w:t>
      </w:r>
    </w:p>
    <w:p>
      <w:pPr>
        <w:autoSpaceDE w:val="0"/>
        <w:autoSpaceDN w:val="0"/>
        <w:adjustRightInd w:val="0"/>
        <w:jc w:val="left"/>
        <w:rPr>
          <w:rFonts w:ascii="黑体" w:hAnsi="黑体" w:cs="黑体"/>
          <w:color w:val="000000"/>
          <w:kern w:val="0"/>
          <w:sz w:val="24"/>
          <w:szCs w:val="24"/>
        </w:rPr>
      </w:pP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 w:cs="黑体"/>
          <w:color w:val="FF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FF0000"/>
          <w:kern w:val="0"/>
          <w:sz w:val="32"/>
          <w:szCs w:val="32"/>
          <w:highlight w:val="none"/>
        </w:rPr>
        <w:t>格尔软件</w:t>
      </w:r>
      <w:r>
        <w:rPr>
          <w:rFonts w:ascii="黑体" w:hAnsi="黑体" w:eastAsia="黑体" w:cs="黑体"/>
          <w:color w:val="FF0000"/>
          <w:kern w:val="0"/>
          <w:sz w:val="32"/>
          <w:szCs w:val="32"/>
          <w:highlight w:val="none"/>
        </w:rPr>
        <w:t>股份有限公司</w:t>
      </w:r>
    </w:p>
    <w:p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黑体"/>
          <w:color w:val="FF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FF0000"/>
          <w:kern w:val="0"/>
          <w:sz w:val="32"/>
          <w:szCs w:val="32"/>
          <w:highlight w:val="none"/>
        </w:rPr>
        <w:t>关于</w:t>
      </w:r>
      <w:r>
        <w:rPr>
          <w:rFonts w:hint="eastAsia" w:ascii="黑体" w:hAnsi="黑体" w:eastAsia="黑体" w:cs="黑体"/>
          <w:color w:val="FF0000"/>
          <w:kern w:val="0"/>
          <w:sz w:val="32"/>
          <w:szCs w:val="32"/>
          <w:highlight w:val="none"/>
          <w:lang w:val="en-US" w:eastAsia="zh-CN"/>
        </w:rPr>
        <w:t>实际控制人</w:t>
      </w:r>
      <w:r>
        <w:rPr>
          <w:rFonts w:hint="eastAsia" w:ascii="黑体" w:hAnsi="黑体" w:eastAsia="黑体" w:cs="黑体"/>
          <w:color w:val="FF0000"/>
          <w:kern w:val="0"/>
          <w:sz w:val="32"/>
          <w:szCs w:val="32"/>
          <w:highlight w:val="none"/>
          <w:lang w:eastAsia="zh-CN"/>
        </w:rPr>
        <w:t>的一致行动人</w:t>
      </w:r>
    </w:p>
    <w:p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黑体"/>
          <w:color w:val="FF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FF0000"/>
          <w:kern w:val="0"/>
          <w:sz w:val="32"/>
          <w:szCs w:val="32"/>
          <w:highlight w:val="none"/>
        </w:rPr>
        <w:t>减持比例</w:t>
      </w:r>
      <w:r>
        <w:rPr>
          <w:rFonts w:hint="eastAsia" w:ascii="黑体" w:hAnsi="黑体" w:eastAsia="黑体" w:cs="黑体"/>
          <w:color w:val="FF0000"/>
          <w:kern w:val="0"/>
          <w:sz w:val="32"/>
          <w:szCs w:val="32"/>
          <w:highlight w:val="none"/>
          <w:lang w:val="en-US" w:eastAsia="zh-CN"/>
        </w:rPr>
        <w:t>达到</w:t>
      </w:r>
      <w:r>
        <w:rPr>
          <w:rFonts w:hint="eastAsia" w:ascii="黑体" w:hAnsi="黑体" w:eastAsia="黑体" w:cs="黑体"/>
          <w:color w:val="FF0000"/>
          <w:kern w:val="0"/>
          <w:sz w:val="32"/>
          <w:szCs w:val="32"/>
          <w:highlight w:val="none"/>
        </w:rPr>
        <w:t>总股本1%的提示性公告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本公司董事会及全体董事保证本公告内容不存在任何虚假记载、误导性陈述或者重大遗漏，并对其内容的真实性、准确性和完整性承担个别及连带责任。</w:t>
      </w:r>
    </w:p>
    <w:p>
      <w:pPr>
        <w:adjustRightInd w:val="0"/>
        <w:snapToGrid w:val="0"/>
        <w:spacing w:before="156" w:beforeLines="50"/>
        <w:rPr>
          <w:sz w:val="24"/>
          <w:szCs w:val="24"/>
        </w:rPr>
      </w:pPr>
    </w:p>
    <w:p>
      <w:pPr>
        <w:adjustRightInd w:val="0"/>
        <w:snapToGrid w:val="0"/>
        <w:spacing w:before="156" w:beforeLines="50" w:line="360" w:lineRule="auto"/>
        <w:rPr>
          <w:rFonts w:ascii="Times New Roman" w:hAnsi="Times New Roman" w:eastAsia="宋体" w:cs="Times New Roman"/>
          <w:b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kern w:val="0"/>
          <w:sz w:val="24"/>
        </w:rPr>
        <w:t>重要内容提示：</w:t>
      </w:r>
    </w:p>
    <w:p>
      <w:pPr>
        <w:pStyle w:val="6"/>
        <w:numPr>
          <w:ilvl w:val="0"/>
          <w:numId w:val="1"/>
        </w:numPr>
        <w:adjustRightInd w:val="0"/>
        <w:snapToGrid w:val="0"/>
        <w:spacing w:before="156" w:beforeLines="50" w:line="360" w:lineRule="auto"/>
        <w:ind w:left="0" w:leftChars="0" w:firstLine="0" w:firstLineChars="0"/>
        <w:rPr>
          <w:rFonts w:ascii="Times New Roman" w:hAnsi="Times New Roman" w:eastAsia="宋体" w:cs="Times New Roman"/>
          <w:kern w:val="0"/>
          <w:sz w:val="24"/>
        </w:rPr>
      </w:pPr>
      <w:r>
        <w:rPr>
          <w:rFonts w:hint="eastAsia" w:ascii="Times New Roman" w:hAnsi="Times New Roman" w:eastAsia="宋体" w:cs="Times New Roman"/>
          <w:kern w:val="0"/>
          <w:sz w:val="24"/>
          <w:lang w:eastAsia="zh-CN"/>
        </w:rPr>
        <w:t>本次权益变动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为</w:t>
      </w:r>
      <w:r>
        <w:rPr>
          <w:rFonts w:hint="eastAsia" w:ascii="Times New Roman" w:hAnsi="Times New Roman" w:eastAsia="宋体" w:cs="Times New Roman"/>
          <w:kern w:val="0"/>
          <w:sz w:val="24"/>
          <w:lang w:eastAsia="zh-CN"/>
        </w:rPr>
        <w:t>格尔软件股份有限公司（以下简称“公司”）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实际控制人</w:t>
      </w:r>
      <w:r>
        <w:rPr>
          <w:rFonts w:hint="eastAsia" w:ascii="Times New Roman" w:hAnsi="Times New Roman" w:eastAsia="宋体" w:cs="Times New Roman"/>
          <w:kern w:val="0"/>
          <w:sz w:val="24"/>
          <w:lang w:eastAsia="zh-CN"/>
        </w:rPr>
        <w:t>的一致行动人陆海天先生、上海格尔实业发展有限公司（以下简称“格尔实业”）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实施</w:t>
      </w:r>
      <w:r>
        <w:rPr>
          <w:rFonts w:hint="eastAsia" w:ascii="Times New Roman" w:hAnsi="Times New Roman" w:eastAsia="宋体" w:cs="Times New Roman"/>
          <w:kern w:val="0"/>
          <w:sz w:val="24"/>
          <w:lang w:eastAsia="zh-CN"/>
        </w:rPr>
        <w:t>减持。</w:t>
      </w:r>
      <w:r>
        <w:rPr>
          <w:rFonts w:hint="eastAsia" w:ascii="Times New Roman" w:hAnsi="Times New Roman" w:eastAsia="宋体" w:cs="Times New Roman"/>
          <w:kern w:val="0"/>
          <w:sz w:val="24"/>
        </w:rPr>
        <w:t>权益变动</w:t>
      </w:r>
      <w:r>
        <w:rPr>
          <w:rFonts w:hint="eastAsia" w:ascii="Times New Roman" w:hAnsi="Times New Roman" w:eastAsia="宋体" w:cs="Times New Roman"/>
          <w:kern w:val="0"/>
          <w:sz w:val="24"/>
          <w:lang w:eastAsia="zh-CN"/>
        </w:rPr>
        <w:t>后，陆海天先生持有公司股份比例由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8.96%减少至8.26%；格尔实业持有公司股份比例由8.67%减</w:t>
      </w:r>
      <w:r>
        <w:rPr>
          <w:rFonts w:hint="eastAsia" w:ascii="Times New Roman" w:hAnsi="Times New Roman" w:eastAsia="宋体" w:cs="Times New Roman"/>
          <w:kern w:val="0"/>
          <w:sz w:val="24"/>
          <w:highlight w:val="none"/>
          <w:lang w:val="en-US" w:eastAsia="zh-CN"/>
        </w:rPr>
        <w:t>少至8.47%；实际控制人及其一致行动人持有公司股份比例从30.71%减少至29.71%。</w:t>
      </w:r>
    </w:p>
    <w:p>
      <w:pPr>
        <w:pStyle w:val="6"/>
        <w:numPr>
          <w:ilvl w:val="0"/>
          <w:numId w:val="1"/>
        </w:numPr>
        <w:adjustRightInd w:val="0"/>
        <w:snapToGrid w:val="0"/>
        <w:spacing w:before="156" w:beforeLines="50" w:line="360" w:lineRule="auto"/>
        <w:ind w:left="0" w:leftChars="0" w:firstLine="0" w:firstLineChars="0"/>
        <w:rPr>
          <w:rFonts w:ascii="Times New Roman" w:hAnsi="Times New Roman" w:eastAsia="宋体" w:cs="Times New Roman"/>
          <w:kern w:val="0"/>
          <w:sz w:val="24"/>
          <w:highlight w:val="none"/>
        </w:rPr>
      </w:pPr>
      <w:r>
        <w:rPr>
          <w:rFonts w:hint="eastAsia" w:ascii="Times New Roman" w:hAnsi="Times New Roman" w:eastAsia="宋体" w:cs="Times New Roman"/>
          <w:kern w:val="0"/>
          <w:sz w:val="24"/>
        </w:rPr>
        <w:t>本次</w:t>
      </w:r>
      <w:r>
        <w:rPr>
          <w:rFonts w:hint="eastAsia" w:ascii="Times New Roman" w:hAnsi="Times New Roman" w:eastAsia="宋体" w:cs="Times New Roman"/>
          <w:kern w:val="0"/>
          <w:sz w:val="24"/>
          <w:lang w:eastAsia="zh-CN"/>
        </w:rPr>
        <w:t>权益变动不会导致公司控股股东及实际控制人发生变化。</w:t>
      </w:r>
    </w:p>
    <w:p>
      <w:pPr>
        <w:pStyle w:val="6"/>
        <w:numPr>
          <w:ilvl w:val="0"/>
          <w:numId w:val="0"/>
        </w:numPr>
        <w:adjustRightInd w:val="0"/>
        <w:snapToGrid w:val="0"/>
        <w:spacing w:before="156" w:beforeLines="50" w:line="360" w:lineRule="auto"/>
        <w:ind w:leftChars="0" w:firstLine="420" w:firstLineChars="0"/>
        <w:rPr>
          <w:rFonts w:hint="default" w:ascii="Times New Roman" w:hAnsi="Times New Roman" w:eastAsia="宋体" w:cs="Times New Roman"/>
          <w:kern w:val="0"/>
          <w:sz w:val="24"/>
          <w:highlight w:val="none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公司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于2021年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月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日披露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了</w:t>
      </w:r>
      <w:r>
        <w:rPr>
          <w:rFonts w:hint="default" w:ascii="Times New Roman" w:hAnsi="Times New Roman" w:eastAsia="宋体" w:cs="Times New Roman"/>
          <w:sz w:val="24"/>
          <w:szCs w:val="24"/>
        </w:rPr>
        <w:t>《格尔软件股份有限公司股东及董监高集中竞价减持股份计划公告》（公告编号：202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1-</w:t>
      </w:r>
      <w:r>
        <w:rPr>
          <w:rFonts w:hint="default" w:ascii="Times New Roman" w:hAnsi="Times New Roman" w:eastAsia="宋体" w:cs="Times New Roman"/>
          <w:sz w:val="24"/>
          <w:szCs w:val="24"/>
        </w:rPr>
        <w:t>0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sz w:val="24"/>
          <w:szCs w:val="24"/>
        </w:rPr>
        <w:t>）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。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陆海天先生及格尔实业因履行减持计划实施减持，导致公司实际控制人的一致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行动人所持公司股份合计减少达到公司总股本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的1%。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现将相关情况说明如下：</w:t>
      </w:r>
    </w:p>
    <w:p>
      <w:pPr>
        <w:numPr>
          <w:ilvl w:val="0"/>
          <w:numId w:val="2"/>
        </w:numPr>
        <w:adjustRightInd w:val="0"/>
        <w:snapToGrid w:val="0"/>
        <w:spacing w:before="156" w:beforeLines="50" w:line="360" w:lineRule="auto"/>
        <w:ind w:firstLine="422" w:firstLineChars="175"/>
        <w:rPr>
          <w:rFonts w:hint="eastAsia" w:ascii="Times New Roman" w:hAnsi="Times New Roman" w:eastAsia="宋体" w:cs="Times New Roman"/>
          <w:b/>
          <w:bCs/>
          <w:kern w:val="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4"/>
        </w:rPr>
        <w:t>本次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eastAsia="zh-CN"/>
        </w:rPr>
        <w:t>权益变动情况</w:t>
      </w:r>
    </w:p>
    <w:p>
      <w:pPr>
        <w:numPr>
          <w:ilvl w:val="0"/>
          <w:numId w:val="0"/>
        </w:numPr>
        <w:adjustRightInd w:val="0"/>
        <w:snapToGrid w:val="0"/>
        <w:spacing w:before="156" w:beforeLines="50" w:line="360" w:lineRule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lang w:val="en-US" w:eastAsia="zh-CN"/>
        </w:rPr>
        <w:t>1、陆海天</w:t>
      </w:r>
    </w:p>
    <w:tbl>
      <w:tblPr>
        <w:tblStyle w:val="3"/>
        <w:tblW w:w="4998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69"/>
        <w:gridCol w:w="1586"/>
        <w:gridCol w:w="1319"/>
        <w:gridCol w:w="1612"/>
        <w:gridCol w:w="1096"/>
        <w:gridCol w:w="1041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03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5" w:line="240" w:lineRule="auto"/>
              <w:ind w:left="0" w:leftChars="0" w:right="-25" w:rightChars="-12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4"/>
                <w:sz w:val="21"/>
              </w:rPr>
              <w:t>信息披露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  <w:t>义务人</w:t>
            </w:r>
          </w:p>
          <w:p>
            <w:pPr>
              <w:pStyle w:val="7"/>
              <w:spacing w:before="18" w:line="240" w:lineRule="auto"/>
              <w:ind w:left="0" w:leftChars="0" w:right="-25" w:rightChars="-12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  <w:t>基本信息</w:t>
            </w:r>
          </w:p>
        </w:tc>
        <w:tc>
          <w:tcPr>
            <w:tcW w:w="953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90" w:line="240" w:lineRule="auto"/>
              <w:ind w:left="0" w:leftChars="0" w:right="-8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  <w:t>名称</w:t>
            </w:r>
          </w:p>
        </w:tc>
        <w:tc>
          <w:tcPr>
            <w:tcW w:w="3043" w:type="pct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Style w:val="7"/>
              <w:spacing w:before="90" w:line="240" w:lineRule="auto"/>
              <w:ind w:left="16" w:leftChars="0" w:hanging="16" w:hangingChars="8"/>
              <w:jc w:val="center"/>
              <w:rPr>
                <w:rFonts w:hint="default" w:ascii="Times New Roman" w:hAnsi="Times New Roman" w:eastAsia="宋体" w:cs="Times New Roman"/>
                <w:sz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lang w:eastAsia="zh-CN"/>
              </w:rPr>
              <w:t>陆海天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003" w:type="pct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left="0" w:leftChars="0" w:right="-25" w:rightChars="-12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90" w:line="240" w:lineRule="auto"/>
              <w:ind w:left="0" w:leftChars="0" w:right="-8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  <w:t>权益变动时间</w:t>
            </w:r>
          </w:p>
        </w:tc>
        <w:tc>
          <w:tcPr>
            <w:tcW w:w="304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Style w:val="7"/>
              <w:spacing w:before="9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</w:rPr>
              <w:t>202</w:t>
            </w:r>
            <w:r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1"/>
              </w:rPr>
              <w:t>年</w:t>
            </w:r>
            <w:r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宋体" w:cs="Times New Roman"/>
                <w:sz w:val="21"/>
              </w:rPr>
              <w:t>月</w:t>
            </w:r>
            <w:r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sz w:val="21"/>
              </w:rPr>
              <w:t>日-2021年</w:t>
            </w:r>
            <w:r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  <w:t>07</w:t>
            </w:r>
            <w:r>
              <w:rPr>
                <w:rFonts w:hint="default" w:ascii="Times New Roman" w:hAnsi="Times New Roman" w:eastAsia="宋体" w:cs="Times New Roman"/>
                <w:sz w:val="21"/>
              </w:rPr>
              <w:t>月</w:t>
            </w:r>
            <w:r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宋体" w:cs="Times New Roman"/>
                <w:sz w:val="21"/>
              </w:rPr>
              <w:t>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03" w:type="pct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240" w:lineRule="auto"/>
              <w:ind w:left="0" w:leftChars="0" w:right="-25" w:rightChars="-12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  <w:t>权益变动明细</w:t>
            </w:r>
          </w:p>
        </w:tc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98" w:line="240" w:lineRule="auto"/>
              <w:ind w:left="0" w:leftChars="0" w:right="-8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  <w:t>变动方式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98" w:line="240" w:lineRule="auto"/>
              <w:ind w:left="0" w:leftChars="0" w:right="-63" w:rightChars="-3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</w:pPr>
            <w:r>
              <w:rPr>
                <w:rFonts w:hint="eastAsia" w:eastAsia="宋体" w:cs="Times New Roman"/>
                <w:b/>
                <w:bCs w:val="0"/>
                <w:sz w:val="21"/>
                <w:lang w:val="en-US" w:eastAsia="zh-CN"/>
              </w:rPr>
              <w:t>减持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期间</w:t>
            </w: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98" w:line="240" w:lineRule="auto"/>
              <w:ind w:left="0" w:leftChars="0" w:right="65" w:rightChars="31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股份种类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240" w:lineRule="auto"/>
              <w:ind w:left="13" w:leftChars="0" w:right="-46" w:rightChars="-22" w:hanging="13" w:hangingChars="6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减持股数</w:t>
            </w:r>
          </w:p>
          <w:p>
            <w:pPr>
              <w:pStyle w:val="7"/>
              <w:spacing w:line="240" w:lineRule="auto"/>
              <w:ind w:left="13" w:leftChars="0" w:right="-46" w:rightChars="-22" w:hanging="13" w:hangingChars="6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（股）</w:t>
            </w:r>
          </w:p>
        </w:tc>
        <w:tc>
          <w:tcPr>
            <w:tcW w:w="6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Style w:val="7"/>
              <w:spacing w:line="240" w:lineRule="auto"/>
              <w:ind w:left="0" w:leftChars="0" w:right="-94" w:rightChars="-45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减少比例</w:t>
            </w:r>
          </w:p>
          <w:p>
            <w:pPr>
              <w:pStyle w:val="7"/>
              <w:spacing w:line="240" w:lineRule="auto"/>
              <w:ind w:left="0" w:leftChars="0" w:right="-94" w:rightChars="-45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（%）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003" w:type="pct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"/>
                <w:szCs w:val="2"/>
                <w:highlight w:val="none"/>
              </w:rPr>
            </w:pPr>
          </w:p>
        </w:tc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58" w:line="240" w:lineRule="auto"/>
              <w:ind w:left="0" w:leftChars="0" w:right="-8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集中竞价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36" w:line="240" w:lineRule="auto"/>
              <w:ind w:left="0" w:leftChars="0" w:right="-63" w:rightChars="-3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202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.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.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-</w:t>
            </w:r>
          </w:p>
          <w:p>
            <w:pPr>
              <w:pStyle w:val="7"/>
              <w:spacing w:before="59" w:line="240" w:lineRule="auto"/>
              <w:ind w:left="0" w:leftChars="0" w:right="-63" w:rightChars="-3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2021.0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.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2</w:t>
            </w:r>
            <w:r>
              <w:rPr>
                <w:rFonts w:hint="eastAsia" w:eastAsia="宋体" w:cs="Times New Roman"/>
                <w:sz w:val="21"/>
                <w:highlight w:val="none"/>
                <w:lang w:val="en-US" w:eastAsia="zh-CN"/>
              </w:rPr>
              <w:t>2</w:t>
            </w: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58" w:line="240" w:lineRule="auto"/>
              <w:ind w:left="0" w:leftChars="0" w:right="65" w:rightChars="31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人民币普通股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87" w:line="240" w:lineRule="auto"/>
              <w:ind w:left="12" w:leftChars="0" w:right="-46" w:rightChars="-22" w:hanging="12" w:hangingChars="6"/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1,621,100</w:t>
            </w:r>
          </w:p>
        </w:tc>
        <w:tc>
          <w:tcPr>
            <w:tcW w:w="624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7"/>
              <w:spacing w:before="187" w:line="240" w:lineRule="auto"/>
              <w:ind w:left="0" w:leftChars="0" w:right="-94" w:rightChars="-45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0.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70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%</w:t>
            </w:r>
          </w:p>
        </w:tc>
      </w:tr>
    </w:tbl>
    <w:p>
      <w:pPr>
        <w:numPr>
          <w:ilvl w:val="0"/>
          <w:numId w:val="0"/>
        </w:numPr>
        <w:adjustRightInd w:val="0"/>
        <w:snapToGrid w:val="0"/>
        <w:spacing w:before="156" w:beforeLines="50" w:line="360" w:lineRule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lang w:val="en-US" w:eastAsia="zh-CN"/>
        </w:rPr>
        <w:t>2、格尔实业</w:t>
      </w:r>
    </w:p>
    <w:tbl>
      <w:tblPr>
        <w:tblStyle w:val="3"/>
        <w:tblW w:w="4998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69"/>
        <w:gridCol w:w="1586"/>
        <w:gridCol w:w="1319"/>
        <w:gridCol w:w="1612"/>
        <w:gridCol w:w="1096"/>
        <w:gridCol w:w="1041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03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5" w:line="240" w:lineRule="auto"/>
              <w:ind w:left="0" w:leftChars="0" w:right="-25" w:rightChars="-12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4"/>
                <w:sz w:val="21"/>
              </w:rPr>
              <w:t>信息披露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  <w:t>义务人</w:t>
            </w:r>
          </w:p>
          <w:p>
            <w:pPr>
              <w:pStyle w:val="7"/>
              <w:spacing w:before="18" w:line="240" w:lineRule="auto"/>
              <w:ind w:left="0" w:leftChars="0" w:right="-25" w:rightChars="-12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  <w:t>基本信息</w:t>
            </w:r>
          </w:p>
        </w:tc>
        <w:tc>
          <w:tcPr>
            <w:tcW w:w="953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90" w:line="240" w:lineRule="auto"/>
              <w:ind w:left="0" w:leftChars="0" w:right="-8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  <w:t>名称</w:t>
            </w:r>
          </w:p>
        </w:tc>
        <w:tc>
          <w:tcPr>
            <w:tcW w:w="3043" w:type="pct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Style w:val="7"/>
              <w:spacing w:before="90" w:line="240" w:lineRule="auto"/>
              <w:ind w:left="16" w:leftChars="0" w:hanging="16" w:hangingChars="8"/>
              <w:jc w:val="center"/>
              <w:rPr>
                <w:rFonts w:hint="default" w:ascii="Times New Roman" w:hAnsi="Times New Roman" w:eastAsia="宋体" w:cs="Times New Roman"/>
                <w:sz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sz w:val="21"/>
                <w:lang w:eastAsia="zh-CN"/>
              </w:rPr>
              <w:t>上海格尔实业发展有限公司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003" w:type="pct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left="0" w:leftChars="0" w:right="-25" w:rightChars="-12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90" w:line="240" w:lineRule="auto"/>
              <w:ind w:left="0" w:leftChars="0" w:right="-8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  <w:t>权益变动时间</w:t>
            </w:r>
          </w:p>
        </w:tc>
        <w:tc>
          <w:tcPr>
            <w:tcW w:w="304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Style w:val="7"/>
              <w:spacing w:before="9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</w:rPr>
              <w:t>202</w:t>
            </w:r>
            <w:r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1"/>
              </w:rPr>
              <w:t>年</w:t>
            </w:r>
            <w:r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宋体" w:cs="Times New Roman"/>
                <w:sz w:val="21"/>
              </w:rPr>
              <w:t>月</w:t>
            </w:r>
            <w:r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sz w:val="21"/>
              </w:rPr>
              <w:t>日-2021年</w:t>
            </w:r>
            <w:r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  <w:t>07</w:t>
            </w:r>
            <w:r>
              <w:rPr>
                <w:rFonts w:hint="default" w:ascii="Times New Roman" w:hAnsi="Times New Roman" w:eastAsia="宋体" w:cs="Times New Roman"/>
                <w:sz w:val="21"/>
              </w:rPr>
              <w:t>月</w:t>
            </w:r>
            <w:r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宋体" w:cs="Times New Roman"/>
                <w:sz w:val="21"/>
              </w:rPr>
              <w:t>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03" w:type="pct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240" w:lineRule="auto"/>
              <w:ind w:left="0" w:leftChars="0" w:right="-25" w:rightChars="-12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  <w:t>权益变动明细</w:t>
            </w:r>
          </w:p>
        </w:tc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98" w:line="240" w:lineRule="auto"/>
              <w:ind w:left="0" w:leftChars="0" w:right="-8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</w:rPr>
              <w:t>变动方式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98" w:line="240" w:lineRule="auto"/>
              <w:ind w:left="0" w:leftChars="0" w:right="-63" w:rightChars="-3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</w:pPr>
            <w:r>
              <w:rPr>
                <w:rFonts w:hint="eastAsia" w:eastAsia="宋体" w:cs="Times New Roman"/>
                <w:b/>
                <w:bCs w:val="0"/>
                <w:sz w:val="21"/>
                <w:lang w:val="en-US" w:eastAsia="zh-CN"/>
              </w:rPr>
              <w:t>减持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期间</w:t>
            </w: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98" w:line="240" w:lineRule="auto"/>
              <w:ind w:left="0" w:leftChars="0" w:right="65" w:rightChars="31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股份种类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240" w:lineRule="auto"/>
              <w:ind w:left="13" w:leftChars="0" w:right="-46" w:rightChars="-22" w:hanging="13" w:hangingChars="6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减持股数</w:t>
            </w:r>
          </w:p>
          <w:p>
            <w:pPr>
              <w:pStyle w:val="7"/>
              <w:spacing w:line="240" w:lineRule="auto"/>
              <w:ind w:left="13" w:leftChars="0" w:right="-46" w:rightChars="-22" w:hanging="13" w:hangingChars="6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（股）</w:t>
            </w:r>
          </w:p>
        </w:tc>
        <w:tc>
          <w:tcPr>
            <w:tcW w:w="6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Style w:val="7"/>
              <w:spacing w:line="240" w:lineRule="auto"/>
              <w:ind w:left="0" w:leftChars="0" w:right="-94" w:rightChars="-45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减少比例</w:t>
            </w:r>
          </w:p>
          <w:p>
            <w:pPr>
              <w:pStyle w:val="7"/>
              <w:spacing w:line="240" w:lineRule="auto"/>
              <w:ind w:left="0" w:leftChars="0" w:right="-94" w:rightChars="-45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（%）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003" w:type="pct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"/>
                <w:szCs w:val="2"/>
                <w:highlight w:val="none"/>
              </w:rPr>
            </w:pPr>
          </w:p>
        </w:tc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58" w:line="240" w:lineRule="auto"/>
              <w:ind w:left="0" w:leftChars="0" w:right="-8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集中竞价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36" w:line="240" w:lineRule="auto"/>
              <w:ind w:left="0" w:leftChars="0" w:right="-63" w:rightChars="-3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202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.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.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-</w:t>
            </w:r>
          </w:p>
          <w:p>
            <w:pPr>
              <w:pStyle w:val="7"/>
              <w:spacing w:before="59" w:line="240" w:lineRule="auto"/>
              <w:ind w:left="0" w:leftChars="0" w:right="-63" w:rightChars="-3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2021.0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.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2</w:t>
            </w:r>
            <w:r>
              <w:rPr>
                <w:rFonts w:hint="eastAsia" w:eastAsia="宋体" w:cs="Times New Roman"/>
                <w:sz w:val="21"/>
                <w:highlight w:val="none"/>
                <w:lang w:val="en-US" w:eastAsia="zh-CN"/>
              </w:rPr>
              <w:t>2</w:t>
            </w: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58" w:line="240" w:lineRule="auto"/>
              <w:ind w:left="0" w:leftChars="0" w:right="65" w:rightChars="31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</w:rPr>
              <w:t>人民币普通股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Style w:val="7"/>
              <w:spacing w:before="187" w:line="240" w:lineRule="auto"/>
              <w:ind w:left="12" w:leftChars="0" w:right="-46" w:rightChars="-22" w:hanging="12" w:hangingChars="6"/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sz w:val="21"/>
                <w:lang w:val="en-US" w:eastAsia="zh-CN"/>
              </w:rPr>
              <w:t>696,060</w:t>
            </w:r>
          </w:p>
        </w:tc>
        <w:tc>
          <w:tcPr>
            <w:tcW w:w="624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7"/>
              <w:spacing w:before="187" w:line="240" w:lineRule="auto"/>
              <w:ind w:left="0" w:leftChars="0" w:right="-94" w:rightChars="-45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sz w:val="21"/>
              </w:rPr>
              <w:t>0.3</w:t>
            </w:r>
            <w:r>
              <w:rPr>
                <w:rFonts w:hint="default" w:ascii="Times New Roman" w:hAnsi="Times New Roman" w:eastAsia="宋体" w:cs="Times New Roman"/>
                <w:spacing w:val="-4"/>
                <w:sz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spacing w:val="-4"/>
                <w:sz w:val="21"/>
              </w:rPr>
              <w:t>%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line="360" w:lineRule="auto"/>
        <w:ind w:left="0" w:leftChars="0" w:firstLine="422" w:firstLineChars="175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eastAsia="zh-CN"/>
        </w:rPr>
        <w:t>本次权益变动前后，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/>
        </w:rPr>
        <w:t>实际控制人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eastAsia="zh-CN"/>
        </w:rPr>
        <w:t>及其一致行动人持有公司股份的情况</w:t>
      </w:r>
    </w:p>
    <w:tbl>
      <w:tblPr>
        <w:tblStyle w:val="4"/>
        <w:tblW w:w="4883" w:type="pct"/>
        <w:tblInd w:w="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2234"/>
        <w:gridCol w:w="1391"/>
        <w:gridCol w:w="1200"/>
        <w:gridCol w:w="1217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pct"/>
            <w:vMerge w:val="restart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pStyle w:val="7"/>
              <w:ind w:left="0" w:leftChars="0" w:right="-57" w:rightChars="-27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股东名称</w:t>
            </w:r>
          </w:p>
        </w:tc>
        <w:tc>
          <w:tcPr>
            <w:tcW w:w="1342" w:type="pct"/>
            <w:vMerge w:val="restart"/>
            <w:tcBorders>
              <w:top w:val="single" w:color="auto" w:sz="8" w:space="0"/>
            </w:tcBorders>
            <w:vAlign w:val="center"/>
          </w:tcPr>
          <w:p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股份性质</w:t>
            </w:r>
          </w:p>
        </w:tc>
        <w:tc>
          <w:tcPr>
            <w:tcW w:w="1556" w:type="pct"/>
            <w:gridSpan w:val="2"/>
            <w:tcBorders>
              <w:top w:val="single" w:color="auto" w:sz="8" w:space="0"/>
            </w:tcBorders>
            <w:vAlign w:val="center"/>
          </w:tcPr>
          <w:p>
            <w:pPr>
              <w:pStyle w:val="7"/>
              <w:spacing w:before="45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本次变动前持有股份</w:t>
            </w:r>
          </w:p>
        </w:tc>
        <w:tc>
          <w:tcPr>
            <w:tcW w:w="1485" w:type="pct"/>
            <w:gridSpan w:val="2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7"/>
              <w:spacing w:before="45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本次变动后持有股份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pct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2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35" w:type="pct"/>
            <w:vAlign w:val="center"/>
          </w:tcPr>
          <w:p>
            <w:pPr>
              <w:pStyle w:val="7"/>
              <w:spacing w:before="45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股数(股)</w:t>
            </w:r>
          </w:p>
        </w:tc>
        <w:tc>
          <w:tcPr>
            <w:tcW w:w="720" w:type="pct"/>
            <w:vAlign w:val="center"/>
          </w:tcPr>
          <w:p>
            <w:pPr>
              <w:pStyle w:val="7"/>
              <w:spacing w:before="45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占权益变动前总股本比例(%)</w:t>
            </w:r>
          </w:p>
        </w:tc>
        <w:tc>
          <w:tcPr>
            <w:tcW w:w="731" w:type="pct"/>
            <w:vAlign w:val="center"/>
          </w:tcPr>
          <w:p>
            <w:pPr>
              <w:pStyle w:val="7"/>
              <w:spacing w:before="45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股数(股)</w:t>
            </w:r>
          </w:p>
        </w:tc>
        <w:tc>
          <w:tcPr>
            <w:tcW w:w="754" w:type="pct"/>
            <w:tcBorders>
              <w:right w:val="single" w:color="auto" w:sz="8" w:space="0"/>
            </w:tcBorders>
            <w:vAlign w:val="center"/>
          </w:tcPr>
          <w:p>
            <w:pPr>
              <w:pStyle w:val="7"/>
              <w:spacing w:before="45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占权益变动后总股本比例(%)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pct"/>
            <w:vMerge w:val="restart"/>
            <w:tcBorders>
              <w:left w:val="single" w:color="auto" w:sz="8" w:space="0"/>
            </w:tcBorders>
            <w:vAlign w:val="center"/>
          </w:tcPr>
          <w:p>
            <w:pPr>
              <w:pStyle w:val="7"/>
              <w:spacing w:before="45"/>
              <w:ind w:left="0" w:leftChars="0" w:right="-57" w:rightChars="-27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eastAsia="zh-CN"/>
              </w:rPr>
              <w:t>孔令钢</w:t>
            </w:r>
          </w:p>
        </w:tc>
        <w:tc>
          <w:tcPr>
            <w:tcW w:w="1342" w:type="pct"/>
            <w:vAlign w:val="center"/>
          </w:tcPr>
          <w:p>
            <w:pPr>
              <w:pStyle w:val="7"/>
              <w:spacing w:before="45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持有股份</w:t>
            </w:r>
          </w:p>
        </w:tc>
        <w:tc>
          <w:tcPr>
            <w:tcW w:w="835" w:type="pct"/>
            <w:vAlign w:val="center"/>
          </w:tcPr>
          <w:p>
            <w:pPr>
              <w:pStyle w:val="7"/>
              <w:spacing w:before="14"/>
              <w:ind w:left="0" w:leftChars="0" w:right="71" w:rightChars="34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25</w:t>
            </w:r>
            <w:r>
              <w:rPr>
                <w:rFonts w:hint="eastAsia" w:eastAsia="宋体" w:cs="Times New Roman"/>
                <w:b w:val="0"/>
                <w:bCs/>
                <w:sz w:val="21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067</w:t>
            </w:r>
            <w:r>
              <w:rPr>
                <w:rFonts w:hint="eastAsia" w:eastAsia="宋体" w:cs="Times New Roman"/>
                <w:b w:val="0"/>
                <w:bCs/>
                <w:sz w:val="21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885</w:t>
            </w:r>
          </w:p>
        </w:tc>
        <w:tc>
          <w:tcPr>
            <w:tcW w:w="720" w:type="pct"/>
            <w:vAlign w:val="center"/>
          </w:tcPr>
          <w:p>
            <w:pPr>
              <w:pStyle w:val="7"/>
              <w:spacing w:before="74"/>
              <w:ind w:left="0" w:leftChars="0" w:right="21" w:rightChars="1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.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98</w:t>
            </w:r>
          </w:p>
        </w:tc>
        <w:tc>
          <w:tcPr>
            <w:tcW w:w="731" w:type="pct"/>
            <w:vAlign w:val="center"/>
          </w:tcPr>
          <w:p>
            <w:pPr>
              <w:pStyle w:val="7"/>
              <w:spacing w:before="74"/>
              <w:ind w:left="0" w:leftChars="0" w:right="31" w:rightChars="15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30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081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462</w:t>
            </w:r>
          </w:p>
        </w:tc>
        <w:tc>
          <w:tcPr>
            <w:tcW w:w="754" w:type="pct"/>
            <w:tcBorders>
              <w:right w:val="single" w:color="auto" w:sz="8" w:space="0"/>
            </w:tcBorders>
            <w:vAlign w:val="center"/>
          </w:tcPr>
          <w:p>
            <w:pPr>
              <w:pStyle w:val="7"/>
              <w:spacing w:before="74"/>
              <w:ind w:left="0" w:leftChars="0" w:right="-103" w:rightChars="-49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.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pct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2" w:type="pct"/>
            <w:vAlign w:val="center"/>
          </w:tcPr>
          <w:p>
            <w:pPr>
              <w:pStyle w:val="7"/>
              <w:spacing w:before="60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其中：无限售条件股份</w:t>
            </w:r>
          </w:p>
        </w:tc>
        <w:tc>
          <w:tcPr>
            <w:tcW w:w="835" w:type="pct"/>
            <w:vAlign w:val="center"/>
          </w:tcPr>
          <w:p>
            <w:pPr>
              <w:pStyle w:val="7"/>
              <w:spacing w:before="14"/>
              <w:ind w:left="0" w:leftChars="0" w:right="71" w:rightChars="34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25</w:t>
            </w:r>
            <w:r>
              <w:rPr>
                <w:rFonts w:hint="eastAsia" w:eastAsia="宋体" w:cs="Times New Roman"/>
                <w:b w:val="0"/>
                <w:bCs/>
                <w:sz w:val="21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067</w:t>
            </w:r>
            <w:r>
              <w:rPr>
                <w:rFonts w:hint="eastAsia" w:eastAsia="宋体" w:cs="Times New Roman"/>
                <w:b w:val="0"/>
                <w:bCs/>
                <w:sz w:val="21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885</w:t>
            </w:r>
          </w:p>
        </w:tc>
        <w:tc>
          <w:tcPr>
            <w:tcW w:w="720" w:type="pct"/>
            <w:vAlign w:val="center"/>
          </w:tcPr>
          <w:p>
            <w:pPr>
              <w:pStyle w:val="7"/>
              <w:spacing w:before="89"/>
              <w:ind w:left="0" w:leftChars="0" w:right="21" w:rightChars="1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.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98</w:t>
            </w:r>
          </w:p>
        </w:tc>
        <w:tc>
          <w:tcPr>
            <w:tcW w:w="731" w:type="pct"/>
            <w:vAlign w:val="center"/>
          </w:tcPr>
          <w:p>
            <w:pPr>
              <w:pStyle w:val="7"/>
              <w:spacing w:before="74"/>
              <w:ind w:left="0" w:leftChars="0" w:right="31" w:rightChars="15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30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081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462</w:t>
            </w:r>
          </w:p>
        </w:tc>
        <w:tc>
          <w:tcPr>
            <w:tcW w:w="754" w:type="pct"/>
            <w:tcBorders>
              <w:right w:val="single" w:color="auto" w:sz="8" w:space="0"/>
            </w:tcBorders>
            <w:vAlign w:val="center"/>
          </w:tcPr>
          <w:p>
            <w:pPr>
              <w:pStyle w:val="7"/>
              <w:spacing w:before="74"/>
              <w:ind w:left="0" w:leftChars="0" w:right="-103" w:rightChars="-49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.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pct"/>
            <w:vMerge w:val="restart"/>
            <w:tcBorders>
              <w:left w:val="single" w:color="auto" w:sz="8" w:space="0"/>
            </w:tcBorders>
            <w:vAlign w:val="center"/>
          </w:tcPr>
          <w:p>
            <w:pPr>
              <w:pStyle w:val="7"/>
              <w:spacing w:before="45"/>
              <w:ind w:left="0" w:leftChars="0" w:right="-57" w:rightChars="-27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2"/>
                <w:lang w:val="zh-CN" w:eastAsia="zh-CN" w:bidi="zh-CN"/>
              </w:rPr>
              <w:t>陆海天</w:t>
            </w:r>
          </w:p>
        </w:tc>
        <w:tc>
          <w:tcPr>
            <w:tcW w:w="1342" w:type="pct"/>
            <w:vAlign w:val="center"/>
          </w:tcPr>
          <w:p>
            <w:pPr>
              <w:pStyle w:val="7"/>
              <w:spacing w:before="45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持有股份</w:t>
            </w:r>
          </w:p>
        </w:tc>
        <w:tc>
          <w:tcPr>
            <w:tcW w:w="835" w:type="pct"/>
            <w:vAlign w:val="center"/>
          </w:tcPr>
          <w:p>
            <w:pPr>
              <w:pStyle w:val="7"/>
              <w:spacing w:before="14"/>
              <w:ind w:left="0" w:leftChars="0" w:right="71" w:rightChars="34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17,307,329</w:t>
            </w:r>
          </w:p>
        </w:tc>
        <w:tc>
          <w:tcPr>
            <w:tcW w:w="720" w:type="pct"/>
            <w:vAlign w:val="center"/>
          </w:tcPr>
          <w:p>
            <w:pPr>
              <w:pStyle w:val="7"/>
              <w:spacing w:before="14"/>
              <w:ind w:left="0" w:leftChars="0" w:right="21" w:rightChars="1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8.96</w:t>
            </w:r>
          </w:p>
        </w:tc>
        <w:tc>
          <w:tcPr>
            <w:tcW w:w="731" w:type="pct"/>
            <w:vAlign w:val="center"/>
          </w:tcPr>
          <w:p>
            <w:pPr>
              <w:pStyle w:val="7"/>
              <w:spacing w:before="74"/>
              <w:ind w:left="0" w:leftChars="0" w:right="31" w:rightChars="15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highlight w:val="none"/>
              </w:rPr>
              <w:t>19,147,695</w:t>
            </w:r>
          </w:p>
        </w:tc>
        <w:tc>
          <w:tcPr>
            <w:tcW w:w="754" w:type="pct"/>
            <w:tcBorders>
              <w:right w:val="single" w:color="auto" w:sz="8" w:space="0"/>
            </w:tcBorders>
            <w:vAlign w:val="center"/>
          </w:tcPr>
          <w:p>
            <w:pPr>
              <w:pStyle w:val="7"/>
              <w:spacing w:before="74"/>
              <w:ind w:left="0" w:leftChars="0" w:right="-103" w:rightChars="-49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highlight w:val="none"/>
                <w:lang w:val="en-US" w:eastAsia="zh-CN"/>
              </w:rPr>
              <w:t>8.26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pct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2" w:type="pct"/>
            <w:vAlign w:val="center"/>
          </w:tcPr>
          <w:p>
            <w:pPr>
              <w:pStyle w:val="7"/>
              <w:spacing w:before="60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其中：无限售条件股份</w:t>
            </w:r>
          </w:p>
        </w:tc>
        <w:tc>
          <w:tcPr>
            <w:tcW w:w="835" w:type="pct"/>
            <w:vAlign w:val="center"/>
          </w:tcPr>
          <w:p>
            <w:pPr>
              <w:pStyle w:val="7"/>
              <w:spacing w:before="14"/>
              <w:ind w:left="0" w:leftChars="0" w:right="71" w:rightChars="34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17,307,329</w:t>
            </w:r>
          </w:p>
        </w:tc>
        <w:tc>
          <w:tcPr>
            <w:tcW w:w="720" w:type="pct"/>
            <w:vAlign w:val="center"/>
          </w:tcPr>
          <w:p>
            <w:pPr>
              <w:pStyle w:val="7"/>
              <w:spacing w:before="14"/>
              <w:ind w:left="0" w:leftChars="0" w:right="21" w:rightChars="1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8.96</w:t>
            </w:r>
          </w:p>
        </w:tc>
        <w:tc>
          <w:tcPr>
            <w:tcW w:w="731" w:type="pct"/>
            <w:vAlign w:val="center"/>
          </w:tcPr>
          <w:p>
            <w:pPr>
              <w:pStyle w:val="7"/>
              <w:spacing w:before="74"/>
              <w:ind w:left="0" w:leftChars="0" w:right="31" w:rightChars="15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highlight w:val="none"/>
              </w:rPr>
              <w:t>19,147,695</w:t>
            </w:r>
          </w:p>
        </w:tc>
        <w:tc>
          <w:tcPr>
            <w:tcW w:w="754" w:type="pct"/>
            <w:tcBorders>
              <w:right w:val="single" w:color="auto" w:sz="8" w:space="0"/>
            </w:tcBorders>
            <w:vAlign w:val="center"/>
          </w:tcPr>
          <w:p>
            <w:pPr>
              <w:pStyle w:val="7"/>
              <w:spacing w:before="74"/>
              <w:ind w:left="0" w:leftChars="0" w:right="-103" w:rightChars="-49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highlight w:val="none"/>
                <w:lang w:val="en-US" w:eastAsia="zh-CN"/>
              </w:rPr>
              <w:t>8.26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pct"/>
            <w:vMerge w:val="restart"/>
            <w:tcBorders>
              <w:left w:val="single" w:color="auto" w:sz="8" w:space="0"/>
            </w:tcBorders>
            <w:vAlign w:val="center"/>
          </w:tcPr>
          <w:p>
            <w:pPr>
              <w:pStyle w:val="7"/>
              <w:spacing w:before="45"/>
              <w:ind w:left="0" w:leftChars="0" w:right="-57" w:rightChars="-27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2"/>
                <w:lang w:val="zh-CN" w:eastAsia="zh-CN" w:bidi="zh-CN"/>
              </w:rPr>
              <w:t>格尔实业</w:t>
            </w:r>
          </w:p>
        </w:tc>
        <w:tc>
          <w:tcPr>
            <w:tcW w:w="1342" w:type="pct"/>
            <w:vAlign w:val="center"/>
          </w:tcPr>
          <w:p>
            <w:pPr>
              <w:pStyle w:val="7"/>
              <w:spacing w:before="45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持有股份</w:t>
            </w:r>
          </w:p>
        </w:tc>
        <w:tc>
          <w:tcPr>
            <w:tcW w:w="835" w:type="pct"/>
            <w:vAlign w:val="center"/>
          </w:tcPr>
          <w:p>
            <w:pPr>
              <w:pStyle w:val="7"/>
              <w:spacing w:before="74"/>
              <w:ind w:left="0" w:leftChars="0" w:right="71" w:rightChars="34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16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937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760</w:t>
            </w:r>
          </w:p>
        </w:tc>
        <w:tc>
          <w:tcPr>
            <w:tcW w:w="720" w:type="pct"/>
            <w:vAlign w:val="center"/>
          </w:tcPr>
          <w:p>
            <w:pPr>
              <w:pStyle w:val="7"/>
              <w:spacing w:before="74"/>
              <w:ind w:left="0" w:leftChars="0" w:right="21" w:rightChars="1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.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77</w:t>
            </w:r>
          </w:p>
        </w:tc>
        <w:tc>
          <w:tcPr>
            <w:tcW w:w="731" w:type="pct"/>
            <w:vAlign w:val="center"/>
          </w:tcPr>
          <w:p>
            <w:pPr>
              <w:pStyle w:val="7"/>
              <w:spacing w:before="14"/>
              <w:ind w:left="0" w:leftChars="0" w:right="31" w:rightChars="15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highlight w:val="none"/>
                <w:lang w:val="en-US" w:eastAsia="zh-CN"/>
              </w:rPr>
              <w:t>19,629,252</w:t>
            </w:r>
          </w:p>
        </w:tc>
        <w:tc>
          <w:tcPr>
            <w:tcW w:w="754" w:type="pct"/>
            <w:tcBorders>
              <w:right w:val="single" w:color="auto" w:sz="8" w:space="0"/>
            </w:tcBorders>
            <w:vAlign w:val="center"/>
          </w:tcPr>
          <w:p>
            <w:pPr>
              <w:pStyle w:val="7"/>
              <w:spacing w:before="14"/>
              <w:ind w:left="0" w:leftChars="0" w:right="-103" w:rightChars="-49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highlight w:val="none"/>
                <w:lang w:val="en-US" w:eastAsia="zh-CN"/>
              </w:rPr>
              <w:t>8.47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pct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2" w:type="pct"/>
            <w:vAlign w:val="center"/>
          </w:tcPr>
          <w:p>
            <w:pPr>
              <w:pStyle w:val="7"/>
              <w:spacing w:before="60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其中：无限售条件股份</w:t>
            </w:r>
          </w:p>
        </w:tc>
        <w:tc>
          <w:tcPr>
            <w:tcW w:w="835" w:type="pct"/>
            <w:vAlign w:val="center"/>
          </w:tcPr>
          <w:p>
            <w:pPr>
              <w:pStyle w:val="7"/>
              <w:spacing w:before="74"/>
              <w:ind w:left="0" w:leftChars="0" w:right="71" w:rightChars="34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16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937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760</w:t>
            </w:r>
          </w:p>
        </w:tc>
        <w:tc>
          <w:tcPr>
            <w:tcW w:w="720" w:type="pct"/>
            <w:vAlign w:val="center"/>
          </w:tcPr>
          <w:p>
            <w:pPr>
              <w:pStyle w:val="7"/>
              <w:spacing w:before="74"/>
              <w:ind w:left="0" w:leftChars="0" w:right="21" w:rightChars="1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</w:rPr>
              <w:t>.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lang w:val="en-US" w:eastAsia="zh-CN"/>
              </w:rPr>
              <w:t>77</w:t>
            </w:r>
          </w:p>
        </w:tc>
        <w:tc>
          <w:tcPr>
            <w:tcW w:w="731" w:type="pct"/>
            <w:vAlign w:val="center"/>
          </w:tcPr>
          <w:p>
            <w:pPr>
              <w:pStyle w:val="7"/>
              <w:spacing w:before="14"/>
              <w:ind w:left="0" w:leftChars="0" w:right="31" w:rightChars="15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highlight w:val="none"/>
                <w:lang w:val="en-US" w:eastAsia="zh-CN"/>
              </w:rPr>
              <w:t>19,629,252</w:t>
            </w:r>
          </w:p>
        </w:tc>
        <w:tc>
          <w:tcPr>
            <w:tcW w:w="754" w:type="pct"/>
            <w:tcBorders>
              <w:right w:val="single" w:color="auto" w:sz="8" w:space="0"/>
            </w:tcBorders>
            <w:vAlign w:val="center"/>
          </w:tcPr>
          <w:p>
            <w:pPr>
              <w:pStyle w:val="7"/>
              <w:spacing w:before="14"/>
              <w:ind w:left="0" w:leftChars="0" w:right="-103" w:rightChars="-49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highlight w:val="none"/>
                <w:lang w:val="en-US" w:eastAsia="zh-CN"/>
              </w:rPr>
              <w:t>8.47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pct"/>
            <w:vMerge w:val="restart"/>
            <w:tcBorders>
              <w:left w:val="single" w:color="auto" w:sz="8" w:space="0"/>
            </w:tcBorders>
            <w:vAlign w:val="center"/>
          </w:tcPr>
          <w:p>
            <w:pPr>
              <w:pStyle w:val="7"/>
              <w:ind w:left="0" w:leftChars="0" w:right="-57" w:rightChars="-27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lang w:eastAsia="zh-CN"/>
              </w:rPr>
              <w:t>合计</w:t>
            </w:r>
          </w:p>
        </w:tc>
        <w:tc>
          <w:tcPr>
            <w:tcW w:w="1342" w:type="pct"/>
            <w:vAlign w:val="center"/>
          </w:tcPr>
          <w:p>
            <w:pPr>
              <w:pStyle w:val="7"/>
              <w:spacing w:line="348" w:lineRule="exact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合计持有股份</w:t>
            </w:r>
          </w:p>
        </w:tc>
        <w:tc>
          <w:tcPr>
            <w:tcW w:w="835" w:type="pct"/>
            <w:vAlign w:val="center"/>
          </w:tcPr>
          <w:p>
            <w:pPr>
              <w:pStyle w:val="7"/>
              <w:spacing w:before="74"/>
              <w:ind w:left="0" w:leftChars="0" w:right="71" w:rightChars="34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lang w:val="en-US" w:eastAsia="zh-CN"/>
              </w:rPr>
              <w:t>59,312,974</w:t>
            </w:r>
          </w:p>
        </w:tc>
        <w:tc>
          <w:tcPr>
            <w:tcW w:w="720" w:type="pct"/>
            <w:vAlign w:val="center"/>
          </w:tcPr>
          <w:p>
            <w:pPr>
              <w:pStyle w:val="7"/>
              <w:spacing w:before="74"/>
              <w:ind w:left="0" w:leftChars="0" w:right="21" w:rightChars="1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lang w:val="en-US" w:eastAsia="zh-CN"/>
              </w:rPr>
              <w:t>30.71</w:t>
            </w:r>
          </w:p>
        </w:tc>
        <w:tc>
          <w:tcPr>
            <w:tcW w:w="731" w:type="pct"/>
            <w:vAlign w:val="center"/>
          </w:tcPr>
          <w:p>
            <w:pPr>
              <w:pStyle w:val="7"/>
              <w:spacing w:before="14"/>
              <w:ind w:left="0" w:leftChars="0" w:right="31" w:rightChars="15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highlight w:val="none"/>
                <w:lang w:val="en-US" w:eastAsia="zh-CN"/>
              </w:rPr>
              <w:t>68,858,409</w:t>
            </w:r>
          </w:p>
        </w:tc>
        <w:tc>
          <w:tcPr>
            <w:tcW w:w="754" w:type="pct"/>
            <w:tcBorders>
              <w:right w:val="single" w:color="auto" w:sz="8" w:space="0"/>
            </w:tcBorders>
            <w:vAlign w:val="center"/>
          </w:tcPr>
          <w:p>
            <w:pPr>
              <w:pStyle w:val="7"/>
              <w:spacing w:before="14"/>
              <w:ind w:left="0" w:leftChars="0" w:right="-103" w:rightChars="-49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highlight w:val="none"/>
                <w:lang w:val="en-US" w:eastAsia="zh-CN"/>
              </w:rPr>
              <w:t>29.71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pct"/>
            <w:vMerge w:val="continue"/>
            <w:tcBorders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2" w:type="pct"/>
            <w:tcBorders>
              <w:bottom w:val="single" w:color="auto" w:sz="8" w:space="0"/>
            </w:tcBorders>
            <w:vAlign w:val="center"/>
          </w:tcPr>
          <w:p>
            <w:pPr>
              <w:pStyle w:val="7"/>
              <w:spacing w:line="357" w:lineRule="exact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</w:rPr>
              <w:t>其中：无限售条件股份</w:t>
            </w:r>
          </w:p>
        </w:tc>
        <w:tc>
          <w:tcPr>
            <w:tcW w:w="835" w:type="pct"/>
            <w:tcBorders>
              <w:bottom w:val="single" w:color="auto" w:sz="8" w:space="0"/>
            </w:tcBorders>
            <w:vAlign w:val="center"/>
          </w:tcPr>
          <w:p>
            <w:pPr>
              <w:pStyle w:val="7"/>
              <w:spacing w:before="74"/>
              <w:ind w:left="0" w:leftChars="0" w:right="71" w:rightChars="34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lang w:val="en-US" w:eastAsia="zh-CN"/>
              </w:rPr>
              <w:t>59,312,974</w:t>
            </w:r>
          </w:p>
        </w:tc>
        <w:tc>
          <w:tcPr>
            <w:tcW w:w="720" w:type="pct"/>
            <w:tcBorders>
              <w:bottom w:val="single" w:color="auto" w:sz="8" w:space="0"/>
            </w:tcBorders>
            <w:vAlign w:val="center"/>
          </w:tcPr>
          <w:p>
            <w:pPr>
              <w:pStyle w:val="7"/>
              <w:spacing w:before="74"/>
              <w:ind w:left="0" w:leftChars="0" w:right="21" w:rightChars="1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lang w:val="en-US" w:eastAsia="zh-CN"/>
              </w:rPr>
              <w:t>30.71</w:t>
            </w:r>
          </w:p>
        </w:tc>
        <w:tc>
          <w:tcPr>
            <w:tcW w:w="731" w:type="pct"/>
            <w:tcBorders>
              <w:bottom w:val="single" w:color="auto" w:sz="8" w:space="0"/>
            </w:tcBorders>
            <w:vAlign w:val="center"/>
          </w:tcPr>
          <w:p>
            <w:pPr>
              <w:pStyle w:val="7"/>
              <w:spacing w:before="14"/>
              <w:ind w:left="0" w:leftChars="0" w:right="31" w:rightChars="15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highlight w:val="none"/>
                <w:lang w:val="en-US" w:eastAsia="zh-CN"/>
              </w:rPr>
              <w:t>68,858,409</w:t>
            </w:r>
          </w:p>
        </w:tc>
        <w:tc>
          <w:tcPr>
            <w:tcW w:w="754" w:type="pct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7"/>
              <w:spacing w:before="14"/>
              <w:ind w:left="0" w:leftChars="0" w:right="-103" w:rightChars="-49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highlight w:val="none"/>
                <w:lang w:val="en-US" w:eastAsia="zh-CN"/>
              </w:rPr>
              <w:t>29.71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注：①公司因实施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202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年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年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度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利润分配，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以资本公积向全体股东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以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每10股转增2股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的比例进行转增股本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，公司总股本由193,101,694股增加至231,722,033股，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孔令钢、陆海天及格尔实业持股数量亦发生相应变动。②实际控制人孔令钢先生未发生减持。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line="360" w:lineRule="auto"/>
        <w:ind w:left="0" w:leftChars="0" w:firstLine="422" w:firstLineChars="175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其他情况说明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175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本次权益变动为履行前期披露的股份减持计划，详见公司于2021年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月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日披露的</w:t>
      </w:r>
      <w:r>
        <w:rPr>
          <w:rFonts w:hint="default" w:ascii="Times New Roman" w:hAnsi="Times New Roman" w:eastAsia="宋体" w:cs="Times New Roman"/>
          <w:sz w:val="24"/>
          <w:szCs w:val="24"/>
        </w:rPr>
        <w:t>《格尔软件股份有限公司股东及董监高集中竞价减持股份计划公告》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（公告编号：202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1-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）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eastAsia="zh-CN"/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175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/>
        </w:rPr>
        <w:t>陆海天先生及格尔实业的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eastAsia="zh-CN"/>
        </w:rPr>
        <w:t>减持计划尚未结束，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/>
        </w:rPr>
        <w:t>具体内容详见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eastAsia="zh-CN"/>
        </w:rPr>
        <w:t>公司于2021年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eastAsia="zh-CN"/>
        </w:rPr>
        <w:t>月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eastAsia="zh-CN"/>
        </w:rPr>
        <w:t>日披露的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《格尔软件股份有限公司股东及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董事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集中竞价减持股份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进展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公告》（公告编号：202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1-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0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44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）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eastAsia="zh-CN"/>
        </w:rPr>
        <w:t>。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eastAsia="zh-CN"/>
        </w:rPr>
        <w:t>公司将持续关注陆海天先生、格尔实业本次减持计划的后续实施情况，并按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/>
        </w:rPr>
        <w:t>中国证监会及上海证券交易所的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eastAsia="zh-CN"/>
        </w:rPr>
        <w:t>相关规定及时履行信息披露义务。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175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eastAsia="zh-CN"/>
        </w:rPr>
        <w:t>本次权益变动为减持，未触及要约收购，不涉及资金来源。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175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本次权益变动不会导致控股股东、实际控制人的变化。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175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本次权益变动后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陆海天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先生、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格尔实业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所持有的公司股份均享有表决权，不存在质押、冻结、表决权委托或受限等任何权利限制或被限制转让的情况。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175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本次股东权益变动不涉及信息披露义务人披露权益变动报告书。</w:t>
      </w:r>
    </w:p>
    <w:p>
      <w:pPr>
        <w:pStyle w:val="2"/>
        <w:spacing w:before="67"/>
        <w:ind w:left="923"/>
      </w:pPr>
    </w:p>
    <w:p>
      <w:pPr>
        <w:pStyle w:val="2"/>
        <w:spacing w:before="67"/>
        <w:ind w:left="923"/>
      </w:pPr>
      <w:r>
        <w:t>特此公告。</w:t>
      </w:r>
    </w:p>
    <w:p>
      <w:pPr>
        <w:adjustRightInd w:val="0"/>
        <w:snapToGrid w:val="0"/>
        <w:spacing w:before="156" w:beforeLines="50" w:line="360" w:lineRule="auto"/>
        <w:ind w:firstLine="420" w:firstLineChars="175"/>
        <w:jc w:val="right"/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</w:rPr>
        <w:t>格尔软件股份有限公司</w:t>
      </w:r>
      <w:r>
        <w:rPr>
          <w:rFonts w:hint="eastAsia" w:ascii="Times New Roman" w:hAnsi="Times New Roman" w:eastAsia="宋体" w:cs="Times New Roman"/>
          <w:kern w:val="0"/>
          <w:sz w:val="24"/>
          <w:lang w:eastAsia="zh-CN"/>
        </w:rPr>
        <w:t>董事会</w:t>
      </w:r>
    </w:p>
    <w:p>
      <w:pPr>
        <w:adjustRightInd w:val="0"/>
        <w:snapToGrid w:val="0"/>
        <w:spacing w:before="156" w:beforeLines="50" w:line="360" w:lineRule="auto"/>
        <w:ind w:firstLine="420" w:firstLineChars="175"/>
        <w:jc w:val="right"/>
      </w:pPr>
      <w:r>
        <w:rPr>
          <w:rFonts w:hint="eastAsia" w:ascii="Times New Roman" w:hAnsi="Times New Roman" w:eastAsia="宋体" w:cs="Times New Roman"/>
          <w:kern w:val="0"/>
          <w:sz w:val="24"/>
        </w:rPr>
        <w:t>202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kern w:val="0"/>
          <w:sz w:val="24"/>
        </w:rPr>
        <w:t>年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7</w:t>
      </w:r>
      <w:r>
        <w:rPr>
          <w:rFonts w:hint="eastAsia" w:ascii="Times New Roman" w:hAnsi="Times New Roman" w:eastAsia="宋体" w:cs="Times New Roman"/>
          <w:kern w:val="0"/>
          <w:sz w:val="24"/>
        </w:rPr>
        <w:t>月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24</w:t>
      </w:r>
      <w:r>
        <w:rPr>
          <w:rFonts w:hint="eastAsia" w:ascii="Times New Roman" w:hAnsi="Times New Roman" w:eastAsia="宋体" w:cs="Times New Roman"/>
          <w:kern w:val="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081885"/>
    <w:multiLevelType w:val="singleLevel"/>
    <w:tmpl w:val="1208188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EDB7165"/>
    <w:multiLevelType w:val="singleLevel"/>
    <w:tmpl w:val="3EDB7165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9AB710A"/>
    <w:multiLevelType w:val="multilevel"/>
    <w:tmpl w:val="49AB710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8A634B"/>
    <w:rsid w:val="00491A48"/>
    <w:rsid w:val="018E4822"/>
    <w:rsid w:val="027576DF"/>
    <w:rsid w:val="02AF4FED"/>
    <w:rsid w:val="04BC2DF0"/>
    <w:rsid w:val="05202816"/>
    <w:rsid w:val="05B5678A"/>
    <w:rsid w:val="07832D9E"/>
    <w:rsid w:val="082957A9"/>
    <w:rsid w:val="083E47F0"/>
    <w:rsid w:val="08C60F31"/>
    <w:rsid w:val="0AC149D4"/>
    <w:rsid w:val="0BC4590D"/>
    <w:rsid w:val="0BE8347C"/>
    <w:rsid w:val="0E6963E7"/>
    <w:rsid w:val="0F34760A"/>
    <w:rsid w:val="0FBD3F46"/>
    <w:rsid w:val="100E2521"/>
    <w:rsid w:val="11535FD3"/>
    <w:rsid w:val="11FA498B"/>
    <w:rsid w:val="15462F97"/>
    <w:rsid w:val="15E54F66"/>
    <w:rsid w:val="17391ED0"/>
    <w:rsid w:val="17A17C4F"/>
    <w:rsid w:val="17E62CEF"/>
    <w:rsid w:val="1A041605"/>
    <w:rsid w:val="1D36117A"/>
    <w:rsid w:val="1DE640C3"/>
    <w:rsid w:val="1DFD4981"/>
    <w:rsid w:val="1E125A00"/>
    <w:rsid w:val="1F6C3676"/>
    <w:rsid w:val="21FC1A11"/>
    <w:rsid w:val="29A7485D"/>
    <w:rsid w:val="29B938DA"/>
    <w:rsid w:val="2A371B74"/>
    <w:rsid w:val="2DF44503"/>
    <w:rsid w:val="2E4E7A2B"/>
    <w:rsid w:val="2E80779D"/>
    <w:rsid w:val="319F35A4"/>
    <w:rsid w:val="322C3E9F"/>
    <w:rsid w:val="38D05A6D"/>
    <w:rsid w:val="390212BA"/>
    <w:rsid w:val="397D10DC"/>
    <w:rsid w:val="39B02A11"/>
    <w:rsid w:val="3AF7441B"/>
    <w:rsid w:val="3BCD7850"/>
    <w:rsid w:val="3C295A99"/>
    <w:rsid w:val="3EE1443F"/>
    <w:rsid w:val="3EFB2631"/>
    <w:rsid w:val="40461D28"/>
    <w:rsid w:val="42FD048C"/>
    <w:rsid w:val="433B62FA"/>
    <w:rsid w:val="43426F87"/>
    <w:rsid w:val="48000720"/>
    <w:rsid w:val="489563C0"/>
    <w:rsid w:val="4A0E310F"/>
    <w:rsid w:val="4B836A32"/>
    <w:rsid w:val="4C565D83"/>
    <w:rsid w:val="4CA84D93"/>
    <w:rsid w:val="557F37B6"/>
    <w:rsid w:val="56FD7F32"/>
    <w:rsid w:val="59DB62D9"/>
    <w:rsid w:val="5AE76E49"/>
    <w:rsid w:val="5C646231"/>
    <w:rsid w:val="5DAC49EF"/>
    <w:rsid w:val="609A26F5"/>
    <w:rsid w:val="61FC78BC"/>
    <w:rsid w:val="628A634B"/>
    <w:rsid w:val="66066C4D"/>
    <w:rsid w:val="6736715E"/>
    <w:rsid w:val="67BF6746"/>
    <w:rsid w:val="683A721E"/>
    <w:rsid w:val="688A543D"/>
    <w:rsid w:val="68BA5CE9"/>
    <w:rsid w:val="68BB441C"/>
    <w:rsid w:val="692A202C"/>
    <w:rsid w:val="6B797D08"/>
    <w:rsid w:val="6C360C93"/>
    <w:rsid w:val="6DBF37EC"/>
    <w:rsid w:val="6E471F02"/>
    <w:rsid w:val="70BD7855"/>
    <w:rsid w:val="71862D6F"/>
    <w:rsid w:val="73911D1F"/>
    <w:rsid w:val="75A620CB"/>
    <w:rsid w:val="76CC503A"/>
    <w:rsid w:val="7A65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table" w:styleId="4">
    <w:name w:val="Table Grid"/>
    <w:basedOn w:val="3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99"/>
    <w:pPr>
      <w:ind w:firstLine="420" w:firstLineChars="200"/>
    </w:pPr>
  </w:style>
  <w:style w:type="paragraph" w:customStyle="1" w:styleId="7">
    <w:name w:val="Table Paragraph"/>
    <w:basedOn w:val="1"/>
    <w:qFormat/>
    <w:uiPriority w:val="1"/>
    <w:pPr>
      <w:jc w:val="center"/>
    </w:pPr>
    <w:rPr>
      <w:rFonts w:ascii="Times New Roman" w:hAnsi="Times New Roman" w:eastAsia="Times New Roman" w:cs="Times New Roman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2021-07-15T08:57:00Z</dcterms:created>
  <dc:creator>suuuu</dc:creator>
  <cp:lastModifiedBy>邹岩</cp:lastModifiedBy>
  <dcterms:modified xsi:type="dcterms:W3CDTF">2021-07-22T07:50:02Z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358DBB3468C940318520C24FB1B6D7C7</vt:lpwstr>
  </property>
</Properties>
</file>