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ind w:firstLine="210" w:firstLineChars="100"/>
        <w:rPr>
          <w:rFonts w:hint="default" w:ascii="黑体" w:hAnsi="黑体" w:eastAsia="宋体" w:cs="黑体"/>
          <w:color w:val="000000"/>
          <w:kern w:val="0"/>
          <w:sz w:val="24"/>
          <w:szCs w:val="24"/>
          <w:highlight w:val="none"/>
          <w:lang w:val="en-US" w:eastAsia="zh-CN"/>
        </w:rPr>
      </w:pPr>
      <w:r>
        <w:rPr>
          <w:szCs w:val="21"/>
        </w:rPr>
        <w:t>证券代码：603232</w:t>
      </w:r>
      <w:r>
        <w:rPr>
          <w:rFonts w:hint="eastAsia"/>
          <w:szCs w:val="21"/>
          <w:lang w:val="en-US" w:eastAsia="zh-CN"/>
        </w:rPr>
        <w:t xml:space="preserve">             </w:t>
      </w:r>
      <w:r>
        <w:rPr>
          <w:szCs w:val="21"/>
        </w:rPr>
        <w:t>证券简称：格尔软件</w:t>
      </w:r>
      <w:r>
        <w:rPr>
          <w:rFonts w:hint="eastAsia"/>
          <w:szCs w:val="21"/>
          <w:lang w:val="en-US" w:eastAsia="zh-CN"/>
        </w:rPr>
        <w:t xml:space="preserve">            </w:t>
      </w:r>
      <w:r>
        <w:rPr>
          <w:szCs w:val="21"/>
        </w:rPr>
        <w:t>公告</w:t>
      </w:r>
      <w:r>
        <w:rPr>
          <w:szCs w:val="21"/>
          <w:highlight w:val="none"/>
        </w:rPr>
        <w:t>编号：202</w:t>
      </w:r>
      <w:r>
        <w:rPr>
          <w:rFonts w:hint="eastAsia"/>
          <w:szCs w:val="21"/>
          <w:highlight w:val="none"/>
          <w:lang w:val="en-US" w:eastAsia="zh-CN"/>
        </w:rPr>
        <w:t>2</w:t>
      </w:r>
      <w:r>
        <w:rPr>
          <w:szCs w:val="21"/>
          <w:highlight w:val="none"/>
        </w:rPr>
        <w:t>-</w:t>
      </w:r>
      <w:r>
        <w:rPr>
          <w:rFonts w:hint="eastAsia"/>
          <w:szCs w:val="21"/>
          <w:highlight w:val="none"/>
          <w:lang w:val="en-US" w:eastAsia="zh-CN"/>
        </w:rPr>
        <w:t>004</w:t>
      </w:r>
    </w:p>
    <w:p>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center"/>
        <w:textAlignment w:val="auto"/>
        <w:rPr>
          <w:rFonts w:ascii="黑体" w:hAnsi="黑体" w:eastAsia="黑体"/>
          <w:b/>
          <w:color w:val="FF0000"/>
          <w:sz w:val="32"/>
          <w:szCs w:val="32"/>
        </w:rPr>
      </w:pPr>
      <w:r>
        <w:rPr>
          <w:rFonts w:hint="eastAsia" w:ascii="黑体" w:hAnsi="黑体" w:eastAsia="黑体"/>
          <w:b/>
          <w:color w:val="FF0000"/>
          <w:sz w:val="32"/>
          <w:szCs w:val="32"/>
        </w:rPr>
        <w:t>格尔软件股份有限公司</w:t>
      </w: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关于使用部分闲置</w:t>
      </w:r>
      <w:r>
        <w:rPr>
          <w:rFonts w:hint="eastAsia" w:ascii="黑体" w:hAnsi="黑体" w:eastAsia="黑体"/>
          <w:b/>
          <w:color w:val="FF0000"/>
          <w:sz w:val="32"/>
          <w:szCs w:val="32"/>
          <w:lang w:eastAsia="zh-CN"/>
        </w:rPr>
        <w:t>自有资金</w:t>
      </w:r>
      <w:r>
        <w:rPr>
          <w:rFonts w:hint="eastAsia" w:ascii="黑体" w:hAnsi="黑体" w:eastAsia="黑体"/>
          <w:b/>
          <w:color w:val="FF0000"/>
          <w:sz w:val="32"/>
          <w:szCs w:val="32"/>
        </w:rPr>
        <w:t>进行现金管理的进展公告</w:t>
      </w:r>
    </w:p>
    <w:p>
      <w:pPr>
        <w:pBdr>
          <w:top w:val="single" w:color="auto" w:sz="4" w:space="1"/>
          <w:left w:val="single" w:color="auto" w:sz="4" w:space="4"/>
          <w:bottom w:val="single" w:color="auto" w:sz="4" w:space="0"/>
          <w:right w:val="single" w:color="auto" w:sz="4" w:space="4"/>
        </w:pBdr>
        <w:adjustRightInd w:val="0"/>
        <w:snapToGrid w:val="0"/>
        <w:spacing w:line="360" w:lineRule="auto"/>
        <w:ind w:firstLine="420" w:firstLineChars="20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本公司董事会及全体董事保证本公告内容不存在任何虚假记载、误导性陈述或者重大遗漏，并对其内容的真实性、准确性和完整性承担个别及连带责任。</w:t>
      </w:r>
    </w:p>
    <w:p>
      <w:pPr>
        <w:adjustRightInd w:val="0"/>
        <w:snapToGrid w:val="0"/>
        <w:spacing w:line="360" w:lineRule="auto"/>
        <w:ind w:firstLine="482" w:firstLineChars="200"/>
        <w:rPr>
          <w:rFonts w:asciiTheme="minorEastAsia" w:hAnsiTheme="minorEastAsia" w:eastAsiaTheme="minorEastAsia"/>
          <w:b/>
          <w:sz w:val="24"/>
          <w:szCs w:val="24"/>
        </w:rPr>
      </w:pPr>
    </w:p>
    <w:p>
      <w:pPr>
        <w:adjustRightInd w:val="0"/>
        <w:snapToGrid w:val="0"/>
        <w:spacing w:line="360" w:lineRule="auto"/>
        <w:rPr>
          <w:rFonts w:asciiTheme="minorEastAsia" w:hAnsiTheme="minorEastAsia" w:eastAsiaTheme="minorEastAsia"/>
          <w:b/>
          <w:sz w:val="24"/>
          <w:szCs w:val="24"/>
        </w:rPr>
      </w:pPr>
      <w:r>
        <w:rPr>
          <w:rFonts w:hint="eastAsia" w:asciiTheme="minorEastAsia" w:hAnsiTheme="minorEastAsia" w:eastAsiaTheme="minorEastAsia"/>
          <w:b/>
          <w:sz w:val="24"/>
          <w:szCs w:val="24"/>
        </w:rPr>
        <w:t>重要内容提示：</w:t>
      </w:r>
    </w:p>
    <w:p>
      <w:pPr>
        <w:widowControl/>
        <w:numPr>
          <w:ilvl w:val="0"/>
          <w:numId w:val="1"/>
        </w:numPr>
        <w:spacing w:line="360" w:lineRule="auto"/>
        <w:rPr>
          <w:rFonts w:hint="default" w:ascii="Times New Roman" w:hAnsi="Times New Roman" w:cs="Times New Roman" w:eastAsiaTheme="minorEastAsia"/>
          <w:sz w:val="24"/>
          <w:szCs w:val="24"/>
          <w:highlight w:val="none"/>
        </w:rPr>
      </w:pPr>
      <w:r>
        <w:rPr>
          <w:rFonts w:hint="eastAsia" w:asciiTheme="minorEastAsia" w:hAnsiTheme="minorEastAsia" w:eastAsiaTheme="minorEastAsia" w:cstheme="minorEastAsia"/>
          <w:color w:val="000000"/>
          <w:kern w:val="0"/>
          <w:sz w:val="24"/>
          <w:szCs w:val="24"/>
          <w:lang w:bidi="ar"/>
        </w:rPr>
        <w:t>委</w:t>
      </w:r>
      <w:r>
        <w:rPr>
          <w:rFonts w:hint="default" w:ascii="Times New Roman" w:hAnsi="Times New Roman" w:cs="Times New Roman" w:eastAsiaTheme="minorEastAsia"/>
          <w:color w:val="000000"/>
          <w:kern w:val="0"/>
          <w:sz w:val="24"/>
          <w:szCs w:val="24"/>
          <w:highlight w:val="none"/>
          <w:lang w:bidi="ar"/>
        </w:rPr>
        <w:t>托理财受托方：</w:t>
      </w:r>
      <w:r>
        <w:rPr>
          <w:rFonts w:ascii="宋体" w:hAnsi="宋体" w:eastAsia="宋体" w:cs="宋体"/>
          <w:sz w:val="24"/>
          <w:szCs w:val="24"/>
        </w:rPr>
        <w:t>国融证券股份有限公司（以下简称“国融证券”）</w:t>
      </w:r>
      <w:r>
        <w:rPr>
          <w:rFonts w:hint="eastAsia" w:ascii="宋体" w:hAnsi="宋体" w:cs="宋体"/>
          <w:sz w:val="24"/>
          <w:szCs w:val="24"/>
          <w:lang w:eastAsia="zh-CN"/>
        </w:rPr>
        <w:t>、</w:t>
      </w:r>
      <w:r>
        <w:rPr>
          <w:rFonts w:ascii="宋体" w:hAnsi="宋体" w:eastAsia="宋体" w:cs="宋体"/>
          <w:sz w:val="24"/>
          <w:szCs w:val="24"/>
        </w:rPr>
        <w:t>招商银行股份有限公司（以下简称“招商银行”）</w:t>
      </w:r>
      <w:r>
        <w:rPr>
          <w:rFonts w:hint="eastAsia" w:ascii="宋体" w:hAnsi="宋体" w:cs="宋体"/>
          <w:sz w:val="24"/>
          <w:szCs w:val="24"/>
          <w:lang w:eastAsia="zh-CN"/>
        </w:rPr>
        <w:t>、上海农村商业银行股份有限公司（以下简称“上海农商行”）、</w:t>
      </w:r>
      <w:r>
        <w:rPr>
          <w:rFonts w:ascii="Arial" w:hAnsi="Arial" w:eastAsia="宋体" w:cs="Arial"/>
          <w:i w:val="0"/>
          <w:iCs w:val="0"/>
          <w:caps w:val="0"/>
          <w:color w:val="333333"/>
          <w:spacing w:val="0"/>
          <w:sz w:val="24"/>
          <w:szCs w:val="24"/>
          <w:shd w:val="clear" w:fill="FFFFFF"/>
        </w:rPr>
        <w:t>交通银行股份有限公司</w:t>
      </w:r>
      <w:r>
        <w:rPr>
          <w:rFonts w:hint="eastAsia" w:ascii="Arial" w:hAnsi="Arial" w:cs="Arial"/>
          <w:i w:val="0"/>
          <w:iCs w:val="0"/>
          <w:caps w:val="0"/>
          <w:color w:val="333333"/>
          <w:spacing w:val="0"/>
          <w:sz w:val="24"/>
          <w:szCs w:val="24"/>
          <w:shd w:val="clear" w:fill="FFFFFF"/>
          <w:lang w:eastAsia="zh-CN"/>
        </w:rPr>
        <w:t>（以下简称“交通银行”）</w:t>
      </w:r>
      <w:r>
        <w:rPr>
          <w:rFonts w:ascii="宋体" w:hAnsi="宋体" w:eastAsia="宋体" w:cs="宋体"/>
          <w:sz w:val="24"/>
          <w:szCs w:val="24"/>
        </w:rPr>
        <w:t>。</w:t>
      </w:r>
    </w:p>
    <w:p>
      <w:pPr>
        <w:widowControl/>
        <w:numPr>
          <w:ilvl w:val="0"/>
          <w:numId w:val="1"/>
        </w:numPr>
        <w:spacing w:line="360" w:lineRule="auto"/>
        <w:jc w:val="left"/>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color w:val="000000"/>
          <w:kern w:val="0"/>
          <w:sz w:val="24"/>
          <w:szCs w:val="24"/>
          <w:highlight w:val="none"/>
          <w:lang w:bidi="ar"/>
        </w:rPr>
        <w:t>本次委托理财金额：</w:t>
      </w:r>
      <w:r>
        <w:rPr>
          <w:rFonts w:hint="eastAsia" w:cs="Times New Roman" w:eastAsiaTheme="minorEastAsia"/>
          <w:color w:val="000000"/>
          <w:kern w:val="0"/>
          <w:sz w:val="24"/>
          <w:szCs w:val="24"/>
          <w:highlight w:val="none"/>
          <w:lang w:val="en-US" w:eastAsia="zh-CN" w:bidi="ar"/>
        </w:rPr>
        <w:t>13,000</w:t>
      </w:r>
      <w:r>
        <w:rPr>
          <w:rFonts w:hint="default" w:ascii="Times New Roman" w:hAnsi="Times New Roman" w:cs="Times New Roman" w:eastAsiaTheme="minorEastAsia"/>
          <w:color w:val="000000"/>
          <w:kern w:val="0"/>
          <w:sz w:val="24"/>
          <w:szCs w:val="24"/>
          <w:highlight w:val="none"/>
          <w:lang w:eastAsia="zh-CN" w:bidi="ar"/>
        </w:rPr>
        <w:t>万</w:t>
      </w:r>
      <w:r>
        <w:rPr>
          <w:rFonts w:hint="default" w:ascii="Times New Roman" w:hAnsi="Times New Roman" w:cs="Times New Roman" w:eastAsiaTheme="minorEastAsia"/>
          <w:color w:val="000000"/>
          <w:kern w:val="0"/>
          <w:sz w:val="24"/>
          <w:szCs w:val="24"/>
          <w:highlight w:val="none"/>
          <w:lang w:bidi="ar"/>
        </w:rPr>
        <w:t>元</w:t>
      </w:r>
    </w:p>
    <w:p>
      <w:pPr>
        <w:widowControl/>
        <w:numPr>
          <w:ilvl w:val="0"/>
          <w:numId w:val="1"/>
        </w:numPr>
        <w:spacing w:line="360" w:lineRule="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color w:val="000000"/>
          <w:kern w:val="0"/>
          <w:sz w:val="24"/>
          <w:szCs w:val="24"/>
          <w:highlight w:val="none"/>
          <w:lang w:bidi="ar"/>
        </w:rPr>
        <w:t>委托理财产品名称：</w:t>
      </w:r>
      <w:r>
        <w:rPr>
          <w:rFonts w:hint="eastAsia" w:ascii="宋体" w:hAnsi="宋体" w:cs="宋体"/>
          <w:sz w:val="24"/>
          <w:szCs w:val="24"/>
          <w:lang w:eastAsia="zh-CN"/>
        </w:rPr>
        <w:t>国融证券国融安</w:t>
      </w:r>
      <w:r>
        <w:rPr>
          <w:rFonts w:hint="default" w:ascii="Times New Roman" w:hAnsi="Times New Roman" w:cs="Times New Roman"/>
          <w:sz w:val="24"/>
          <w:szCs w:val="24"/>
          <w:lang w:eastAsia="zh-CN"/>
        </w:rPr>
        <w:t>顺1号集</w:t>
      </w:r>
      <w:r>
        <w:rPr>
          <w:rFonts w:hint="eastAsia" w:ascii="宋体" w:hAnsi="宋体" w:cs="宋体"/>
          <w:sz w:val="24"/>
          <w:szCs w:val="24"/>
          <w:lang w:eastAsia="zh-CN"/>
        </w:rPr>
        <w:t>合资产管理计</w:t>
      </w:r>
      <w:r>
        <w:rPr>
          <w:rFonts w:ascii="宋体" w:hAnsi="宋体" w:eastAsia="宋体" w:cs="宋体"/>
          <w:sz w:val="24"/>
          <w:szCs w:val="24"/>
          <w:highlight w:val="none"/>
        </w:rPr>
        <w:t>划（以下简称“安</w:t>
      </w:r>
      <w:r>
        <w:rPr>
          <w:rFonts w:hint="default" w:ascii="Times New Roman" w:hAnsi="Times New Roman" w:eastAsia="宋体" w:cs="Times New Roman"/>
          <w:sz w:val="24"/>
          <w:szCs w:val="24"/>
          <w:highlight w:val="none"/>
        </w:rPr>
        <w:t>顺1</w:t>
      </w:r>
      <w:r>
        <w:rPr>
          <w:rFonts w:ascii="宋体" w:hAnsi="宋体" w:eastAsia="宋体" w:cs="宋体"/>
          <w:sz w:val="24"/>
          <w:szCs w:val="24"/>
          <w:highlight w:val="none"/>
        </w:rPr>
        <w:t>号”）</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招商银行朝招金（多元稳健型）理财计划</w:t>
      </w:r>
      <w:r>
        <w:rPr>
          <w:rFonts w:hint="eastAsia" w:ascii="宋体" w:hAnsi="宋体" w:cs="宋体"/>
          <w:sz w:val="24"/>
          <w:szCs w:val="24"/>
          <w:highlight w:val="none"/>
          <w:lang w:eastAsia="zh-CN"/>
        </w:rPr>
        <w:t>（以下简称“朝招金多元稳健型”）、“鑫利”系列鑫增</w:t>
      </w:r>
      <w:r>
        <w:rPr>
          <w:rFonts w:hint="default" w:ascii="Times New Roman" w:hAnsi="Times New Roman" w:cs="Times New Roman"/>
          <w:sz w:val="24"/>
          <w:szCs w:val="24"/>
          <w:highlight w:val="none"/>
          <w:lang w:eastAsia="zh-CN"/>
        </w:rPr>
        <w:t>利19047期（6个月</w:t>
      </w:r>
      <w:r>
        <w:rPr>
          <w:rFonts w:hint="eastAsia" w:ascii="宋体" w:hAnsi="宋体" w:cs="宋体"/>
          <w:sz w:val="24"/>
          <w:szCs w:val="24"/>
          <w:highlight w:val="none"/>
          <w:lang w:eastAsia="zh-CN"/>
        </w:rPr>
        <w:t>）人民币理财产品（以下简称“鑫增利</w:t>
      </w:r>
      <w:r>
        <w:rPr>
          <w:rFonts w:hint="default" w:ascii="Times New Roman" w:hAnsi="Times New Roman" w:cs="Times New Roman"/>
          <w:sz w:val="24"/>
          <w:szCs w:val="24"/>
          <w:highlight w:val="none"/>
          <w:lang w:val="en-US" w:eastAsia="zh-CN"/>
        </w:rPr>
        <w:t>19047</w:t>
      </w:r>
      <w:r>
        <w:rPr>
          <w:rFonts w:hint="eastAsia" w:ascii="宋体" w:hAnsi="宋体" w:cs="宋体"/>
          <w:sz w:val="24"/>
          <w:szCs w:val="24"/>
          <w:highlight w:val="none"/>
          <w:lang w:val="en-US" w:eastAsia="zh-CN"/>
        </w:rPr>
        <w:t>期</w:t>
      </w:r>
      <w:r>
        <w:rPr>
          <w:rFonts w:hint="eastAsia" w:ascii="宋体" w:hAnsi="宋体" w:cs="宋体"/>
          <w:sz w:val="24"/>
          <w:szCs w:val="24"/>
          <w:highlight w:val="none"/>
          <w:lang w:eastAsia="zh-CN"/>
        </w:rPr>
        <w:t>”）、交银理财稳享固收增强日</w:t>
      </w:r>
      <w:r>
        <w:rPr>
          <w:rFonts w:hint="default" w:ascii="Times New Roman" w:hAnsi="Times New Roman" w:cs="Times New Roman"/>
          <w:sz w:val="24"/>
          <w:szCs w:val="24"/>
          <w:highlight w:val="none"/>
          <w:lang w:eastAsia="zh-CN"/>
        </w:rPr>
        <w:t>开2号（30</w:t>
      </w:r>
      <w:r>
        <w:rPr>
          <w:rFonts w:hint="eastAsia" w:ascii="宋体" w:hAnsi="宋体" w:cs="宋体"/>
          <w:sz w:val="24"/>
          <w:szCs w:val="24"/>
          <w:highlight w:val="none"/>
          <w:lang w:eastAsia="zh-CN"/>
        </w:rPr>
        <w:t>天持有期）理财产品（以下简称“交银日开</w:t>
      </w:r>
      <w:r>
        <w:rPr>
          <w:rFonts w:hint="default" w:ascii="Times New Roman" w:hAnsi="Times New Roman" w:cs="Times New Roman"/>
          <w:sz w:val="24"/>
          <w:szCs w:val="24"/>
          <w:highlight w:val="none"/>
          <w:lang w:val="en-US" w:eastAsia="zh-CN"/>
        </w:rPr>
        <w:t>2</w:t>
      </w:r>
      <w:r>
        <w:rPr>
          <w:rFonts w:hint="eastAsia" w:ascii="宋体" w:hAnsi="宋体" w:cs="宋体"/>
          <w:sz w:val="24"/>
          <w:szCs w:val="24"/>
          <w:highlight w:val="none"/>
          <w:lang w:val="en-US" w:eastAsia="zh-CN"/>
        </w:rPr>
        <w:t>号</w:t>
      </w:r>
      <w:r>
        <w:rPr>
          <w:rFonts w:hint="eastAsia" w:ascii="宋体" w:hAnsi="宋体" w:cs="宋体"/>
          <w:sz w:val="24"/>
          <w:szCs w:val="24"/>
          <w:highlight w:val="none"/>
          <w:lang w:eastAsia="zh-CN"/>
        </w:rPr>
        <w:t>”）。</w:t>
      </w:r>
    </w:p>
    <w:p>
      <w:pPr>
        <w:widowControl/>
        <w:numPr>
          <w:ilvl w:val="0"/>
          <w:numId w:val="1"/>
        </w:numPr>
        <w:spacing w:line="360" w:lineRule="auto"/>
        <w:jc w:val="left"/>
        <w:rPr>
          <w:rFonts w:hint="default" w:ascii="Times New Roman" w:hAnsi="Times New Roman" w:cs="Times New Roman" w:eastAsiaTheme="minorEastAsia"/>
          <w:color w:val="000000"/>
          <w:kern w:val="0"/>
          <w:sz w:val="24"/>
          <w:szCs w:val="24"/>
          <w:highlight w:val="none"/>
          <w:lang w:bidi="ar"/>
        </w:rPr>
      </w:pPr>
      <w:r>
        <w:rPr>
          <w:rFonts w:hint="default" w:ascii="Times New Roman" w:hAnsi="Times New Roman" w:cs="Times New Roman" w:eastAsiaTheme="minorEastAsia"/>
          <w:color w:val="000000"/>
          <w:kern w:val="0"/>
          <w:sz w:val="24"/>
          <w:szCs w:val="24"/>
          <w:highlight w:val="none"/>
          <w:lang w:bidi="ar"/>
        </w:rPr>
        <w:t>委托理财期限：</w:t>
      </w:r>
      <w:r>
        <w:rPr>
          <w:rFonts w:hint="default" w:ascii="Times New Roman" w:hAnsi="Times New Roman" w:eastAsia="宋体" w:cs="Times New Roman"/>
          <w:sz w:val="24"/>
          <w:szCs w:val="24"/>
          <w:highlight w:val="none"/>
        </w:rPr>
        <w:t>安顺1号每轮周期为7天</w:t>
      </w:r>
      <w:r>
        <w:rPr>
          <w:rFonts w:hint="eastAsia" w:cs="Times New Roman"/>
          <w:sz w:val="24"/>
          <w:szCs w:val="24"/>
          <w:highlight w:val="none"/>
          <w:lang w:eastAsia="zh-CN"/>
        </w:rPr>
        <w:t>、</w:t>
      </w:r>
      <w:r>
        <w:rPr>
          <w:rFonts w:hint="eastAsia" w:ascii="宋体" w:hAnsi="宋体" w:cs="宋体"/>
          <w:sz w:val="24"/>
          <w:szCs w:val="24"/>
          <w:highlight w:val="none"/>
          <w:lang w:eastAsia="zh-CN"/>
        </w:rPr>
        <w:t>鑫增利</w:t>
      </w:r>
      <w:r>
        <w:rPr>
          <w:rFonts w:hint="default" w:ascii="Times New Roman" w:hAnsi="Times New Roman" w:cs="Times New Roman"/>
          <w:sz w:val="24"/>
          <w:szCs w:val="24"/>
          <w:highlight w:val="none"/>
          <w:lang w:val="en-US" w:eastAsia="zh-CN"/>
        </w:rPr>
        <w:t>19047期每轮周期为6</w:t>
      </w:r>
      <w:r>
        <w:rPr>
          <w:rFonts w:hint="eastAsia" w:ascii="宋体" w:hAnsi="宋体" w:cs="宋体"/>
          <w:sz w:val="24"/>
          <w:szCs w:val="24"/>
          <w:highlight w:val="none"/>
          <w:lang w:val="en-US" w:eastAsia="zh-CN"/>
        </w:rPr>
        <w:t>个月、</w:t>
      </w:r>
      <w:r>
        <w:rPr>
          <w:rFonts w:hint="eastAsia" w:ascii="宋体" w:hAnsi="宋体" w:cs="宋体"/>
          <w:sz w:val="24"/>
          <w:szCs w:val="24"/>
          <w:highlight w:val="none"/>
          <w:lang w:eastAsia="zh-CN"/>
        </w:rPr>
        <w:t>交银日</w:t>
      </w:r>
      <w:r>
        <w:rPr>
          <w:rFonts w:hint="default" w:ascii="Times New Roman" w:hAnsi="Times New Roman" w:cs="Times New Roman"/>
          <w:sz w:val="24"/>
          <w:szCs w:val="24"/>
          <w:highlight w:val="none"/>
          <w:lang w:eastAsia="zh-CN"/>
        </w:rPr>
        <w:t>开</w:t>
      </w:r>
      <w:r>
        <w:rPr>
          <w:rFonts w:hint="default" w:ascii="Times New Roman" w:hAnsi="Times New Roman" w:cs="Times New Roman"/>
          <w:sz w:val="24"/>
          <w:szCs w:val="24"/>
          <w:highlight w:val="none"/>
          <w:lang w:val="en-US" w:eastAsia="zh-CN"/>
        </w:rPr>
        <w:t>2号封闭期30</w:t>
      </w:r>
      <w:r>
        <w:rPr>
          <w:rFonts w:hint="eastAsia" w:cs="Times New Roman"/>
          <w:sz w:val="24"/>
          <w:szCs w:val="24"/>
          <w:highlight w:val="none"/>
          <w:lang w:val="en-US" w:eastAsia="zh-CN"/>
        </w:rPr>
        <w:t>个自然日</w:t>
      </w:r>
      <w:r>
        <w:rPr>
          <w:rFonts w:hint="default" w:ascii="Times New Roman" w:hAnsi="Times New Roman" w:cs="Times New Roman"/>
          <w:sz w:val="24"/>
          <w:szCs w:val="24"/>
          <w:highlight w:val="none"/>
          <w:lang w:val="en-US" w:eastAsia="zh-CN"/>
        </w:rPr>
        <w:t>后无</w:t>
      </w:r>
      <w:r>
        <w:rPr>
          <w:rFonts w:hint="eastAsia" w:ascii="宋体" w:hAnsi="宋体" w:cs="宋体"/>
          <w:sz w:val="24"/>
          <w:szCs w:val="24"/>
          <w:highlight w:val="none"/>
          <w:lang w:val="en-US" w:eastAsia="zh-CN"/>
        </w:rPr>
        <w:t>固定期限、</w:t>
      </w:r>
      <w:r>
        <w:rPr>
          <w:rFonts w:hint="default" w:ascii="Times New Roman" w:hAnsi="Times New Roman" w:eastAsia="宋体" w:cs="Times New Roman"/>
          <w:sz w:val="24"/>
          <w:szCs w:val="24"/>
          <w:highlight w:val="none"/>
        </w:rPr>
        <w:t>其他产品无固定期限</w:t>
      </w:r>
      <w:r>
        <w:rPr>
          <w:rFonts w:hint="default" w:ascii="Times New Roman" w:hAnsi="Times New Roman" w:cs="Times New Roman" w:eastAsiaTheme="minorEastAsia"/>
          <w:color w:val="000000"/>
          <w:kern w:val="0"/>
          <w:sz w:val="24"/>
          <w:szCs w:val="24"/>
          <w:highlight w:val="none"/>
          <w:lang w:eastAsia="zh-CN" w:bidi="ar"/>
        </w:rPr>
        <w:t>。</w:t>
      </w:r>
    </w:p>
    <w:p>
      <w:pPr>
        <w:widowControl/>
        <w:numPr>
          <w:ilvl w:val="0"/>
          <w:numId w:val="1"/>
        </w:numPr>
        <w:spacing w:line="360" w:lineRule="auto"/>
        <w:rPr>
          <w:rFonts w:asciiTheme="minorEastAsia" w:hAnsiTheme="minorEastAsia" w:eastAsiaTheme="minorEastAsia" w:cstheme="minorEastAsia"/>
          <w:color w:val="000000"/>
          <w:sz w:val="24"/>
          <w:szCs w:val="24"/>
          <w:highlight w:val="none"/>
        </w:rPr>
      </w:pPr>
      <w:r>
        <w:rPr>
          <w:rFonts w:hint="default" w:ascii="Times New Roman" w:hAnsi="Times New Roman" w:cs="Times New Roman" w:eastAsiaTheme="minorEastAsia"/>
          <w:color w:val="000000"/>
          <w:kern w:val="0"/>
          <w:sz w:val="24"/>
          <w:szCs w:val="24"/>
          <w:highlight w:val="none"/>
          <w:lang w:bidi="ar"/>
        </w:rPr>
        <w:t>履行的审议程序：</w:t>
      </w:r>
      <w:r>
        <w:rPr>
          <w:rFonts w:hint="default" w:ascii="Times New Roman" w:hAnsi="Times New Roman" w:cs="Times New Roman" w:eastAsiaTheme="minorEastAsia"/>
          <w:color w:val="000000"/>
          <w:sz w:val="24"/>
          <w:szCs w:val="24"/>
          <w:highlight w:val="none"/>
        </w:rPr>
        <w:t>格尔软件股份有限公司（</w:t>
      </w:r>
      <w:r>
        <w:rPr>
          <w:rFonts w:hint="eastAsia" w:asciiTheme="minorEastAsia" w:hAnsiTheme="minorEastAsia" w:eastAsiaTheme="minorEastAsia" w:cstheme="minorEastAsia"/>
          <w:color w:val="000000"/>
          <w:sz w:val="24"/>
          <w:szCs w:val="24"/>
          <w:highlight w:val="none"/>
        </w:rPr>
        <w:t>以下简称“公司”）</w:t>
      </w:r>
      <w:r>
        <w:rPr>
          <w:rFonts w:hint="eastAsia" w:asciiTheme="minorEastAsia" w:hAnsiTheme="minorEastAsia" w:eastAsiaTheme="minorEastAsia" w:cstheme="minorEastAsia"/>
          <w:color w:val="000000"/>
          <w:kern w:val="0"/>
          <w:sz w:val="24"/>
          <w:szCs w:val="24"/>
          <w:highlight w:val="none"/>
          <w:lang w:bidi="ar"/>
        </w:rPr>
        <w:t>分</w:t>
      </w:r>
      <w:r>
        <w:rPr>
          <w:rFonts w:hint="default" w:ascii="Times New Roman" w:hAnsi="Times New Roman" w:cs="Times New Roman" w:eastAsiaTheme="minorEastAsia"/>
          <w:color w:val="000000"/>
          <w:kern w:val="0"/>
          <w:sz w:val="24"/>
          <w:szCs w:val="24"/>
          <w:highlight w:val="none"/>
          <w:lang w:bidi="ar"/>
        </w:rPr>
        <w:t>别于202</w:t>
      </w:r>
      <w:r>
        <w:rPr>
          <w:rFonts w:hint="eastAsia" w:cs="Times New Roman" w:eastAsiaTheme="minorEastAsia"/>
          <w:color w:val="000000"/>
          <w:kern w:val="0"/>
          <w:sz w:val="24"/>
          <w:szCs w:val="24"/>
          <w:highlight w:val="none"/>
          <w:lang w:val="en-US" w:eastAsia="zh-CN" w:bidi="ar"/>
        </w:rPr>
        <w:t>1</w:t>
      </w:r>
      <w:r>
        <w:rPr>
          <w:rFonts w:hint="default" w:ascii="Times New Roman" w:hAnsi="Times New Roman" w:cs="Times New Roman" w:eastAsiaTheme="minorEastAsia"/>
          <w:color w:val="000000"/>
          <w:kern w:val="0"/>
          <w:sz w:val="24"/>
          <w:szCs w:val="24"/>
          <w:highlight w:val="none"/>
          <w:lang w:bidi="ar"/>
        </w:rPr>
        <w:t>年</w:t>
      </w:r>
      <w:r>
        <w:rPr>
          <w:rFonts w:hint="default" w:ascii="Times New Roman" w:hAnsi="Times New Roman" w:cs="Times New Roman" w:eastAsiaTheme="minorEastAsia"/>
          <w:color w:val="000000"/>
          <w:kern w:val="0"/>
          <w:sz w:val="24"/>
          <w:szCs w:val="24"/>
          <w:highlight w:val="none"/>
          <w:lang w:val="en-US" w:eastAsia="zh-CN" w:bidi="ar"/>
        </w:rPr>
        <w:t>4</w:t>
      </w:r>
      <w:r>
        <w:rPr>
          <w:rFonts w:hint="default" w:ascii="Times New Roman" w:hAnsi="Times New Roman" w:cs="Times New Roman" w:eastAsiaTheme="minorEastAsia"/>
          <w:color w:val="000000"/>
          <w:kern w:val="0"/>
          <w:sz w:val="24"/>
          <w:szCs w:val="24"/>
          <w:highlight w:val="none"/>
          <w:lang w:bidi="ar"/>
        </w:rPr>
        <w:t>月</w:t>
      </w:r>
      <w:r>
        <w:rPr>
          <w:rFonts w:hint="default" w:ascii="Times New Roman" w:hAnsi="Times New Roman" w:cs="Times New Roman" w:eastAsiaTheme="minorEastAsia"/>
          <w:color w:val="000000"/>
          <w:kern w:val="0"/>
          <w:sz w:val="24"/>
          <w:szCs w:val="24"/>
          <w:highlight w:val="none"/>
          <w:lang w:val="en-US" w:eastAsia="zh-CN" w:bidi="ar"/>
        </w:rPr>
        <w:t>22</w:t>
      </w:r>
      <w:r>
        <w:rPr>
          <w:rFonts w:hint="default" w:ascii="Times New Roman" w:hAnsi="Times New Roman" w:cs="Times New Roman" w:eastAsiaTheme="minorEastAsia"/>
          <w:color w:val="000000"/>
          <w:kern w:val="0"/>
          <w:sz w:val="24"/>
          <w:szCs w:val="24"/>
          <w:highlight w:val="none"/>
          <w:lang w:bidi="ar"/>
        </w:rPr>
        <w:t>日、202</w:t>
      </w:r>
      <w:r>
        <w:rPr>
          <w:rFonts w:hint="default" w:ascii="Times New Roman" w:hAnsi="Times New Roman" w:cs="Times New Roman" w:eastAsiaTheme="minorEastAsia"/>
          <w:color w:val="000000"/>
          <w:kern w:val="0"/>
          <w:sz w:val="24"/>
          <w:szCs w:val="24"/>
          <w:highlight w:val="none"/>
          <w:lang w:val="en-US" w:eastAsia="zh-CN" w:bidi="ar"/>
        </w:rPr>
        <w:t>1</w:t>
      </w:r>
      <w:r>
        <w:rPr>
          <w:rFonts w:hint="default" w:ascii="Times New Roman" w:hAnsi="Times New Roman" w:cs="Times New Roman" w:eastAsiaTheme="minorEastAsia"/>
          <w:color w:val="000000"/>
          <w:kern w:val="0"/>
          <w:sz w:val="24"/>
          <w:szCs w:val="24"/>
          <w:highlight w:val="none"/>
          <w:lang w:bidi="ar"/>
        </w:rPr>
        <w:t>年</w:t>
      </w:r>
      <w:r>
        <w:rPr>
          <w:rFonts w:hint="default" w:ascii="Times New Roman" w:hAnsi="Times New Roman" w:cs="Times New Roman" w:eastAsiaTheme="minorEastAsia"/>
          <w:color w:val="000000"/>
          <w:kern w:val="0"/>
          <w:sz w:val="24"/>
          <w:szCs w:val="24"/>
          <w:highlight w:val="none"/>
          <w:lang w:val="en-US" w:eastAsia="zh-CN" w:bidi="ar"/>
        </w:rPr>
        <w:t>5</w:t>
      </w:r>
      <w:r>
        <w:rPr>
          <w:rFonts w:hint="default" w:ascii="Times New Roman" w:hAnsi="Times New Roman" w:cs="Times New Roman" w:eastAsiaTheme="minorEastAsia"/>
          <w:color w:val="000000"/>
          <w:kern w:val="0"/>
          <w:sz w:val="24"/>
          <w:szCs w:val="24"/>
          <w:highlight w:val="none"/>
          <w:lang w:bidi="ar"/>
        </w:rPr>
        <w:t>月</w:t>
      </w:r>
      <w:r>
        <w:rPr>
          <w:rFonts w:hint="default" w:ascii="Times New Roman" w:hAnsi="Times New Roman" w:cs="Times New Roman" w:eastAsiaTheme="minorEastAsia"/>
          <w:color w:val="000000"/>
          <w:kern w:val="0"/>
          <w:sz w:val="24"/>
          <w:szCs w:val="24"/>
          <w:highlight w:val="none"/>
          <w:lang w:val="en-US" w:eastAsia="zh-CN" w:bidi="ar"/>
        </w:rPr>
        <w:t>13</w:t>
      </w:r>
      <w:r>
        <w:rPr>
          <w:rFonts w:hint="default" w:ascii="Times New Roman" w:hAnsi="Times New Roman" w:cs="Times New Roman" w:eastAsiaTheme="minorEastAsia"/>
          <w:color w:val="000000"/>
          <w:kern w:val="0"/>
          <w:sz w:val="24"/>
          <w:szCs w:val="24"/>
          <w:highlight w:val="none"/>
          <w:lang w:bidi="ar"/>
        </w:rPr>
        <w:t>日召开了公司第七届董事会第十</w:t>
      </w:r>
      <w:r>
        <w:rPr>
          <w:rFonts w:hint="eastAsia" w:cs="Times New Roman" w:eastAsiaTheme="minorEastAsia"/>
          <w:color w:val="000000"/>
          <w:kern w:val="0"/>
          <w:sz w:val="24"/>
          <w:szCs w:val="24"/>
          <w:highlight w:val="none"/>
          <w:lang w:val="en-US" w:eastAsia="zh-CN" w:bidi="ar"/>
        </w:rPr>
        <w:t>六</w:t>
      </w:r>
      <w:r>
        <w:rPr>
          <w:rFonts w:hint="default" w:ascii="Times New Roman" w:hAnsi="Times New Roman" w:cs="Times New Roman" w:eastAsiaTheme="minorEastAsia"/>
          <w:color w:val="000000"/>
          <w:kern w:val="0"/>
          <w:sz w:val="24"/>
          <w:szCs w:val="24"/>
          <w:highlight w:val="none"/>
          <w:lang w:bidi="ar"/>
        </w:rPr>
        <w:t>次会议、第七届监事会第</w:t>
      </w:r>
      <w:r>
        <w:rPr>
          <w:rFonts w:hint="eastAsia" w:cs="Times New Roman" w:eastAsiaTheme="minorEastAsia"/>
          <w:color w:val="000000"/>
          <w:kern w:val="0"/>
          <w:sz w:val="24"/>
          <w:szCs w:val="24"/>
          <w:highlight w:val="none"/>
          <w:lang w:val="en-US" w:eastAsia="zh-CN" w:bidi="ar"/>
        </w:rPr>
        <w:t>十二</w:t>
      </w:r>
      <w:r>
        <w:rPr>
          <w:rFonts w:hint="default" w:ascii="Times New Roman" w:hAnsi="Times New Roman" w:cs="Times New Roman" w:eastAsiaTheme="minorEastAsia"/>
          <w:color w:val="000000"/>
          <w:kern w:val="0"/>
          <w:sz w:val="24"/>
          <w:szCs w:val="24"/>
          <w:highlight w:val="none"/>
          <w:lang w:bidi="ar"/>
        </w:rPr>
        <w:t>次会议及公司202</w:t>
      </w:r>
      <w:r>
        <w:rPr>
          <w:rFonts w:hint="eastAsia" w:cs="Times New Roman" w:eastAsiaTheme="minorEastAsia"/>
          <w:color w:val="000000"/>
          <w:kern w:val="0"/>
          <w:sz w:val="24"/>
          <w:szCs w:val="24"/>
          <w:highlight w:val="none"/>
          <w:lang w:val="en-US" w:eastAsia="zh-CN" w:bidi="ar"/>
        </w:rPr>
        <w:t>0</w:t>
      </w:r>
      <w:r>
        <w:rPr>
          <w:rFonts w:hint="default" w:ascii="Times New Roman" w:hAnsi="Times New Roman" w:cs="Times New Roman" w:eastAsiaTheme="minorEastAsia"/>
          <w:color w:val="000000"/>
          <w:kern w:val="0"/>
          <w:sz w:val="24"/>
          <w:szCs w:val="24"/>
          <w:highlight w:val="none"/>
          <w:lang w:bidi="ar"/>
        </w:rPr>
        <w:t>年</w:t>
      </w:r>
      <w:r>
        <w:rPr>
          <w:rFonts w:hint="eastAsia" w:cs="Times New Roman" w:eastAsiaTheme="minorEastAsia"/>
          <w:color w:val="000000"/>
          <w:kern w:val="0"/>
          <w:sz w:val="24"/>
          <w:szCs w:val="24"/>
          <w:highlight w:val="none"/>
          <w:lang w:val="en-US" w:eastAsia="zh-CN" w:bidi="ar"/>
        </w:rPr>
        <w:t>年度</w:t>
      </w:r>
      <w:r>
        <w:rPr>
          <w:rFonts w:hint="default" w:ascii="Times New Roman" w:hAnsi="Times New Roman" w:cs="Times New Roman" w:eastAsiaTheme="minorEastAsia"/>
          <w:color w:val="000000"/>
          <w:kern w:val="0"/>
          <w:sz w:val="24"/>
          <w:szCs w:val="24"/>
          <w:highlight w:val="none"/>
          <w:lang w:bidi="ar"/>
        </w:rPr>
        <w:t>股东大会，</w:t>
      </w:r>
      <w:r>
        <w:rPr>
          <w:rFonts w:hint="default" w:ascii="Times New Roman" w:hAnsi="Times New Roman" w:cs="Times New Roman" w:eastAsiaTheme="minorEastAsia"/>
          <w:color w:val="000000"/>
          <w:sz w:val="24"/>
          <w:szCs w:val="24"/>
          <w:highlight w:val="none"/>
        </w:rPr>
        <w:t>审议通过了《关于使用部分闲置自有资金进行现金管理的议案》，同意公司使用总额不超过人民币8亿元（含8亿元）的闲置自有资金进行现金管理，同时在二年内（含二年）该资金额度可滚动使用。自获得公司2020年</w:t>
      </w:r>
      <w:r>
        <w:rPr>
          <w:rFonts w:hint="eastAsia" w:cs="Times New Roman" w:eastAsiaTheme="minorEastAsia"/>
          <w:color w:val="000000"/>
          <w:sz w:val="24"/>
          <w:szCs w:val="24"/>
          <w:highlight w:val="none"/>
          <w:lang w:val="en-US" w:eastAsia="zh-CN"/>
        </w:rPr>
        <w:t>年度</w:t>
      </w:r>
      <w:r>
        <w:rPr>
          <w:rFonts w:hint="default" w:ascii="Times New Roman" w:hAnsi="Times New Roman" w:cs="Times New Roman" w:eastAsiaTheme="minorEastAsia"/>
          <w:color w:val="000000"/>
          <w:sz w:val="24"/>
          <w:szCs w:val="24"/>
          <w:highlight w:val="none"/>
        </w:rPr>
        <w:t>股东大会审议通过之日起二年内有效。公司独立董事、监事会及保荐机构已分别对此发表了同意的意见。具体详情详见公司分别于202</w:t>
      </w:r>
      <w:r>
        <w:rPr>
          <w:rFonts w:hint="eastAsia" w:cs="Times New Roman" w:eastAsiaTheme="minorEastAsia"/>
          <w:color w:val="000000"/>
          <w:sz w:val="24"/>
          <w:szCs w:val="24"/>
          <w:highlight w:val="none"/>
          <w:lang w:val="en-US" w:eastAsia="zh-CN"/>
        </w:rPr>
        <w:t>1</w:t>
      </w:r>
      <w:r>
        <w:rPr>
          <w:rFonts w:hint="default" w:ascii="Times New Roman" w:hAnsi="Times New Roman" w:cs="Times New Roman" w:eastAsiaTheme="minorEastAsia"/>
          <w:color w:val="000000"/>
          <w:sz w:val="24"/>
          <w:szCs w:val="24"/>
          <w:highlight w:val="none"/>
        </w:rPr>
        <w:t>年</w:t>
      </w:r>
      <w:r>
        <w:rPr>
          <w:rFonts w:hint="eastAsia" w:cs="Times New Roman" w:eastAsiaTheme="minorEastAsia"/>
          <w:color w:val="000000"/>
          <w:sz w:val="24"/>
          <w:szCs w:val="24"/>
          <w:highlight w:val="none"/>
          <w:lang w:val="en-US" w:eastAsia="zh-CN"/>
        </w:rPr>
        <w:t>4</w:t>
      </w:r>
      <w:r>
        <w:rPr>
          <w:rFonts w:hint="default" w:ascii="Times New Roman" w:hAnsi="Times New Roman" w:cs="Times New Roman" w:eastAsiaTheme="minorEastAsia"/>
          <w:color w:val="000000"/>
          <w:sz w:val="24"/>
          <w:szCs w:val="24"/>
          <w:highlight w:val="none"/>
        </w:rPr>
        <w:t>月</w:t>
      </w:r>
      <w:r>
        <w:rPr>
          <w:rFonts w:hint="eastAsia" w:cs="Times New Roman" w:eastAsiaTheme="minorEastAsia"/>
          <w:color w:val="000000"/>
          <w:sz w:val="24"/>
          <w:szCs w:val="24"/>
          <w:highlight w:val="none"/>
          <w:lang w:val="en-US" w:eastAsia="zh-CN"/>
        </w:rPr>
        <w:t>23</w:t>
      </w:r>
      <w:r>
        <w:rPr>
          <w:rFonts w:hint="default" w:ascii="Times New Roman" w:hAnsi="Times New Roman" w:cs="Times New Roman" w:eastAsiaTheme="minorEastAsia"/>
          <w:color w:val="000000"/>
          <w:sz w:val="24"/>
          <w:szCs w:val="24"/>
          <w:highlight w:val="none"/>
        </w:rPr>
        <w:t>日、202</w:t>
      </w:r>
      <w:r>
        <w:rPr>
          <w:rFonts w:hint="eastAsia" w:cs="Times New Roman" w:eastAsiaTheme="minorEastAsia"/>
          <w:color w:val="000000"/>
          <w:sz w:val="24"/>
          <w:szCs w:val="24"/>
          <w:highlight w:val="none"/>
          <w:lang w:val="en-US" w:eastAsia="zh-CN"/>
        </w:rPr>
        <w:t>1</w:t>
      </w:r>
      <w:r>
        <w:rPr>
          <w:rFonts w:hint="default" w:ascii="Times New Roman" w:hAnsi="Times New Roman" w:cs="Times New Roman" w:eastAsiaTheme="minorEastAsia"/>
          <w:color w:val="000000"/>
          <w:sz w:val="24"/>
          <w:szCs w:val="24"/>
          <w:highlight w:val="none"/>
        </w:rPr>
        <w:t>年</w:t>
      </w:r>
      <w:r>
        <w:rPr>
          <w:rFonts w:hint="eastAsia" w:cs="Times New Roman" w:eastAsiaTheme="minorEastAsia"/>
          <w:color w:val="000000"/>
          <w:sz w:val="24"/>
          <w:szCs w:val="24"/>
          <w:highlight w:val="none"/>
          <w:lang w:val="en-US" w:eastAsia="zh-CN"/>
        </w:rPr>
        <w:t>5</w:t>
      </w:r>
      <w:r>
        <w:rPr>
          <w:rFonts w:hint="default" w:ascii="Times New Roman" w:hAnsi="Times New Roman" w:cs="Times New Roman" w:eastAsiaTheme="minorEastAsia"/>
          <w:color w:val="000000"/>
          <w:sz w:val="24"/>
          <w:szCs w:val="24"/>
          <w:highlight w:val="none"/>
        </w:rPr>
        <w:t>月</w:t>
      </w:r>
      <w:r>
        <w:rPr>
          <w:rFonts w:hint="eastAsia" w:cs="Times New Roman" w:eastAsiaTheme="minorEastAsia"/>
          <w:color w:val="000000"/>
          <w:sz w:val="24"/>
          <w:szCs w:val="24"/>
          <w:highlight w:val="none"/>
          <w:lang w:val="en-US" w:eastAsia="zh-CN"/>
        </w:rPr>
        <w:t>14</w:t>
      </w:r>
      <w:r>
        <w:rPr>
          <w:rFonts w:hint="default" w:ascii="Times New Roman" w:hAnsi="Times New Roman" w:cs="Times New Roman" w:eastAsiaTheme="minorEastAsia"/>
          <w:color w:val="000000"/>
          <w:sz w:val="24"/>
          <w:szCs w:val="24"/>
          <w:highlight w:val="none"/>
        </w:rPr>
        <w:t>日刊登在上海证券交易所网站（www.sse.com.cn）的《</w:t>
      </w:r>
      <w:r>
        <w:rPr>
          <w:rFonts w:hint="default" w:ascii="Times New Roman" w:hAnsi="Times New Roman" w:cs="Times New Roman" w:eastAsiaTheme="minorEastAsia"/>
          <w:sz w:val="24"/>
          <w:szCs w:val="24"/>
          <w:highlight w:val="none"/>
        </w:rPr>
        <w:t>格尔软件股份有限公司关于使用部分闲置自有资金进行现金管理的公告</w:t>
      </w:r>
      <w:r>
        <w:rPr>
          <w:rFonts w:hint="default" w:ascii="Times New Roman" w:hAnsi="Times New Roman" w:cs="Times New Roman" w:eastAsiaTheme="minorEastAsia"/>
          <w:color w:val="000000"/>
          <w:sz w:val="24"/>
          <w:szCs w:val="24"/>
          <w:highlight w:val="none"/>
        </w:rPr>
        <w:t>》（公告编号：202</w:t>
      </w:r>
      <w:r>
        <w:rPr>
          <w:rFonts w:hint="eastAsia" w:cs="Times New Roman" w:eastAsiaTheme="minorEastAsia"/>
          <w:color w:val="000000"/>
          <w:sz w:val="24"/>
          <w:szCs w:val="24"/>
          <w:highlight w:val="none"/>
          <w:lang w:val="en-US" w:eastAsia="zh-CN"/>
        </w:rPr>
        <w:t>1</w:t>
      </w:r>
      <w:r>
        <w:rPr>
          <w:rFonts w:hint="default" w:ascii="Times New Roman" w:hAnsi="Times New Roman" w:cs="Times New Roman" w:eastAsiaTheme="minorEastAsia"/>
          <w:color w:val="000000"/>
          <w:sz w:val="24"/>
          <w:szCs w:val="24"/>
          <w:highlight w:val="none"/>
        </w:rPr>
        <w:t>-0</w:t>
      </w:r>
      <w:r>
        <w:rPr>
          <w:rFonts w:hint="eastAsia" w:cs="Times New Roman" w:eastAsiaTheme="minorEastAsia"/>
          <w:color w:val="000000"/>
          <w:sz w:val="24"/>
          <w:szCs w:val="24"/>
          <w:highlight w:val="none"/>
          <w:lang w:val="en-US" w:eastAsia="zh-CN"/>
        </w:rPr>
        <w:t>21</w:t>
      </w:r>
      <w:r>
        <w:rPr>
          <w:rFonts w:hint="default" w:ascii="Times New Roman" w:hAnsi="Times New Roman" w:cs="Times New Roman" w:eastAsiaTheme="minorEastAsia"/>
          <w:color w:val="000000"/>
          <w:sz w:val="24"/>
          <w:szCs w:val="24"/>
          <w:highlight w:val="none"/>
        </w:rPr>
        <w:t>）、《格尔软件股份有限公司202</w:t>
      </w:r>
      <w:r>
        <w:rPr>
          <w:rFonts w:hint="eastAsia" w:cs="Times New Roman" w:eastAsiaTheme="minorEastAsia"/>
          <w:color w:val="000000"/>
          <w:sz w:val="24"/>
          <w:szCs w:val="24"/>
          <w:highlight w:val="none"/>
          <w:lang w:val="en-US" w:eastAsia="zh-CN"/>
        </w:rPr>
        <w:t>0</w:t>
      </w:r>
      <w:r>
        <w:rPr>
          <w:rFonts w:hint="default" w:ascii="Times New Roman" w:hAnsi="Times New Roman" w:cs="Times New Roman" w:eastAsiaTheme="minorEastAsia"/>
          <w:color w:val="000000"/>
          <w:sz w:val="24"/>
          <w:szCs w:val="24"/>
          <w:highlight w:val="none"/>
        </w:rPr>
        <w:t>年</w:t>
      </w:r>
      <w:r>
        <w:rPr>
          <w:rFonts w:hint="eastAsia" w:cs="Times New Roman" w:eastAsiaTheme="minorEastAsia"/>
          <w:color w:val="000000"/>
          <w:sz w:val="24"/>
          <w:szCs w:val="24"/>
          <w:highlight w:val="none"/>
          <w:lang w:val="en-US" w:eastAsia="zh-CN"/>
        </w:rPr>
        <w:t>年度</w:t>
      </w:r>
      <w:r>
        <w:rPr>
          <w:rFonts w:hint="default" w:ascii="Times New Roman" w:hAnsi="Times New Roman" w:cs="Times New Roman" w:eastAsiaTheme="minorEastAsia"/>
          <w:color w:val="000000"/>
          <w:sz w:val="24"/>
          <w:szCs w:val="24"/>
          <w:highlight w:val="none"/>
        </w:rPr>
        <w:t>股东大会决议公告》（公告编号：202</w:t>
      </w:r>
      <w:r>
        <w:rPr>
          <w:rFonts w:hint="eastAsia" w:cs="Times New Roman" w:eastAsiaTheme="minorEastAsia"/>
          <w:color w:val="000000"/>
          <w:sz w:val="24"/>
          <w:szCs w:val="24"/>
          <w:highlight w:val="none"/>
          <w:lang w:val="en-US" w:eastAsia="zh-CN"/>
        </w:rPr>
        <w:t>1</w:t>
      </w:r>
      <w:r>
        <w:rPr>
          <w:rFonts w:hint="default" w:ascii="Times New Roman" w:hAnsi="Times New Roman" w:cs="Times New Roman" w:eastAsiaTheme="minorEastAsia"/>
          <w:color w:val="000000"/>
          <w:sz w:val="24"/>
          <w:szCs w:val="24"/>
          <w:highlight w:val="none"/>
        </w:rPr>
        <w:t>-0</w:t>
      </w:r>
      <w:r>
        <w:rPr>
          <w:rFonts w:hint="eastAsia" w:cs="Times New Roman" w:eastAsiaTheme="minorEastAsia"/>
          <w:color w:val="000000"/>
          <w:sz w:val="24"/>
          <w:szCs w:val="24"/>
          <w:highlight w:val="none"/>
          <w:lang w:val="en-US" w:eastAsia="zh-CN"/>
        </w:rPr>
        <w:t>28</w:t>
      </w:r>
      <w:r>
        <w:rPr>
          <w:rFonts w:hint="default" w:ascii="Times New Roman" w:hAnsi="Times New Roman" w:cs="Times New Roman" w:eastAsiaTheme="minorEastAsia"/>
          <w:color w:val="000000"/>
          <w:sz w:val="24"/>
          <w:szCs w:val="24"/>
          <w:highlight w:val="none"/>
        </w:rPr>
        <w:t>）。</w:t>
      </w:r>
    </w:p>
    <w:p>
      <w:pPr>
        <w:widowControl/>
        <w:spacing w:before="156" w:beforeLines="50" w:after="156" w:afterLines="50" w:line="360" w:lineRule="auto"/>
        <w:jc w:val="left"/>
        <w:rPr>
          <w:rFonts w:hint="eastAsia" w:eastAsiaTheme="minorEastAsia"/>
          <w:b/>
          <w:color w:val="000000"/>
          <w:sz w:val="24"/>
          <w:szCs w:val="24"/>
        </w:rPr>
      </w:pPr>
      <w:r>
        <w:rPr>
          <w:rFonts w:hint="eastAsia" w:eastAsiaTheme="minorEastAsia"/>
          <w:b/>
          <w:color w:val="000000"/>
          <w:sz w:val="24"/>
          <w:szCs w:val="24"/>
          <w:lang w:val="en-US" w:eastAsia="zh-CN"/>
        </w:rPr>
        <w:t>一</w:t>
      </w:r>
      <w:r>
        <w:rPr>
          <w:rFonts w:hint="eastAsia" w:eastAsiaTheme="minorEastAsia"/>
          <w:b/>
          <w:color w:val="000000"/>
          <w:sz w:val="24"/>
          <w:szCs w:val="24"/>
        </w:rPr>
        <w:t>、</w:t>
      </w:r>
      <w:r>
        <w:rPr>
          <w:rFonts w:hint="eastAsia" w:eastAsiaTheme="minorEastAsia"/>
          <w:b/>
          <w:color w:val="000000"/>
          <w:sz w:val="24"/>
          <w:szCs w:val="24"/>
          <w:lang w:val="en-US" w:eastAsia="zh-CN"/>
        </w:rPr>
        <w:t>公司近期使用暂时闲置自有资金进行现金管理的赎回情况</w:t>
      </w:r>
    </w:p>
    <w:tbl>
      <w:tblPr>
        <w:tblStyle w:val="3"/>
        <w:tblW w:w="90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875"/>
        <w:gridCol w:w="1836"/>
        <w:gridCol w:w="1110"/>
        <w:gridCol w:w="1095"/>
        <w:gridCol w:w="1238"/>
        <w:gridCol w:w="1267"/>
        <w:gridCol w:w="9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658" w:type="dxa"/>
            <w:vAlign w:val="center"/>
          </w:tcPr>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b/>
                <w:color w:val="000000"/>
                <w:kern w:val="0"/>
                <w:sz w:val="21"/>
                <w:szCs w:val="21"/>
                <w:lang w:val="en-US" w:eastAsia="zh-CN"/>
              </w:rPr>
            </w:pPr>
            <w:r>
              <w:rPr>
                <w:rFonts w:hint="default" w:ascii="Times New Roman" w:hAnsi="Times New Roman" w:cs="Times New Roman" w:eastAsiaTheme="minorEastAsia"/>
                <w:b/>
                <w:color w:val="000000"/>
                <w:kern w:val="0"/>
                <w:sz w:val="21"/>
                <w:szCs w:val="21"/>
                <w:lang w:val="en-US" w:eastAsia="zh-CN"/>
              </w:rPr>
              <w:t>受托方名称</w:t>
            </w:r>
          </w:p>
        </w:tc>
        <w:tc>
          <w:tcPr>
            <w:tcW w:w="875" w:type="dxa"/>
            <w:vAlign w:val="center"/>
          </w:tcPr>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b/>
                <w:color w:val="000000"/>
                <w:kern w:val="0"/>
                <w:sz w:val="21"/>
                <w:szCs w:val="21"/>
                <w:lang w:val="en-US" w:eastAsia="zh-CN"/>
              </w:rPr>
            </w:pPr>
            <w:r>
              <w:rPr>
                <w:rFonts w:hint="default" w:ascii="Times New Roman" w:hAnsi="Times New Roman" w:cs="Times New Roman" w:eastAsiaTheme="minorEastAsia"/>
                <w:b/>
                <w:color w:val="000000"/>
                <w:kern w:val="0"/>
                <w:sz w:val="21"/>
                <w:szCs w:val="21"/>
                <w:lang w:val="en-US" w:eastAsia="zh-CN"/>
              </w:rPr>
              <w:t>产品类型</w:t>
            </w:r>
          </w:p>
        </w:tc>
        <w:tc>
          <w:tcPr>
            <w:tcW w:w="1836" w:type="dxa"/>
            <w:vAlign w:val="center"/>
          </w:tcPr>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b/>
                <w:color w:val="000000"/>
                <w:kern w:val="0"/>
                <w:sz w:val="21"/>
                <w:szCs w:val="21"/>
                <w:lang w:val="en-US" w:eastAsia="zh-CN"/>
              </w:rPr>
            </w:pPr>
            <w:r>
              <w:rPr>
                <w:rFonts w:hint="default" w:ascii="Times New Roman" w:hAnsi="Times New Roman" w:cs="Times New Roman" w:eastAsiaTheme="minorEastAsia"/>
                <w:b/>
                <w:color w:val="000000"/>
                <w:kern w:val="0"/>
                <w:sz w:val="21"/>
                <w:szCs w:val="21"/>
                <w:lang w:val="en-US" w:eastAsia="zh-CN"/>
              </w:rPr>
              <w:t>产品名称</w:t>
            </w:r>
          </w:p>
        </w:tc>
        <w:tc>
          <w:tcPr>
            <w:tcW w:w="1110" w:type="dxa"/>
            <w:vAlign w:val="center"/>
          </w:tcPr>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b/>
                <w:color w:val="000000"/>
                <w:kern w:val="0"/>
                <w:sz w:val="21"/>
                <w:szCs w:val="21"/>
                <w:lang w:val="en-US" w:eastAsia="zh-CN"/>
              </w:rPr>
            </w:pPr>
            <w:r>
              <w:rPr>
                <w:rFonts w:hint="eastAsia" w:ascii="Times New Roman" w:hAnsi="Times New Roman" w:cs="Times New Roman" w:eastAsiaTheme="minorEastAsia"/>
                <w:b/>
                <w:color w:val="000000"/>
                <w:kern w:val="0"/>
                <w:sz w:val="21"/>
                <w:szCs w:val="21"/>
                <w:lang w:val="en-US" w:eastAsia="zh-CN"/>
              </w:rPr>
              <w:t>赎回</w:t>
            </w:r>
            <w:r>
              <w:rPr>
                <w:rFonts w:hint="default" w:ascii="Times New Roman" w:hAnsi="Times New Roman" w:cs="Times New Roman" w:eastAsiaTheme="minorEastAsia"/>
                <w:b/>
                <w:color w:val="000000"/>
                <w:kern w:val="0"/>
                <w:sz w:val="21"/>
                <w:szCs w:val="21"/>
                <w:lang w:val="en-US" w:eastAsia="zh-CN"/>
              </w:rPr>
              <w:t>金额</w:t>
            </w:r>
          </w:p>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b/>
                <w:color w:val="000000"/>
                <w:kern w:val="0"/>
                <w:sz w:val="21"/>
                <w:szCs w:val="21"/>
                <w:lang w:val="en-US" w:eastAsia="zh-CN"/>
              </w:rPr>
            </w:pPr>
            <w:r>
              <w:rPr>
                <w:rFonts w:hint="default" w:ascii="Times New Roman" w:hAnsi="Times New Roman" w:cs="Times New Roman" w:eastAsiaTheme="minorEastAsia"/>
                <w:b/>
                <w:color w:val="000000"/>
                <w:kern w:val="0"/>
                <w:sz w:val="21"/>
                <w:szCs w:val="21"/>
                <w:lang w:val="en-US" w:eastAsia="zh-CN"/>
              </w:rPr>
              <w:t>（万元）</w:t>
            </w:r>
          </w:p>
        </w:tc>
        <w:tc>
          <w:tcPr>
            <w:tcW w:w="1095" w:type="dxa"/>
            <w:vAlign w:val="center"/>
          </w:tcPr>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b/>
                <w:color w:val="000000"/>
                <w:kern w:val="0"/>
                <w:sz w:val="21"/>
                <w:szCs w:val="21"/>
                <w:lang w:val="en-US" w:eastAsia="zh-CN"/>
              </w:rPr>
            </w:pPr>
            <w:r>
              <w:rPr>
                <w:rFonts w:hint="default" w:ascii="Times New Roman" w:hAnsi="Times New Roman" w:cs="Times New Roman" w:eastAsiaTheme="minorEastAsia"/>
                <w:b/>
                <w:color w:val="000000"/>
                <w:kern w:val="0"/>
                <w:sz w:val="21"/>
                <w:szCs w:val="21"/>
                <w:lang w:val="en-US" w:eastAsia="zh-CN"/>
              </w:rPr>
              <w:t>收益类型</w:t>
            </w:r>
          </w:p>
        </w:tc>
        <w:tc>
          <w:tcPr>
            <w:tcW w:w="1238" w:type="dxa"/>
            <w:vAlign w:val="center"/>
          </w:tcPr>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b/>
                <w:color w:val="000000"/>
                <w:kern w:val="0"/>
                <w:sz w:val="21"/>
                <w:szCs w:val="21"/>
                <w:lang w:val="en-US" w:eastAsia="zh-CN"/>
              </w:rPr>
            </w:pPr>
            <w:r>
              <w:rPr>
                <w:rFonts w:hint="default" w:ascii="Times New Roman" w:hAnsi="Times New Roman" w:cs="Times New Roman" w:eastAsiaTheme="minorEastAsia"/>
                <w:b/>
                <w:color w:val="000000"/>
                <w:kern w:val="0"/>
                <w:sz w:val="21"/>
                <w:szCs w:val="21"/>
                <w:lang w:val="en-US" w:eastAsia="zh-CN"/>
              </w:rPr>
              <w:t>起始日</w:t>
            </w:r>
          </w:p>
        </w:tc>
        <w:tc>
          <w:tcPr>
            <w:tcW w:w="1267" w:type="dxa"/>
            <w:vAlign w:val="center"/>
          </w:tcPr>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b/>
                <w:color w:val="000000"/>
                <w:kern w:val="0"/>
                <w:sz w:val="21"/>
                <w:szCs w:val="21"/>
                <w:lang w:val="en-US" w:eastAsia="zh-CN"/>
              </w:rPr>
            </w:pPr>
            <w:r>
              <w:rPr>
                <w:rFonts w:hint="default" w:ascii="Times New Roman" w:hAnsi="Times New Roman" w:cs="Times New Roman" w:eastAsiaTheme="minorEastAsia"/>
                <w:b/>
                <w:color w:val="000000"/>
                <w:kern w:val="0"/>
                <w:sz w:val="21"/>
                <w:szCs w:val="21"/>
                <w:lang w:val="en-US" w:eastAsia="zh-CN"/>
              </w:rPr>
              <w:t>赎回日</w:t>
            </w:r>
            <w:r>
              <w:rPr>
                <w:rFonts w:hint="eastAsia" w:cs="Times New Roman" w:eastAsiaTheme="minorEastAsia"/>
                <w:b/>
                <w:color w:val="000000"/>
                <w:kern w:val="0"/>
                <w:sz w:val="21"/>
                <w:szCs w:val="21"/>
                <w:lang w:val="en-US" w:eastAsia="zh-CN"/>
              </w:rPr>
              <w:t>/兑付日</w:t>
            </w:r>
          </w:p>
        </w:tc>
        <w:tc>
          <w:tcPr>
            <w:tcW w:w="968" w:type="dxa"/>
            <w:vAlign w:val="center"/>
          </w:tcPr>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b/>
                <w:color w:val="000000"/>
                <w:kern w:val="0"/>
                <w:sz w:val="21"/>
                <w:szCs w:val="21"/>
                <w:lang w:val="en-US" w:eastAsia="zh-CN"/>
              </w:rPr>
            </w:pPr>
            <w:r>
              <w:rPr>
                <w:rFonts w:hint="default" w:ascii="Times New Roman" w:hAnsi="Times New Roman" w:cs="Times New Roman" w:eastAsiaTheme="minorEastAsia"/>
                <w:b/>
                <w:color w:val="000000"/>
                <w:kern w:val="0"/>
                <w:sz w:val="21"/>
                <w:szCs w:val="21"/>
                <w:lang w:val="en-US" w:eastAsia="zh-CN"/>
              </w:rPr>
              <w:t>实际收益金额</w:t>
            </w:r>
          </w:p>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b/>
                <w:color w:val="000000"/>
                <w:kern w:val="0"/>
                <w:sz w:val="21"/>
                <w:szCs w:val="21"/>
                <w:lang w:val="en-US" w:eastAsia="zh-CN"/>
              </w:rPr>
            </w:pPr>
            <w:r>
              <w:rPr>
                <w:rFonts w:hint="default" w:ascii="Times New Roman" w:hAnsi="Times New Roman" w:cs="Times New Roman" w:eastAsiaTheme="minorEastAsia"/>
                <w:b/>
                <w:color w:val="000000"/>
                <w:kern w:val="0"/>
                <w:sz w:val="21"/>
                <w:szCs w:val="21"/>
                <w:lang w:val="en-US" w:eastAsia="zh-C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658"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农商银行</w:t>
            </w:r>
          </w:p>
        </w:tc>
        <w:tc>
          <w:tcPr>
            <w:tcW w:w="875"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836"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green"/>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福通</w:t>
            </w:r>
            <w:r>
              <w:rPr>
                <w:rFonts w:hint="default" w:ascii="Times New Roman" w:hAnsi="Times New Roman" w:eastAsia="宋体" w:cs="Times New Roman"/>
                <w:i w:val="0"/>
                <w:iCs w:val="0"/>
                <w:color w:val="000000"/>
                <w:kern w:val="0"/>
                <w:sz w:val="21"/>
                <w:szCs w:val="21"/>
                <w:highlight w:val="none"/>
                <w:u w:val="none"/>
                <w:lang w:val="en-US" w:eastAsia="zh-CN" w:bidi="ar"/>
              </w:rPr>
              <w:t>月月鑫利B款H17001</w:t>
            </w:r>
          </w:p>
        </w:tc>
        <w:tc>
          <w:tcPr>
            <w:tcW w:w="1110"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095"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非保本浮动收益型</w:t>
            </w:r>
          </w:p>
        </w:tc>
        <w:tc>
          <w:tcPr>
            <w:tcW w:w="1238"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2019.12.17</w:t>
            </w:r>
          </w:p>
        </w:tc>
        <w:tc>
          <w:tcPr>
            <w:tcW w:w="1267"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2021.12.16</w:t>
            </w:r>
          </w:p>
        </w:tc>
        <w:tc>
          <w:tcPr>
            <w:tcW w:w="968"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65.03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658"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华夏银行</w:t>
            </w:r>
          </w:p>
        </w:tc>
        <w:tc>
          <w:tcPr>
            <w:tcW w:w="875"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836"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华夏理财现金管理</w:t>
            </w:r>
            <w:r>
              <w:rPr>
                <w:rFonts w:hint="default" w:ascii="Times New Roman" w:hAnsi="Times New Roman" w:eastAsia="宋体" w:cs="Times New Roman"/>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号</w:t>
            </w:r>
          </w:p>
        </w:tc>
        <w:tc>
          <w:tcPr>
            <w:tcW w:w="1110"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1,800.00</w:t>
            </w:r>
          </w:p>
        </w:tc>
        <w:tc>
          <w:tcPr>
            <w:tcW w:w="1095"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非保本浮动收益型</w:t>
            </w:r>
          </w:p>
        </w:tc>
        <w:tc>
          <w:tcPr>
            <w:tcW w:w="1238"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2021.11.29</w:t>
            </w:r>
          </w:p>
        </w:tc>
        <w:tc>
          <w:tcPr>
            <w:tcW w:w="1267"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2021.12.28</w:t>
            </w:r>
          </w:p>
        </w:tc>
        <w:tc>
          <w:tcPr>
            <w:tcW w:w="968"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658"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华夏银行</w:t>
            </w:r>
          </w:p>
        </w:tc>
        <w:tc>
          <w:tcPr>
            <w:tcW w:w="875"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836"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华夏理财现金管理</w:t>
            </w:r>
            <w:r>
              <w:rPr>
                <w:rFonts w:hint="default" w:ascii="Times New Roman" w:hAnsi="Times New Roman" w:eastAsia="宋体" w:cs="Times New Roman"/>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号</w:t>
            </w:r>
          </w:p>
        </w:tc>
        <w:tc>
          <w:tcPr>
            <w:tcW w:w="1110"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200</w:t>
            </w:r>
            <w:r>
              <w:rPr>
                <w:rFonts w:hint="eastAsia" w:cs="Times New Roman"/>
                <w:i w:val="0"/>
                <w:iCs w:val="0"/>
                <w:color w:val="000000"/>
                <w:kern w:val="0"/>
                <w:sz w:val="21"/>
                <w:szCs w:val="21"/>
                <w:u w:val="none"/>
                <w:lang w:val="en-US" w:eastAsia="zh-CN" w:bidi="ar"/>
              </w:rPr>
              <w:t>.00</w:t>
            </w:r>
          </w:p>
        </w:tc>
        <w:tc>
          <w:tcPr>
            <w:tcW w:w="1095"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非保本浮动收益型</w:t>
            </w:r>
          </w:p>
        </w:tc>
        <w:tc>
          <w:tcPr>
            <w:tcW w:w="1238"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2021.8.16</w:t>
            </w:r>
          </w:p>
        </w:tc>
        <w:tc>
          <w:tcPr>
            <w:tcW w:w="1267"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2021.12.28</w:t>
            </w:r>
          </w:p>
        </w:tc>
        <w:tc>
          <w:tcPr>
            <w:tcW w:w="968"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658"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华夏银行</w:t>
            </w:r>
          </w:p>
        </w:tc>
        <w:tc>
          <w:tcPr>
            <w:tcW w:w="875"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836"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华夏理财现金管理</w:t>
            </w:r>
            <w:r>
              <w:rPr>
                <w:rFonts w:hint="default" w:ascii="Times New Roman" w:hAnsi="Times New Roman" w:eastAsia="宋体" w:cs="Times New Roman"/>
                <w:i w:val="0"/>
                <w:iCs w:val="0"/>
                <w:color w:val="000000"/>
                <w:kern w:val="0"/>
                <w:sz w:val="21"/>
                <w:szCs w:val="21"/>
                <w:highlight w:val="none"/>
                <w:u w:val="none"/>
                <w:lang w:val="en-US" w:eastAsia="zh-CN" w:bidi="ar"/>
              </w:rPr>
              <w:t>1</w:t>
            </w:r>
            <w:r>
              <w:rPr>
                <w:rFonts w:hint="eastAsia" w:ascii="宋体" w:hAnsi="宋体" w:eastAsia="宋体" w:cs="宋体"/>
                <w:i w:val="0"/>
                <w:iCs w:val="0"/>
                <w:color w:val="000000"/>
                <w:kern w:val="0"/>
                <w:sz w:val="21"/>
                <w:szCs w:val="21"/>
                <w:highlight w:val="none"/>
                <w:u w:val="none"/>
                <w:lang w:val="en-US" w:eastAsia="zh-CN" w:bidi="ar"/>
              </w:rPr>
              <w:t>号</w:t>
            </w:r>
          </w:p>
        </w:tc>
        <w:tc>
          <w:tcPr>
            <w:tcW w:w="1110"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095"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非保本浮动收益型</w:t>
            </w:r>
          </w:p>
        </w:tc>
        <w:tc>
          <w:tcPr>
            <w:tcW w:w="1238"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2021.8.10</w:t>
            </w:r>
          </w:p>
        </w:tc>
        <w:tc>
          <w:tcPr>
            <w:tcW w:w="1267"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2021.12.29</w:t>
            </w:r>
          </w:p>
        </w:tc>
        <w:tc>
          <w:tcPr>
            <w:tcW w:w="968"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8"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上海农商行</w:t>
            </w:r>
          </w:p>
        </w:tc>
        <w:tc>
          <w:tcPr>
            <w:tcW w:w="875"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836"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eastAsia"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福通日鑫H14001</w:t>
            </w:r>
            <w:r>
              <w:rPr>
                <w:rFonts w:hint="eastAsia" w:cs="Times New Roman"/>
                <w:i w:val="0"/>
                <w:iCs w:val="0"/>
                <w:color w:val="000000"/>
                <w:kern w:val="0"/>
                <w:sz w:val="21"/>
                <w:szCs w:val="21"/>
                <w:u w:val="none"/>
                <w:lang w:val="en-US" w:eastAsia="zh-CN" w:bidi="ar"/>
              </w:rPr>
              <w:t>期</w:t>
            </w:r>
          </w:p>
        </w:tc>
        <w:tc>
          <w:tcPr>
            <w:tcW w:w="1110"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w:t>
            </w:r>
            <w:r>
              <w:rPr>
                <w:rFonts w:hint="eastAsia" w:cs="Times New Roman"/>
                <w:i w:val="0"/>
                <w:iCs w:val="0"/>
                <w:color w:val="000000"/>
                <w:kern w:val="0"/>
                <w:sz w:val="21"/>
                <w:szCs w:val="21"/>
                <w:u w:val="none"/>
                <w:lang w:val="en-US" w:eastAsia="zh-CN" w:bidi="ar"/>
              </w:rPr>
              <w:t>.00</w:t>
            </w:r>
          </w:p>
        </w:tc>
        <w:tc>
          <w:tcPr>
            <w:tcW w:w="1095"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非保本浮动收益型</w:t>
            </w:r>
          </w:p>
        </w:tc>
        <w:tc>
          <w:tcPr>
            <w:tcW w:w="1238"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2019.12.18</w:t>
            </w:r>
          </w:p>
        </w:tc>
        <w:tc>
          <w:tcPr>
            <w:tcW w:w="1267"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2022.1.5</w:t>
            </w:r>
          </w:p>
        </w:tc>
        <w:tc>
          <w:tcPr>
            <w:tcW w:w="968"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658"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上海农商行</w:t>
            </w:r>
          </w:p>
        </w:tc>
        <w:tc>
          <w:tcPr>
            <w:tcW w:w="875"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836"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福通日鑫H14001</w:t>
            </w:r>
            <w:r>
              <w:rPr>
                <w:rFonts w:hint="eastAsia" w:cs="Times New Roman"/>
                <w:i w:val="0"/>
                <w:iCs w:val="0"/>
                <w:color w:val="000000"/>
                <w:kern w:val="0"/>
                <w:sz w:val="21"/>
                <w:szCs w:val="21"/>
                <w:u w:val="none"/>
                <w:lang w:val="en-US" w:eastAsia="zh-CN" w:bidi="ar"/>
              </w:rPr>
              <w:t>期</w:t>
            </w:r>
          </w:p>
        </w:tc>
        <w:tc>
          <w:tcPr>
            <w:tcW w:w="1110"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410</w:t>
            </w:r>
            <w:r>
              <w:rPr>
                <w:rFonts w:hint="eastAsia" w:cs="Times New Roman"/>
                <w:i w:val="0"/>
                <w:iCs w:val="0"/>
                <w:color w:val="000000"/>
                <w:kern w:val="0"/>
                <w:sz w:val="21"/>
                <w:szCs w:val="21"/>
                <w:u w:val="none"/>
                <w:lang w:val="en-US" w:eastAsia="zh-CN" w:bidi="ar"/>
              </w:rPr>
              <w:t>.00</w:t>
            </w:r>
          </w:p>
        </w:tc>
        <w:tc>
          <w:tcPr>
            <w:tcW w:w="1095"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非保本浮动收益型</w:t>
            </w:r>
          </w:p>
        </w:tc>
        <w:tc>
          <w:tcPr>
            <w:tcW w:w="1238"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2019.12.5</w:t>
            </w:r>
          </w:p>
        </w:tc>
        <w:tc>
          <w:tcPr>
            <w:tcW w:w="1267"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2022.1.5</w:t>
            </w:r>
          </w:p>
        </w:tc>
        <w:tc>
          <w:tcPr>
            <w:tcW w:w="968"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21.54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658"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上海农商行</w:t>
            </w:r>
          </w:p>
        </w:tc>
        <w:tc>
          <w:tcPr>
            <w:tcW w:w="875"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836"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福通日鑫H14001</w:t>
            </w:r>
            <w:r>
              <w:rPr>
                <w:rFonts w:hint="eastAsia" w:cs="Times New Roman"/>
                <w:i w:val="0"/>
                <w:iCs w:val="0"/>
                <w:color w:val="000000"/>
                <w:kern w:val="0"/>
                <w:sz w:val="21"/>
                <w:szCs w:val="21"/>
                <w:u w:val="none"/>
                <w:lang w:val="en-US" w:eastAsia="zh-CN" w:bidi="ar"/>
              </w:rPr>
              <w:t>期</w:t>
            </w:r>
          </w:p>
        </w:tc>
        <w:tc>
          <w:tcPr>
            <w:tcW w:w="1110"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1,500.00</w:t>
            </w:r>
          </w:p>
        </w:tc>
        <w:tc>
          <w:tcPr>
            <w:tcW w:w="1095"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非保本浮动收益型</w:t>
            </w:r>
          </w:p>
        </w:tc>
        <w:tc>
          <w:tcPr>
            <w:tcW w:w="1238"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2020.12.30</w:t>
            </w:r>
          </w:p>
        </w:tc>
        <w:tc>
          <w:tcPr>
            <w:tcW w:w="1267"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2022.1.5</w:t>
            </w:r>
          </w:p>
        </w:tc>
        <w:tc>
          <w:tcPr>
            <w:tcW w:w="968"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34.83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658"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上海农商行</w:t>
            </w:r>
          </w:p>
        </w:tc>
        <w:tc>
          <w:tcPr>
            <w:tcW w:w="875"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836"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福通日鑫H14001</w:t>
            </w:r>
            <w:r>
              <w:rPr>
                <w:rFonts w:hint="eastAsia" w:cs="Times New Roman"/>
                <w:i w:val="0"/>
                <w:iCs w:val="0"/>
                <w:color w:val="000000"/>
                <w:kern w:val="0"/>
                <w:sz w:val="21"/>
                <w:szCs w:val="21"/>
                <w:u w:val="none"/>
                <w:lang w:val="en-US" w:eastAsia="zh-CN" w:bidi="ar"/>
              </w:rPr>
              <w:t>期</w:t>
            </w:r>
          </w:p>
        </w:tc>
        <w:tc>
          <w:tcPr>
            <w:tcW w:w="1110"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170</w:t>
            </w:r>
            <w:r>
              <w:rPr>
                <w:rFonts w:hint="eastAsia" w:cs="Times New Roman"/>
                <w:i w:val="0"/>
                <w:iCs w:val="0"/>
                <w:color w:val="000000"/>
                <w:kern w:val="0"/>
                <w:sz w:val="21"/>
                <w:szCs w:val="21"/>
                <w:u w:val="none"/>
                <w:lang w:val="en-US" w:eastAsia="zh-CN" w:bidi="ar"/>
              </w:rPr>
              <w:t>.00</w:t>
            </w:r>
          </w:p>
        </w:tc>
        <w:tc>
          <w:tcPr>
            <w:tcW w:w="1095"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非保本浮动收益型</w:t>
            </w:r>
          </w:p>
        </w:tc>
        <w:tc>
          <w:tcPr>
            <w:tcW w:w="1238"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2020.12.31</w:t>
            </w:r>
          </w:p>
        </w:tc>
        <w:tc>
          <w:tcPr>
            <w:tcW w:w="1267"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2022.1.5</w:t>
            </w:r>
          </w:p>
        </w:tc>
        <w:tc>
          <w:tcPr>
            <w:tcW w:w="968"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658"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上海农商行</w:t>
            </w:r>
          </w:p>
        </w:tc>
        <w:tc>
          <w:tcPr>
            <w:tcW w:w="875"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836"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福通日鑫H14001</w:t>
            </w:r>
            <w:r>
              <w:rPr>
                <w:rFonts w:hint="eastAsia" w:cs="Times New Roman"/>
                <w:i w:val="0"/>
                <w:iCs w:val="0"/>
                <w:color w:val="000000"/>
                <w:kern w:val="0"/>
                <w:sz w:val="21"/>
                <w:szCs w:val="21"/>
                <w:u w:val="none"/>
                <w:lang w:val="en-US" w:eastAsia="zh-CN" w:bidi="ar"/>
              </w:rPr>
              <w:t>期</w:t>
            </w:r>
          </w:p>
        </w:tc>
        <w:tc>
          <w:tcPr>
            <w:tcW w:w="1110"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w:t>
            </w:r>
            <w:r>
              <w:rPr>
                <w:rFonts w:hint="eastAsia" w:cs="Times New Roman"/>
                <w:i w:val="0"/>
                <w:iCs w:val="0"/>
                <w:color w:val="000000"/>
                <w:kern w:val="0"/>
                <w:sz w:val="21"/>
                <w:szCs w:val="21"/>
                <w:u w:val="none"/>
                <w:lang w:val="en-US" w:eastAsia="zh-CN" w:bidi="ar"/>
              </w:rPr>
              <w:t>.00</w:t>
            </w:r>
          </w:p>
        </w:tc>
        <w:tc>
          <w:tcPr>
            <w:tcW w:w="1095"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非保本浮动收益型</w:t>
            </w:r>
          </w:p>
        </w:tc>
        <w:tc>
          <w:tcPr>
            <w:tcW w:w="1238"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2020.3.18</w:t>
            </w:r>
          </w:p>
        </w:tc>
        <w:tc>
          <w:tcPr>
            <w:tcW w:w="1267"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2022.1.5</w:t>
            </w:r>
          </w:p>
        </w:tc>
        <w:tc>
          <w:tcPr>
            <w:tcW w:w="968"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658"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招商银行</w:t>
            </w:r>
          </w:p>
        </w:tc>
        <w:tc>
          <w:tcPr>
            <w:tcW w:w="875"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836"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朝招金</w:t>
            </w:r>
            <w:r>
              <w:rPr>
                <w:rFonts w:hint="eastAsia" w:ascii="宋体" w:hAnsi="宋体" w:cs="宋体"/>
                <w:sz w:val="21"/>
                <w:szCs w:val="21"/>
                <w:highlight w:val="none"/>
                <w:lang w:eastAsia="zh-CN"/>
              </w:rPr>
              <w:t>多元稳健型</w:t>
            </w:r>
          </w:p>
        </w:tc>
        <w:tc>
          <w:tcPr>
            <w:tcW w:w="1110"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1,300.00</w:t>
            </w:r>
          </w:p>
        </w:tc>
        <w:tc>
          <w:tcPr>
            <w:tcW w:w="1095"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非保本浮动收益型</w:t>
            </w:r>
          </w:p>
        </w:tc>
        <w:tc>
          <w:tcPr>
            <w:tcW w:w="1238"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2021.12.31</w:t>
            </w:r>
          </w:p>
        </w:tc>
        <w:tc>
          <w:tcPr>
            <w:tcW w:w="1267"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2022.1.5</w:t>
            </w:r>
          </w:p>
        </w:tc>
        <w:tc>
          <w:tcPr>
            <w:tcW w:w="968"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658"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招商银行</w:t>
            </w:r>
          </w:p>
        </w:tc>
        <w:tc>
          <w:tcPr>
            <w:tcW w:w="875"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836"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朝招金</w:t>
            </w:r>
            <w:r>
              <w:rPr>
                <w:rFonts w:hint="eastAsia" w:ascii="宋体" w:hAnsi="宋体" w:cs="宋体"/>
                <w:sz w:val="21"/>
                <w:szCs w:val="21"/>
                <w:highlight w:val="none"/>
                <w:lang w:eastAsia="zh-CN"/>
              </w:rPr>
              <w:t>多元稳健型</w:t>
            </w:r>
          </w:p>
        </w:tc>
        <w:tc>
          <w:tcPr>
            <w:tcW w:w="1110"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w:t>
            </w:r>
            <w:r>
              <w:rPr>
                <w:rFonts w:hint="eastAsia" w:cs="Times New Roman"/>
                <w:i w:val="0"/>
                <w:iCs w:val="0"/>
                <w:color w:val="000000"/>
                <w:kern w:val="0"/>
                <w:sz w:val="21"/>
                <w:szCs w:val="21"/>
                <w:u w:val="none"/>
                <w:lang w:val="en-US" w:eastAsia="zh-CN" w:bidi="ar"/>
              </w:rPr>
              <w:t>0</w:t>
            </w:r>
            <w:r>
              <w:rPr>
                <w:rFonts w:hint="default" w:ascii="Times New Roman" w:hAnsi="Times New Roman" w:eastAsia="宋体" w:cs="Times New Roman"/>
                <w:i w:val="0"/>
                <w:iCs w:val="0"/>
                <w:color w:val="000000"/>
                <w:kern w:val="0"/>
                <w:sz w:val="21"/>
                <w:szCs w:val="21"/>
                <w:u w:val="none"/>
                <w:lang w:val="en-US" w:eastAsia="zh-CN" w:bidi="ar"/>
              </w:rPr>
              <w:t>00.00</w:t>
            </w:r>
          </w:p>
        </w:tc>
        <w:tc>
          <w:tcPr>
            <w:tcW w:w="1095"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非保本浮动收益型</w:t>
            </w:r>
          </w:p>
        </w:tc>
        <w:tc>
          <w:tcPr>
            <w:tcW w:w="1238"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2021.12.3</w:t>
            </w:r>
            <w:r>
              <w:rPr>
                <w:rFonts w:hint="eastAsia" w:cs="Times New Roman"/>
                <w:i w:val="0"/>
                <w:iCs w:val="0"/>
                <w:color w:val="000000"/>
                <w:kern w:val="0"/>
                <w:sz w:val="21"/>
                <w:szCs w:val="21"/>
                <w:u w:val="none"/>
                <w:lang w:val="en-US" w:eastAsia="zh-CN" w:bidi="ar"/>
              </w:rPr>
              <w:t>0</w:t>
            </w:r>
          </w:p>
        </w:tc>
        <w:tc>
          <w:tcPr>
            <w:tcW w:w="1267"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2022.1.</w:t>
            </w:r>
            <w:r>
              <w:rPr>
                <w:rFonts w:hint="eastAsia" w:cs="Times New Roman"/>
                <w:i w:val="0"/>
                <w:iCs w:val="0"/>
                <w:color w:val="000000"/>
                <w:kern w:val="0"/>
                <w:sz w:val="21"/>
                <w:szCs w:val="21"/>
                <w:u w:val="none"/>
                <w:lang w:val="en-US" w:eastAsia="zh-CN" w:bidi="ar"/>
              </w:rPr>
              <w:t>11</w:t>
            </w:r>
          </w:p>
        </w:tc>
        <w:tc>
          <w:tcPr>
            <w:tcW w:w="968"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cs="Times New Roman"/>
                <w:i w:val="0"/>
                <w:iCs w:val="0"/>
                <w:color w:val="000000"/>
                <w:kern w:val="0"/>
                <w:sz w:val="21"/>
                <w:szCs w:val="21"/>
                <w:highlight w:val="none"/>
                <w:u w:val="none"/>
                <w:lang w:val="en-US" w:eastAsia="zh-CN" w:bidi="ar"/>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369" w:type="dxa"/>
            <w:gridSpan w:val="3"/>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000000"/>
                <w:kern w:val="0"/>
                <w:sz w:val="21"/>
                <w:szCs w:val="21"/>
                <w:u w:val="none"/>
                <w:lang w:val="en-US" w:eastAsia="zh-CN" w:bidi="ar"/>
              </w:rPr>
            </w:pPr>
            <w:r>
              <w:rPr>
                <w:rFonts w:hint="default" w:ascii="Times New Roman" w:hAnsi="Times New Roman" w:cs="Times New Roman"/>
                <w:b/>
                <w:bCs/>
                <w:i w:val="0"/>
                <w:color w:val="000000"/>
                <w:kern w:val="0"/>
                <w:sz w:val="21"/>
                <w:szCs w:val="21"/>
                <w:u w:val="none"/>
                <w:lang w:val="en-US" w:eastAsia="zh-CN" w:bidi="ar"/>
              </w:rPr>
              <w:t>合计</w:t>
            </w:r>
          </w:p>
        </w:tc>
        <w:tc>
          <w:tcPr>
            <w:tcW w:w="1110" w:type="dxa"/>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000000"/>
                <w:kern w:val="0"/>
                <w:sz w:val="21"/>
                <w:szCs w:val="21"/>
                <w:highlight w:val="none"/>
                <w:u w:val="none"/>
                <w:lang w:val="en-US" w:eastAsia="zh-CN" w:bidi="ar"/>
              </w:rPr>
            </w:pPr>
            <w:r>
              <w:rPr>
                <w:rFonts w:hint="eastAsia" w:cs="Times New Roman"/>
                <w:b/>
                <w:bCs/>
                <w:i w:val="0"/>
                <w:color w:val="000000"/>
                <w:kern w:val="0"/>
                <w:sz w:val="21"/>
                <w:szCs w:val="21"/>
                <w:highlight w:val="none"/>
                <w:u w:val="none"/>
                <w:lang w:val="en-US" w:eastAsia="zh-CN" w:bidi="ar"/>
              </w:rPr>
              <w:t>8,400.00</w:t>
            </w:r>
          </w:p>
        </w:tc>
        <w:tc>
          <w:tcPr>
            <w:tcW w:w="1095" w:type="dxa"/>
            <w:vAlign w:val="center"/>
          </w:tcPr>
          <w:p>
            <w:pPr>
              <w:keepNext w:val="0"/>
              <w:keepLines w:val="0"/>
              <w:pageBreakBefore w:val="0"/>
              <w:widowControl/>
              <w:suppressLineNumbers w:val="0"/>
              <w:kinsoku/>
              <w:wordWrap/>
              <w:overflowPunct/>
              <w:topLinePunct w:val="0"/>
              <w:bidi w:val="0"/>
              <w:snapToGrid/>
              <w:jc w:val="center"/>
              <w:textAlignment w:val="top"/>
              <w:rPr>
                <w:rFonts w:hint="default" w:ascii="Times New Roman" w:hAnsi="Times New Roman" w:eastAsia="宋体" w:cs="Times New Roman"/>
                <w:b/>
                <w:bCs/>
                <w:i w:val="0"/>
                <w:color w:val="000000"/>
                <w:kern w:val="0"/>
                <w:sz w:val="21"/>
                <w:szCs w:val="21"/>
                <w:highlight w:val="none"/>
                <w:u w:val="none"/>
                <w:lang w:val="en-US" w:eastAsia="zh-CN" w:bidi="ar"/>
              </w:rPr>
            </w:pPr>
          </w:p>
        </w:tc>
        <w:tc>
          <w:tcPr>
            <w:tcW w:w="1238" w:type="dxa"/>
            <w:vAlign w:val="center"/>
          </w:tcPr>
          <w:p>
            <w:pPr>
              <w:keepNext w:val="0"/>
              <w:keepLines w:val="0"/>
              <w:pageBreakBefore w:val="0"/>
              <w:widowControl/>
              <w:suppressLineNumbers w:val="0"/>
              <w:kinsoku/>
              <w:wordWrap/>
              <w:overflowPunct/>
              <w:topLinePunct w:val="0"/>
              <w:bidi w:val="0"/>
              <w:snapToGrid/>
              <w:jc w:val="center"/>
              <w:textAlignment w:val="top"/>
              <w:rPr>
                <w:rFonts w:hint="default" w:ascii="Times New Roman" w:hAnsi="Times New Roman" w:eastAsia="宋体" w:cs="Times New Roman"/>
                <w:b/>
                <w:bCs/>
                <w:i w:val="0"/>
                <w:color w:val="000000"/>
                <w:kern w:val="0"/>
                <w:sz w:val="21"/>
                <w:szCs w:val="21"/>
                <w:highlight w:val="none"/>
                <w:u w:val="none"/>
                <w:lang w:val="en-US" w:eastAsia="zh-CN" w:bidi="ar"/>
              </w:rPr>
            </w:pPr>
          </w:p>
        </w:tc>
        <w:tc>
          <w:tcPr>
            <w:tcW w:w="1267" w:type="dxa"/>
            <w:vAlign w:val="center"/>
          </w:tcPr>
          <w:p>
            <w:pPr>
              <w:keepNext w:val="0"/>
              <w:keepLines w:val="0"/>
              <w:pageBreakBefore w:val="0"/>
              <w:widowControl/>
              <w:suppressLineNumbers w:val="0"/>
              <w:kinsoku/>
              <w:wordWrap/>
              <w:overflowPunct/>
              <w:topLinePunct w:val="0"/>
              <w:bidi w:val="0"/>
              <w:snapToGrid/>
              <w:jc w:val="center"/>
              <w:textAlignment w:val="top"/>
              <w:rPr>
                <w:rFonts w:hint="default" w:ascii="Times New Roman" w:hAnsi="Times New Roman" w:eastAsia="宋体" w:cs="Times New Roman"/>
                <w:b/>
                <w:bCs/>
                <w:i w:val="0"/>
                <w:color w:val="000000"/>
                <w:kern w:val="0"/>
                <w:sz w:val="21"/>
                <w:szCs w:val="21"/>
                <w:highlight w:val="none"/>
                <w:u w:val="none"/>
                <w:lang w:val="en-US" w:eastAsia="zh-CN" w:bidi="ar"/>
              </w:rPr>
            </w:pPr>
          </w:p>
        </w:tc>
        <w:tc>
          <w:tcPr>
            <w:tcW w:w="968" w:type="dxa"/>
            <w:vAlign w:val="center"/>
          </w:tcPr>
          <w:p>
            <w:pPr>
              <w:keepNext w:val="0"/>
              <w:keepLines w:val="0"/>
              <w:pageBreakBefore w:val="0"/>
              <w:widowControl/>
              <w:suppressLineNumbers w:val="0"/>
              <w:kinsoku/>
              <w:wordWrap/>
              <w:overflowPunct/>
              <w:topLinePunct w:val="0"/>
              <w:bidi w:val="0"/>
              <w:snapToGrid/>
              <w:jc w:val="center"/>
              <w:textAlignment w:val="top"/>
              <w:rPr>
                <w:rFonts w:hint="default" w:cs="Times New Roman"/>
                <w:b/>
                <w:bCs/>
                <w:i w:val="0"/>
                <w:color w:val="000000"/>
                <w:kern w:val="0"/>
                <w:sz w:val="21"/>
                <w:szCs w:val="21"/>
                <w:highlight w:val="none"/>
                <w:u w:val="none"/>
                <w:lang w:val="en-US" w:eastAsia="zh-CN" w:bidi="ar"/>
              </w:rPr>
            </w:pPr>
            <w:r>
              <w:rPr>
                <w:rFonts w:hint="eastAsia" w:cs="Times New Roman"/>
                <w:b/>
                <w:bCs/>
                <w:i w:val="0"/>
                <w:color w:val="000000"/>
                <w:kern w:val="0"/>
                <w:sz w:val="21"/>
                <w:szCs w:val="21"/>
                <w:highlight w:val="none"/>
                <w:u w:val="none"/>
                <w:lang w:val="en-US" w:eastAsia="zh-CN" w:bidi="ar"/>
              </w:rPr>
              <w:t>147.46</w:t>
            </w:r>
          </w:p>
        </w:tc>
      </w:tr>
    </w:tbl>
    <w:p>
      <w:pPr>
        <w:widowControl/>
        <w:spacing w:before="156" w:beforeLines="50" w:after="156" w:afterLines="50" w:line="360" w:lineRule="auto"/>
        <w:jc w:val="left"/>
        <w:rPr>
          <w:rFonts w:hint="default" w:ascii="Times New Roman" w:hAnsi="Times New Roman" w:cs="Times New Roman" w:eastAsiaTheme="minorEastAsia"/>
          <w:b w:val="0"/>
          <w:bCs/>
          <w:color w:val="auto"/>
          <w:sz w:val="24"/>
          <w:szCs w:val="24"/>
          <w:highlight w:val="none"/>
          <w:lang w:val="en-US" w:eastAsia="zh-CN"/>
        </w:rPr>
      </w:pPr>
      <w:r>
        <w:rPr>
          <w:rFonts w:hint="default" w:ascii="Times New Roman" w:hAnsi="Times New Roman" w:cs="Times New Roman" w:eastAsiaTheme="minorEastAsia"/>
          <w:b w:val="0"/>
          <w:bCs/>
          <w:color w:val="auto"/>
          <w:sz w:val="24"/>
          <w:szCs w:val="24"/>
          <w:highlight w:val="none"/>
          <w:lang w:val="en-US" w:eastAsia="zh-CN"/>
        </w:rPr>
        <w:t>注：上述理财产品中，华夏理财现金管理1号</w:t>
      </w:r>
      <w:r>
        <w:rPr>
          <w:rFonts w:hint="eastAsia" w:ascii="Times New Roman" w:hAnsi="Times New Roman" w:cs="Times New Roman" w:eastAsiaTheme="minorEastAsia"/>
          <w:b w:val="0"/>
          <w:bCs/>
          <w:color w:val="auto"/>
          <w:sz w:val="24"/>
          <w:szCs w:val="24"/>
          <w:highlight w:val="none"/>
          <w:lang w:val="en-US" w:eastAsia="zh-CN"/>
        </w:rPr>
        <w:t>、福通月月鑫利B款H17001、朝招金多元稳健型为无固定期限理财产品，</w:t>
      </w:r>
      <w:r>
        <w:rPr>
          <w:rFonts w:hint="default" w:ascii="Times New Roman" w:hAnsi="Times New Roman" w:cs="Times New Roman" w:eastAsiaTheme="minorEastAsia"/>
          <w:b w:val="0"/>
          <w:bCs/>
          <w:color w:val="auto"/>
          <w:sz w:val="24"/>
          <w:szCs w:val="24"/>
          <w:highlight w:val="none"/>
          <w:lang w:val="en-US" w:eastAsia="zh-CN"/>
        </w:rPr>
        <w:t>到期日为T+1</w:t>
      </w:r>
      <w:r>
        <w:rPr>
          <w:rFonts w:hint="eastAsia" w:ascii="Times New Roman" w:hAnsi="Times New Roman" w:cs="Times New Roman" w:eastAsiaTheme="minorEastAsia"/>
          <w:b w:val="0"/>
          <w:bCs/>
          <w:color w:val="auto"/>
          <w:sz w:val="24"/>
          <w:szCs w:val="24"/>
          <w:highlight w:val="none"/>
          <w:lang w:val="en-US" w:eastAsia="zh-CN"/>
        </w:rPr>
        <w:t>，暨</w:t>
      </w:r>
      <w:r>
        <w:rPr>
          <w:rFonts w:hint="default" w:ascii="Times New Roman" w:hAnsi="Times New Roman" w:cs="Times New Roman" w:eastAsiaTheme="minorEastAsia"/>
          <w:b w:val="0"/>
          <w:bCs/>
          <w:color w:val="auto"/>
          <w:sz w:val="24"/>
          <w:szCs w:val="24"/>
          <w:highlight w:val="none"/>
          <w:lang w:val="en-US" w:eastAsia="zh-CN"/>
        </w:rPr>
        <w:t>T+1赎回</w:t>
      </w:r>
      <w:r>
        <w:rPr>
          <w:rFonts w:hint="eastAsia" w:cs="Times New Roman" w:eastAsiaTheme="minorEastAsia"/>
          <w:b w:val="0"/>
          <w:bCs/>
          <w:color w:val="auto"/>
          <w:sz w:val="24"/>
          <w:szCs w:val="24"/>
          <w:highlight w:val="none"/>
          <w:lang w:val="en-US" w:eastAsia="zh-CN"/>
        </w:rPr>
        <w:t>；福通日鑫H14001期</w:t>
      </w:r>
      <w:r>
        <w:rPr>
          <w:rFonts w:hint="eastAsia" w:ascii="Times New Roman" w:hAnsi="Times New Roman" w:cs="Times New Roman" w:eastAsiaTheme="minorEastAsia"/>
          <w:b w:val="0"/>
          <w:bCs/>
          <w:color w:val="auto"/>
          <w:sz w:val="24"/>
          <w:szCs w:val="24"/>
          <w:highlight w:val="none"/>
          <w:lang w:val="en-US" w:eastAsia="zh-CN"/>
        </w:rPr>
        <w:t>为无固定期限理财产品，</w:t>
      </w:r>
      <w:r>
        <w:rPr>
          <w:rFonts w:hint="default" w:ascii="Times New Roman" w:hAnsi="Times New Roman" w:cs="Times New Roman" w:eastAsiaTheme="minorEastAsia"/>
          <w:b w:val="0"/>
          <w:bCs/>
          <w:color w:val="auto"/>
          <w:sz w:val="24"/>
          <w:szCs w:val="24"/>
          <w:highlight w:val="none"/>
          <w:lang w:val="en-US" w:eastAsia="zh-CN"/>
        </w:rPr>
        <w:t>到期日为T+</w:t>
      </w:r>
      <w:r>
        <w:rPr>
          <w:rFonts w:hint="eastAsia" w:cs="Times New Roman" w:eastAsiaTheme="minorEastAsia"/>
          <w:b w:val="0"/>
          <w:bCs/>
          <w:color w:val="auto"/>
          <w:sz w:val="24"/>
          <w:szCs w:val="24"/>
          <w:highlight w:val="none"/>
          <w:lang w:val="en-US" w:eastAsia="zh-CN"/>
        </w:rPr>
        <w:t>0</w:t>
      </w:r>
      <w:r>
        <w:rPr>
          <w:rFonts w:hint="eastAsia" w:ascii="Times New Roman" w:hAnsi="Times New Roman" w:cs="Times New Roman" w:eastAsiaTheme="minorEastAsia"/>
          <w:b w:val="0"/>
          <w:bCs/>
          <w:color w:val="auto"/>
          <w:sz w:val="24"/>
          <w:szCs w:val="24"/>
          <w:highlight w:val="none"/>
          <w:lang w:val="en-US" w:eastAsia="zh-CN"/>
        </w:rPr>
        <w:t>，暨</w:t>
      </w:r>
      <w:r>
        <w:rPr>
          <w:rFonts w:hint="default" w:ascii="Times New Roman" w:hAnsi="Times New Roman" w:cs="Times New Roman" w:eastAsiaTheme="minorEastAsia"/>
          <w:b w:val="0"/>
          <w:bCs/>
          <w:color w:val="auto"/>
          <w:sz w:val="24"/>
          <w:szCs w:val="24"/>
          <w:highlight w:val="none"/>
          <w:lang w:val="en-US" w:eastAsia="zh-CN"/>
        </w:rPr>
        <w:t>T+</w:t>
      </w:r>
      <w:r>
        <w:rPr>
          <w:rFonts w:hint="eastAsia" w:cs="Times New Roman" w:eastAsiaTheme="minorEastAsia"/>
          <w:b w:val="0"/>
          <w:bCs/>
          <w:color w:val="auto"/>
          <w:sz w:val="24"/>
          <w:szCs w:val="24"/>
          <w:highlight w:val="none"/>
          <w:lang w:val="en-US" w:eastAsia="zh-CN"/>
        </w:rPr>
        <w:t>0</w:t>
      </w:r>
      <w:r>
        <w:rPr>
          <w:rFonts w:hint="default" w:ascii="Times New Roman" w:hAnsi="Times New Roman" w:cs="Times New Roman" w:eastAsiaTheme="minorEastAsia"/>
          <w:b w:val="0"/>
          <w:bCs/>
          <w:color w:val="auto"/>
          <w:sz w:val="24"/>
          <w:szCs w:val="24"/>
          <w:highlight w:val="none"/>
          <w:lang w:val="en-US" w:eastAsia="zh-CN"/>
        </w:rPr>
        <w:t>赎回</w:t>
      </w:r>
      <w:r>
        <w:rPr>
          <w:rFonts w:hint="eastAsia" w:cs="Times New Roman" w:eastAsiaTheme="minorEastAsia"/>
          <w:b w:val="0"/>
          <w:bCs/>
          <w:color w:val="auto"/>
          <w:sz w:val="24"/>
          <w:szCs w:val="24"/>
          <w:highlight w:val="none"/>
          <w:lang w:val="en-US" w:eastAsia="zh-CN"/>
        </w:rPr>
        <w:t>。</w:t>
      </w:r>
    </w:p>
    <w:p>
      <w:pPr>
        <w:widowControl/>
        <w:spacing w:before="156" w:beforeLines="50" w:after="156" w:afterLines="50" w:line="360" w:lineRule="auto"/>
        <w:jc w:val="left"/>
        <w:rPr>
          <w:rFonts w:hint="eastAsia" w:eastAsiaTheme="minorEastAsia"/>
          <w:b/>
          <w:color w:val="000000"/>
          <w:sz w:val="24"/>
          <w:szCs w:val="24"/>
          <w:lang w:eastAsia="zh-CN"/>
        </w:rPr>
      </w:pPr>
      <w:r>
        <w:rPr>
          <w:rFonts w:hint="eastAsia" w:eastAsiaTheme="minorEastAsia"/>
          <w:b/>
          <w:color w:val="000000"/>
          <w:sz w:val="24"/>
          <w:szCs w:val="24"/>
          <w:lang w:val="en-US" w:eastAsia="zh-CN"/>
        </w:rPr>
        <w:t>二</w:t>
      </w:r>
      <w:r>
        <w:rPr>
          <w:rFonts w:hint="eastAsia" w:eastAsiaTheme="minorEastAsia"/>
          <w:b/>
          <w:color w:val="000000"/>
          <w:sz w:val="24"/>
          <w:szCs w:val="24"/>
        </w:rPr>
        <w:t>、本次委托理财概况</w:t>
      </w:r>
    </w:p>
    <w:p>
      <w:pPr>
        <w:widowControl/>
        <w:spacing w:before="156" w:beforeLines="50" w:after="156" w:afterLines="50"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（一）委托理财目的</w:t>
      </w:r>
    </w:p>
    <w:p>
      <w:pPr>
        <w:widowControl/>
        <w:spacing w:before="156" w:beforeLines="50" w:after="156" w:afterLines="50" w:line="360" w:lineRule="auto"/>
        <w:ind w:firstLine="420" w:firstLineChars="175"/>
        <w:jc w:val="left"/>
        <w:rPr>
          <w:rFonts w:eastAsiaTheme="minorEastAsia"/>
          <w:color w:val="000000"/>
          <w:sz w:val="24"/>
          <w:szCs w:val="24"/>
          <w:highlight w:val="none"/>
        </w:rPr>
      </w:pPr>
      <w:r>
        <w:rPr>
          <w:rFonts w:eastAsiaTheme="minorEastAsia"/>
          <w:color w:val="000000"/>
          <w:sz w:val="24"/>
          <w:szCs w:val="24"/>
          <w:highlight w:val="none"/>
        </w:rPr>
        <w:t>为进一步提高资金使用效率，合理利用闲置自有资金，在确保不影响公司正常经营的前提下，公司使用总额不超过人民币8亿元（含8亿元）的闲置自有资金进行现金管理，以更好实现公司资金的保值增值，保障公司及股东的利益。</w:t>
      </w:r>
    </w:p>
    <w:p>
      <w:pPr>
        <w:widowControl/>
        <w:spacing w:before="156" w:beforeLines="50" w:after="156" w:afterLines="50"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（二）资金来源</w:t>
      </w:r>
    </w:p>
    <w:p>
      <w:pPr>
        <w:widowControl/>
        <w:spacing w:before="156" w:beforeLines="50" w:after="156" w:afterLines="50" w:line="360" w:lineRule="auto"/>
        <w:ind w:firstLine="420" w:firstLineChars="175"/>
        <w:jc w:val="left"/>
        <w:rPr>
          <w:rFonts w:hint="eastAsia" w:eastAsiaTheme="minorEastAsia"/>
          <w:color w:val="000000"/>
          <w:sz w:val="24"/>
          <w:szCs w:val="24"/>
        </w:rPr>
      </w:pPr>
      <w:r>
        <w:rPr>
          <w:rFonts w:hint="eastAsia" w:eastAsiaTheme="minorEastAsia"/>
          <w:color w:val="000000"/>
          <w:sz w:val="24"/>
          <w:szCs w:val="24"/>
        </w:rPr>
        <w:t>本次委托理财的资金来源为公司及控股子公司暂时闲置的自有资金。</w:t>
      </w:r>
    </w:p>
    <w:p>
      <w:pPr>
        <w:widowControl/>
        <w:spacing w:before="156" w:beforeLines="50" w:after="156" w:afterLines="50" w:line="360" w:lineRule="auto"/>
        <w:ind w:firstLine="422" w:firstLineChars="175"/>
        <w:jc w:val="left"/>
        <w:rPr>
          <w:rFonts w:eastAsiaTheme="minorEastAsia"/>
          <w:b/>
          <w:color w:val="000000"/>
          <w:sz w:val="24"/>
          <w:szCs w:val="24"/>
          <w:highlight w:val="none"/>
        </w:rPr>
      </w:pPr>
      <w:r>
        <w:rPr>
          <w:rFonts w:hint="eastAsia" w:eastAsiaTheme="minorEastAsia"/>
          <w:b/>
          <w:color w:val="000000"/>
          <w:sz w:val="24"/>
          <w:szCs w:val="24"/>
          <w:highlight w:val="none"/>
        </w:rPr>
        <w:t>（三）委托理财产品的基本情况</w:t>
      </w:r>
    </w:p>
    <w:tbl>
      <w:tblPr>
        <w:tblStyle w:val="2"/>
        <w:tblW w:w="9120" w:type="dxa"/>
        <w:jc w:val="center"/>
        <w:tblLayout w:type="fixed"/>
        <w:tblCellMar>
          <w:top w:w="0" w:type="dxa"/>
          <w:left w:w="108" w:type="dxa"/>
          <w:bottom w:w="0" w:type="dxa"/>
          <w:right w:w="108" w:type="dxa"/>
        </w:tblCellMar>
      </w:tblPr>
      <w:tblGrid>
        <w:gridCol w:w="667"/>
        <w:gridCol w:w="878"/>
        <w:gridCol w:w="1346"/>
        <w:gridCol w:w="956"/>
        <w:gridCol w:w="850"/>
        <w:gridCol w:w="958"/>
        <w:gridCol w:w="872"/>
        <w:gridCol w:w="1136"/>
        <w:gridCol w:w="692"/>
        <w:gridCol w:w="765"/>
      </w:tblGrid>
      <w:tr>
        <w:tblPrEx>
          <w:tblCellMar>
            <w:top w:w="0" w:type="dxa"/>
            <w:left w:w="108" w:type="dxa"/>
            <w:bottom w:w="0" w:type="dxa"/>
            <w:right w:w="108" w:type="dxa"/>
          </w:tblCellMar>
        </w:tblPrEx>
        <w:trPr>
          <w:trHeight w:val="397" w:hRule="atLeast"/>
          <w:jc w:val="center"/>
        </w:trPr>
        <w:tc>
          <w:tcPr>
            <w:tcW w:w="6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受托方</w:t>
            </w:r>
          </w:p>
        </w:tc>
        <w:tc>
          <w:tcPr>
            <w:tcW w:w="87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w:t>
            </w:r>
          </w:p>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类型</w:t>
            </w:r>
          </w:p>
        </w:tc>
        <w:tc>
          <w:tcPr>
            <w:tcW w:w="13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95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金额</w:t>
            </w:r>
          </w:p>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预计年化收益率</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预计收益金额</w:t>
            </w:r>
          </w:p>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87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产品期限</w:t>
            </w:r>
          </w:p>
        </w:tc>
        <w:tc>
          <w:tcPr>
            <w:tcW w:w="113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结构化安排</w:t>
            </w:r>
          </w:p>
        </w:tc>
        <w:tc>
          <w:tcPr>
            <w:tcW w:w="7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是否构成关联交易</w:t>
            </w:r>
          </w:p>
        </w:tc>
      </w:tr>
      <w:tr>
        <w:tblPrEx>
          <w:tblCellMar>
            <w:top w:w="0" w:type="dxa"/>
            <w:left w:w="108" w:type="dxa"/>
            <w:bottom w:w="0" w:type="dxa"/>
            <w:right w:w="108" w:type="dxa"/>
          </w:tblCellMar>
        </w:tblPrEx>
        <w:trPr>
          <w:trHeight w:val="397" w:hRule="atLeast"/>
          <w:jc w:val="center"/>
        </w:trPr>
        <w:tc>
          <w:tcPr>
            <w:tcW w:w="6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eastAsia" w:cs="Times New Roman"/>
                <w:color w:val="000000"/>
                <w:kern w:val="2"/>
                <w:sz w:val="21"/>
                <w:szCs w:val="21"/>
                <w:highlight w:val="none"/>
                <w:lang w:val="en-US" w:eastAsia="zh-CN" w:bidi="ar-SA"/>
              </w:rPr>
              <w:t>国融证券</w:t>
            </w:r>
          </w:p>
        </w:tc>
        <w:tc>
          <w:tcPr>
            <w:tcW w:w="87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eastAsia" w:cs="Times New Roman"/>
                <w:color w:val="000000"/>
                <w:kern w:val="2"/>
                <w:sz w:val="21"/>
                <w:szCs w:val="21"/>
                <w:highlight w:val="none"/>
                <w:lang w:val="en-US" w:eastAsia="zh-CN" w:bidi="ar-SA"/>
              </w:rPr>
              <w:t>券商理财产品</w:t>
            </w:r>
          </w:p>
        </w:tc>
        <w:tc>
          <w:tcPr>
            <w:tcW w:w="13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cs="Times New Roman"/>
                <w:color w:val="000000"/>
                <w:kern w:val="2"/>
                <w:sz w:val="21"/>
                <w:szCs w:val="21"/>
                <w:highlight w:val="none"/>
                <w:lang w:val="en-US" w:eastAsia="zh-CN" w:bidi="ar-SA"/>
              </w:rPr>
            </w:pPr>
            <w:r>
              <w:rPr>
                <w:rFonts w:hint="default" w:ascii="Times New Roman" w:hAnsi="Times New Roman" w:cs="Times New Roman"/>
                <w:color w:val="000000"/>
                <w:kern w:val="2"/>
                <w:sz w:val="21"/>
                <w:szCs w:val="21"/>
                <w:highlight w:val="none"/>
                <w:lang w:val="en-US" w:eastAsia="zh-CN" w:bidi="ar-SA"/>
              </w:rPr>
              <w:t>安顺1号</w:t>
            </w:r>
          </w:p>
        </w:tc>
        <w:tc>
          <w:tcPr>
            <w:tcW w:w="95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vertAlign w:val="baseline"/>
                <w:lang w:val="en-US" w:eastAsia="zh-CN" w:bidi="ar-SA"/>
              </w:rPr>
            </w:pPr>
            <w:r>
              <w:rPr>
                <w:rFonts w:hint="default" w:ascii="Times New Roman" w:hAnsi="Times New Roman" w:cs="Times New Roman"/>
                <w:color w:val="000000"/>
                <w:kern w:val="2"/>
                <w:sz w:val="21"/>
                <w:szCs w:val="21"/>
                <w:highlight w:val="none"/>
                <w:vertAlign w:val="baseline"/>
                <w:lang w:val="en-US" w:eastAsia="zh-CN" w:bidi="ar-SA"/>
              </w:rPr>
              <w:t>4,000</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cs="Times New Roman"/>
                <w:color w:val="000000"/>
                <w:kern w:val="2"/>
                <w:sz w:val="21"/>
                <w:szCs w:val="21"/>
                <w:highlight w:val="none"/>
                <w:vertAlign w:val="baseline"/>
                <w:lang w:val="en-US" w:eastAsia="zh-CN" w:bidi="ar-SA"/>
              </w:rPr>
              <w:t>净值型</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b/>
                <w:color w:val="000000"/>
                <w:kern w:val="0"/>
                <w:sz w:val="21"/>
                <w:szCs w:val="21"/>
                <w:highlight w:val="none"/>
                <w:lang w:val="en-US" w:eastAsia="zh-CN" w:bidi="ar-SA"/>
              </w:rPr>
            </w:pPr>
            <w:r>
              <w:rPr>
                <w:rFonts w:hint="eastAsia" w:cs="Times New Roman"/>
                <w:b/>
                <w:color w:val="000000"/>
                <w:kern w:val="0"/>
                <w:sz w:val="21"/>
                <w:szCs w:val="21"/>
                <w:highlight w:val="none"/>
                <w:lang w:val="en-US" w:eastAsia="zh-CN" w:bidi="ar-SA"/>
              </w:rPr>
              <w:t>-</w:t>
            </w:r>
          </w:p>
        </w:tc>
        <w:tc>
          <w:tcPr>
            <w:tcW w:w="87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eastAsia" w:cs="Times New Roman"/>
                <w:color w:val="000000"/>
                <w:sz w:val="21"/>
                <w:szCs w:val="21"/>
                <w:highlight w:val="none"/>
                <w:lang w:val="en-US" w:eastAsia="zh-CN"/>
              </w:rPr>
              <w:t>7天</w:t>
            </w:r>
          </w:p>
        </w:tc>
        <w:tc>
          <w:tcPr>
            <w:tcW w:w="113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eastAsiaTheme="minorEastAsia"/>
                <w:bCs/>
                <w:color w:val="000000"/>
                <w:kern w:val="0"/>
                <w:szCs w:val="21"/>
                <w:highlight w:val="none"/>
              </w:rPr>
              <w:t>非保本浮动收益型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无</w:t>
            </w:r>
          </w:p>
        </w:tc>
        <w:tc>
          <w:tcPr>
            <w:tcW w:w="7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否</w:t>
            </w:r>
          </w:p>
        </w:tc>
      </w:tr>
      <w:tr>
        <w:tblPrEx>
          <w:tblCellMar>
            <w:top w:w="0" w:type="dxa"/>
            <w:left w:w="108" w:type="dxa"/>
            <w:bottom w:w="0" w:type="dxa"/>
            <w:right w:w="108" w:type="dxa"/>
          </w:tblCellMar>
        </w:tblPrEx>
        <w:trPr>
          <w:trHeight w:val="397" w:hRule="atLeast"/>
          <w:jc w:val="center"/>
        </w:trPr>
        <w:tc>
          <w:tcPr>
            <w:tcW w:w="6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hint="eastAsia" w:cs="Times New Roman"/>
                <w:i w:val="0"/>
                <w:color w:val="000000"/>
                <w:kern w:val="0"/>
                <w:sz w:val="21"/>
                <w:szCs w:val="21"/>
                <w:highlight w:val="none"/>
                <w:u w:val="none"/>
                <w:lang w:val="en-US" w:eastAsia="zh-CN" w:bidi="ar"/>
              </w:rPr>
            </w:pPr>
            <w:r>
              <w:rPr>
                <w:rFonts w:hint="eastAsia" w:cs="Times New Roman"/>
                <w:i w:val="0"/>
                <w:color w:val="000000"/>
                <w:kern w:val="0"/>
                <w:sz w:val="21"/>
                <w:szCs w:val="21"/>
                <w:highlight w:val="none"/>
                <w:u w:val="none"/>
                <w:lang w:val="en-US" w:eastAsia="zh-CN" w:bidi="ar"/>
              </w:rPr>
              <w:t>上海农商行</w:t>
            </w:r>
          </w:p>
        </w:tc>
        <w:tc>
          <w:tcPr>
            <w:tcW w:w="87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hint="eastAsia" w:cs="Times New Roman"/>
                <w:color w:val="000000"/>
                <w:kern w:val="2"/>
                <w:sz w:val="21"/>
                <w:szCs w:val="21"/>
                <w:highlight w:val="none"/>
                <w:lang w:val="en-US" w:eastAsia="zh-CN" w:bidi="ar-SA"/>
              </w:rPr>
            </w:pPr>
            <w:r>
              <w:rPr>
                <w:rFonts w:hint="eastAsia" w:cs="Times New Roman"/>
                <w:color w:val="000000"/>
                <w:kern w:val="2"/>
                <w:sz w:val="21"/>
                <w:szCs w:val="21"/>
                <w:highlight w:val="none"/>
                <w:lang w:val="en-US" w:eastAsia="zh-CN" w:bidi="ar-SA"/>
              </w:rPr>
              <w:t>银行理财产品</w:t>
            </w:r>
          </w:p>
        </w:tc>
        <w:tc>
          <w:tcPr>
            <w:tcW w:w="13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cs="Times New Roman"/>
                <w:color w:val="000000"/>
                <w:kern w:val="2"/>
                <w:sz w:val="21"/>
                <w:szCs w:val="21"/>
                <w:highlight w:val="none"/>
                <w:lang w:val="en-US" w:eastAsia="zh-CN" w:bidi="ar-SA"/>
              </w:rPr>
            </w:pPr>
            <w:r>
              <w:rPr>
                <w:rFonts w:hint="default" w:ascii="Times New Roman" w:hAnsi="Times New Roman" w:cs="Times New Roman"/>
                <w:color w:val="000000"/>
                <w:kern w:val="2"/>
                <w:sz w:val="21"/>
                <w:szCs w:val="21"/>
                <w:highlight w:val="none"/>
                <w:lang w:val="en-US" w:eastAsia="zh-CN" w:bidi="ar-SA"/>
              </w:rPr>
              <w:t>鑫增利19047期</w:t>
            </w:r>
          </w:p>
        </w:tc>
        <w:tc>
          <w:tcPr>
            <w:tcW w:w="95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cs="Times New Roman"/>
                <w:color w:val="000000"/>
                <w:kern w:val="2"/>
                <w:sz w:val="21"/>
                <w:szCs w:val="21"/>
                <w:highlight w:val="none"/>
                <w:vertAlign w:val="baseline"/>
                <w:lang w:val="en-US" w:eastAsia="zh-CN" w:bidi="ar-SA"/>
              </w:rPr>
            </w:pPr>
            <w:r>
              <w:rPr>
                <w:rFonts w:hint="default" w:ascii="Times New Roman" w:hAnsi="Times New Roman" w:cs="Times New Roman"/>
                <w:color w:val="000000"/>
                <w:kern w:val="2"/>
                <w:sz w:val="21"/>
                <w:szCs w:val="21"/>
                <w:highlight w:val="none"/>
                <w:vertAlign w:val="baseline"/>
                <w:lang w:val="en-US" w:eastAsia="zh-CN" w:bidi="ar-SA"/>
              </w:rPr>
              <w:t>1,000</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eastAsia" w:cs="Times New Roman"/>
                <w:color w:val="000000"/>
                <w:kern w:val="2"/>
                <w:sz w:val="21"/>
                <w:szCs w:val="21"/>
                <w:highlight w:val="none"/>
                <w:vertAlign w:val="baseline"/>
                <w:lang w:val="en-US" w:eastAsia="zh-CN" w:bidi="ar-SA"/>
              </w:rPr>
            </w:pPr>
            <w:r>
              <w:rPr>
                <w:rFonts w:hint="eastAsia" w:cs="Times New Roman"/>
                <w:color w:val="000000"/>
                <w:kern w:val="2"/>
                <w:sz w:val="21"/>
                <w:szCs w:val="21"/>
                <w:highlight w:val="none"/>
                <w:vertAlign w:val="baseline"/>
                <w:lang w:val="en-US" w:eastAsia="zh-CN" w:bidi="ar-SA"/>
              </w:rPr>
              <w:t>净值型</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eastAsia" w:cs="Times New Roman"/>
                <w:b/>
                <w:color w:val="000000"/>
                <w:kern w:val="0"/>
                <w:sz w:val="21"/>
                <w:szCs w:val="21"/>
                <w:highlight w:val="none"/>
                <w:lang w:val="en-US" w:eastAsia="zh-CN"/>
              </w:rPr>
            </w:pPr>
            <w:r>
              <w:rPr>
                <w:rFonts w:hint="eastAsia" w:cs="Times New Roman"/>
                <w:b/>
                <w:color w:val="000000"/>
                <w:kern w:val="0"/>
                <w:sz w:val="21"/>
                <w:szCs w:val="21"/>
                <w:highlight w:val="none"/>
                <w:lang w:val="en-US" w:eastAsia="zh-CN"/>
              </w:rPr>
              <w:t>-</w:t>
            </w:r>
          </w:p>
        </w:tc>
        <w:tc>
          <w:tcPr>
            <w:tcW w:w="87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eastAsia" w:cs="Times New Roman"/>
                <w:color w:val="000000"/>
                <w:sz w:val="21"/>
                <w:szCs w:val="21"/>
                <w:highlight w:val="none"/>
                <w:lang w:val="en-US" w:eastAsia="zh-CN"/>
              </w:rPr>
            </w:pPr>
            <w:r>
              <w:rPr>
                <w:rFonts w:hint="eastAsia" w:cs="Times New Roman"/>
                <w:color w:val="000000"/>
                <w:sz w:val="21"/>
                <w:szCs w:val="21"/>
                <w:highlight w:val="none"/>
                <w:lang w:val="en-US" w:eastAsia="zh-CN"/>
              </w:rPr>
              <w:t>6个月</w:t>
            </w:r>
          </w:p>
        </w:tc>
        <w:tc>
          <w:tcPr>
            <w:tcW w:w="113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eastAsiaTheme="minorEastAsia"/>
                <w:bCs/>
                <w:color w:val="000000"/>
                <w:kern w:val="0"/>
                <w:szCs w:val="21"/>
                <w:highlight w:val="none"/>
              </w:rPr>
            </w:pPr>
            <w:r>
              <w:rPr>
                <w:rFonts w:eastAsiaTheme="minorEastAsia"/>
                <w:bCs/>
                <w:color w:val="000000"/>
                <w:kern w:val="0"/>
                <w:szCs w:val="21"/>
                <w:highlight w:val="none"/>
              </w:rPr>
              <w:t>非保本浮动收益型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无</w:t>
            </w:r>
          </w:p>
        </w:tc>
        <w:tc>
          <w:tcPr>
            <w:tcW w:w="7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否</w:t>
            </w:r>
            <w:bookmarkStart w:id="0" w:name="_GoBack"/>
            <w:bookmarkEnd w:id="0"/>
          </w:p>
        </w:tc>
      </w:tr>
      <w:tr>
        <w:tblPrEx>
          <w:tblCellMar>
            <w:top w:w="0" w:type="dxa"/>
            <w:left w:w="108" w:type="dxa"/>
            <w:bottom w:w="0" w:type="dxa"/>
            <w:right w:w="108" w:type="dxa"/>
          </w:tblCellMar>
        </w:tblPrEx>
        <w:trPr>
          <w:trHeight w:val="397" w:hRule="atLeast"/>
          <w:jc w:val="center"/>
        </w:trPr>
        <w:tc>
          <w:tcPr>
            <w:tcW w:w="6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cs="Times New Roman"/>
                <w:i w:val="0"/>
                <w:color w:val="000000"/>
                <w:kern w:val="0"/>
                <w:sz w:val="21"/>
                <w:szCs w:val="21"/>
                <w:highlight w:val="none"/>
                <w:u w:val="none"/>
                <w:lang w:val="en-US" w:eastAsia="zh-CN" w:bidi="ar"/>
              </w:rPr>
              <w:t>国融证券</w:t>
            </w:r>
          </w:p>
        </w:tc>
        <w:tc>
          <w:tcPr>
            <w:tcW w:w="87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cs="Times New Roman"/>
                <w:color w:val="000000"/>
                <w:kern w:val="2"/>
                <w:sz w:val="21"/>
                <w:szCs w:val="21"/>
                <w:highlight w:val="none"/>
                <w:lang w:val="en-US" w:eastAsia="zh-CN" w:bidi="ar-SA"/>
              </w:rPr>
              <w:t>券商理财产品</w:t>
            </w:r>
          </w:p>
        </w:tc>
        <w:tc>
          <w:tcPr>
            <w:tcW w:w="13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cs="Times New Roman"/>
                <w:color w:val="000000"/>
                <w:kern w:val="2"/>
                <w:sz w:val="21"/>
                <w:szCs w:val="21"/>
                <w:highlight w:val="none"/>
                <w:lang w:val="en-US" w:eastAsia="zh-CN" w:bidi="ar-SA"/>
              </w:rPr>
            </w:pPr>
            <w:r>
              <w:rPr>
                <w:rFonts w:hint="default" w:ascii="Times New Roman" w:hAnsi="Times New Roman" w:cs="Times New Roman"/>
                <w:color w:val="000000"/>
                <w:kern w:val="2"/>
                <w:sz w:val="21"/>
                <w:szCs w:val="21"/>
                <w:highlight w:val="none"/>
                <w:lang w:val="en-US" w:eastAsia="zh-CN" w:bidi="ar-SA"/>
              </w:rPr>
              <w:t>安顺1号</w:t>
            </w:r>
          </w:p>
        </w:tc>
        <w:tc>
          <w:tcPr>
            <w:tcW w:w="95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vertAlign w:val="baseline"/>
                <w:lang w:val="en-US" w:eastAsia="zh-CN" w:bidi="ar-SA"/>
              </w:rPr>
            </w:pPr>
            <w:r>
              <w:rPr>
                <w:rFonts w:hint="default" w:ascii="Times New Roman" w:hAnsi="Times New Roman" w:cs="Times New Roman"/>
                <w:color w:val="000000"/>
                <w:kern w:val="2"/>
                <w:sz w:val="21"/>
                <w:szCs w:val="21"/>
                <w:highlight w:val="none"/>
                <w:vertAlign w:val="baseline"/>
                <w:lang w:val="en-US" w:eastAsia="zh-CN" w:bidi="ar-SA"/>
              </w:rPr>
              <w:t>2,500</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cs="Times New Roman"/>
                <w:color w:val="000000"/>
                <w:kern w:val="2"/>
                <w:sz w:val="21"/>
                <w:szCs w:val="21"/>
                <w:highlight w:val="none"/>
                <w:vertAlign w:val="baseline"/>
                <w:lang w:val="en-US" w:eastAsia="zh-CN" w:bidi="ar-SA"/>
              </w:rPr>
              <w:t>净值型</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eastAsia" w:ascii="Times New Roman" w:hAnsi="Times New Roman" w:eastAsia="宋体" w:cs="Times New Roman"/>
                <w:b/>
                <w:color w:val="000000"/>
                <w:kern w:val="0"/>
                <w:sz w:val="21"/>
                <w:szCs w:val="21"/>
                <w:highlight w:val="none"/>
                <w:lang w:val="en-US" w:eastAsia="zh-CN" w:bidi="ar-SA"/>
              </w:rPr>
            </w:pPr>
            <w:r>
              <w:rPr>
                <w:rFonts w:hint="eastAsia" w:cs="Times New Roman"/>
                <w:b/>
                <w:color w:val="000000"/>
                <w:kern w:val="0"/>
                <w:sz w:val="21"/>
                <w:szCs w:val="21"/>
                <w:highlight w:val="none"/>
                <w:lang w:val="en-US" w:eastAsia="zh-CN"/>
              </w:rPr>
              <w:t>-</w:t>
            </w:r>
          </w:p>
        </w:tc>
        <w:tc>
          <w:tcPr>
            <w:tcW w:w="87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eastAsia" w:ascii="Times New Roman" w:hAnsi="Times New Roman" w:eastAsia="宋体" w:cs="Times New Roman"/>
                <w:color w:val="000000"/>
                <w:kern w:val="2"/>
                <w:sz w:val="21"/>
                <w:szCs w:val="21"/>
                <w:highlight w:val="none"/>
                <w:lang w:val="en-US" w:eastAsia="zh-CN" w:bidi="ar-SA"/>
              </w:rPr>
            </w:pPr>
            <w:r>
              <w:rPr>
                <w:rFonts w:hint="eastAsia" w:cs="Times New Roman"/>
                <w:color w:val="000000"/>
                <w:sz w:val="21"/>
                <w:szCs w:val="21"/>
                <w:highlight w:val="none"/>
                <w:lang w:val="en-US" w:eastAsia="zh-CN"/>
              </w:rPr>
              <w:t>7天</w:t>
            </w:r>
          </w:p>
        </w:tc>
        <w:tc>
          <w:tcPr>
            <w:tcW w:w="113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eastAsiaTheme="minorEastAsia"/>
                <w:bCs/>
                <w:color w:val="000000"/>
                <w:kern w:val="0"/>
                <w:szCs w:val="21"/>
                <w:highlight w:val="none"/>
              </w:rPr>
              <w:t>非保本浮动收益型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无</w:t>
            </w:r>
          </w:p>
        </w:tc>
        <w:tc>
          <w:tcPr>
            <w:tcW w:w="7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否</w:t>
            </w:r>
          </w:p>
        </w:tc>
      </w:tr>
      <w:tr>
        <w:tblPrEx>
          <w:tblCellMar>
            <w:top w:w="0" w:type="dxa"/>
            <w:left w:w="108" w:type="dxa"/>
            <w:bottom w:w="0" w:type="dxa"/>
            <w:right w:w="108" w:type="dxa"/>
          </w:tblCellMar>
        </w:tblPrEx>
        <w:trPr>
          <w:trHeight w:val="397" w:hRule="atLeast"/>
          <w:jc w:val="center"/>
        </w:trPr>
        <w:tc>
          <w:tcPr>
            <w:tcW w:w="6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eastAsia" w:ascii="Times New Roman" w:hAnsi="Times New Roman" w:eastAsia="宋体" w:cs="Times New Roman"/>
                <w:color w:val="000000"/>
                <w:kern w:val="2"/>
                <w:sz w:val="21"/>
                <w:szCs w:val="21"/>
                <w:highlight w:val="none"/>
                <w:lang w:val="en-US" w:eastAsia="zh-CN" w:bidi="ar-SA"/>
              </w:rPr>
            </w:pPr>
            <w:r>
              <w:rPr>
                <w:rFonts w:hint="eastAsia" w:cs="Times New Roman"/>
                <w:color w:val="000000"/>
                <w:kern w:val="2"/>
                <w:sz w:val="21"/>
                <w:szCs w:val="21"/>
                <w:highlight w:val="none"/>
                <w:lang w:val="en-US" w:eastAsia="zh-CN" w:bidi="ar-SA"/>
              </w:rPr>
              <w:t>招商银行</w:t>
            </w:r>
          </w:p>
        </w:tc>
        <w:tc>
          <w:tcPr>
            <w:tcW w:w="87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eastAsia" w:cs="Times New Roman"/>
                <w:color w:val="000000"/>
                <w:kern w:val="2"/>
                <w:sz w:val="21"/>
                <w:szCs w:val="21"/>
                <w:highlight w:val="none"/>
                <w:lang w:val="en-US" w:eastAsia="zh-CN" w:bidi="ar-SA"/>
              </w:rPr>
              <w:t>银行理财产品</w:t>
            </w:r>
          </w:p>
        </w:tc>
        <w:tc>
          <w:tcPr>
            <w:tcW w:w="13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cs="Times New Roman"/>
                <w:color w:val="000000"/>
                <w:kern w:val="2"/>
                <w:sz w:val="21"/>
                <w:szCs w:val="21"/>
                <w:highlight w:val="none"/>
                <w:lang w:val="en-US" w:eastAsia="zh-CN" w:bidi="ar-SA"/>
              </w:rPr>
            </w:pPr>
            <w:r>
              <w:rPr>
                <w:rFonts w:hint="default" w:ascii="Times New Roman" w:hAnsi="Times New Roman" w:cs="Times New Roman"/>
                <w:color w:val="000000"/>
                <w:kern w:val="2"/>
                <w:sz w:val="21"/>
                <w:szCs w:val="21"/>
                <w:highlight w:val="none"/>
                <w:lang w:val="en-US" w:eastAsia="zh-CN" w:bidi="ar-SA"/>
              </w:rPr>
              <w:t>朝招金多元稳健型</w:t>
            </w:r>
          </w:p>
        </w:tc>
        <w:tc>
          <w:tcPr>
            <w:tcW w:w="95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numPr>
                <w:ilvl w:val="0"/>
                <w:numId w:val="0"/>
              </w:numPr>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cs="Times New Roman"/>
                <w:color w:val="000000"/>
                <w:kern w:val="2"/>
                <w:sz w:val="21"/>
                <w:szCs w:val="21"/>
                <w:highlight w:val="none"/>
                <w:vertAlign w:val="baseline"/>
                <w:lang w:val="en-US" w:eastAsia="zh-CN" w:bidi="ar-SA"/>
              </w:rPr>
              <w:t>1</w:t>
            </w:r>
            <w:r>
              <w:rPr>
                <w:rFonts w:hint="default" w:ascii="Times New Roman" w:hAnsi="Times New Roman" w:cs="Times New Roman"/>
                <w:color w:val="000000"/>
                <w:kern w:val="2"/>
                <w:sz w:val="21"/>
                <w:szCs w:val="21"/>
                <w:highlight w:val="none"/>
                <w:vertAlign w:val="baseline"/>
                <w:lang w:val="en-US" w:eastAsia="zh-CN" w:bidi="ar-SA"/>
              </w:rPr>
              <w:t>,000</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cs="Times New Roman"/>
                <w:color w:val="000000"/>
                <w:kern w:val="2"/>
                <w:sz w:val="21"/>
                <w:szCs w:val="21"/>
                <w:highlight w:val="none"/>
                <w:vertAlign w:val="baseline"/>
                <w:lang w:val="en-US" w:eastAsia="zh-CN" w:bidi="ar-SA"/>
              </w:rPr>
              <w:t>净值型</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b/>
                <w:color w:val="000000"/>
                <w:kern w:val="0"/>
                <w:sz w:val="21"/>
                <w:szCs w:val="21"/>
                <w:highlight w:val="none"/>
                <w:lang w:val="en-US" w:eastAsia="zh-CN" w:bidi="ar-SA"/>
              </w:rPr>
            </w:pPr>
            <w:r>
              <w:rPr>
                <w:rFonts w:hint="eastAsia" w:cs="Times New Roman"/>
                <w:b/>
                <w:color w:val="000000"/>
                <w:kern w:val="0"/>
                <w:sz w:val="21"/>
                <w:szCs w:val="21"/>
                <w:highlight w:val="none"/>
                <w:lang w:val="en-US" w:eastAsia="zh-CN" w:bidi="ar-SA"/>
              </w:rPr>
              <w:t>-</w:t>
            </w:r>
          </w:p>
        </w:tc>
        <w:tc>
          <w:tcPr>
            <w:tcW w:w="87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eastAsia" w:cs="Times New Roman"/>
                <w:color w:val="000000"/>
                <w:sz w:val="21"/>
                <w:szCs w:val="21"/>
                <w:highlight w:val="none"/>
                <w:lang w:val="en-US" w:eastAsia="zh-CN"/>
              </w:rPr>
              <w:t>无固定期限</w:t>
            </w:r>
          </w:p>
        </w:tc>
        <w:tc>
          <w:tcPr>
            <w:tcW w:w="113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eastAsiaTheme="minorEastAsia"/>
                <w:bCs/>
                <w:color w:val="000000"/>
                <w:kern w:val="0"/>
                <w:szCs w:val="21"/>
                <w:highlight w:val="none"/>
              </w:rPr>
              <w:t>非保本浮动收益型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无</w:t>
            </w:r>
          </w:p>
        </w:tc>
        <w:tc>
          <w:tcPr>
            <w:tcW w:w="7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否</w:t>
            </w:r>
          </w:p>
        </w:tc>
      </w:tr>
      <w:tr>
        <w:tblPrEx>
          <w:tblCellMar>
            <w:top w:w="0" w:type="dxa"/>
            <w:left w:w="108" w:type="dxa"/>
            <w:bottom w:w="0" w:type="dxa"/>
            <w:right w:w="108" w:type="dxa"/>
          </w:tblCellMar>
        </w:tblPrEx>
        <w:trPr>
          <w:trHeight w:val="397" w:hRule="atLeast"/>
          <w:jc w:val="center"/>
        </w:trPr>
        <w:tc>
          <w:tcPr>
            <w:tcW w:w="6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cs="Times New Roman"/>
                <w:i w:val="0"/>
                <w:color w:val="000000"/>
                <w:kern w:val="0"/>
                <w:sz w:val="21"/>
                <w:szCs w:val="21"/>
                <w:highlight w:val="none"/>
                <w:u w:val="none"/>
                <w:lang w:val="en-US" w:eastAsia="zh-CN" w:bidi="ar"/>
              </w:rPr>
              <w:t>国融证券</w:t>
            </w:r>
          </w:p>
        </w:tc>
        <w:tc>
          <w:tcPr>
            <w:tcW w:w="87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cs="Times New Roman"/>
                <w:color w:val="000000"/>
                <w:kern w:val="2"/>
                <w:sz w:val="21"/>
                <w:szCs w:val="21"/>
                <w:highlight w:val="none"/>
                <w:lang w:val="en-US" w:eastAsia="zh-CN" w:bidi="ar-SA"/>
              </w:rPr>
              <w:t>券商理财产品</w:t>
            </w:r>
          </w:p>
        </w:tc>
        <w:tc>
          <w:tcPr>
            <w:tcW w:w="13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cs="Times New Roman"/>
                <w:color w:val="000000"/>
                <w:kern w:val="2"/>
                <w:sz w:val="21"/>
                <w:szCs w:val="21"/>
                <w:highlight w:val="none"/>
                <w:lang w:val="en-US" w:eastAsia="zh-CN" w:bidi="ar-SA"/>
              </w:rPr>
            </w:pPr>
            <w:r>
              <w:rPr>
                <w:rFonts w:hint="default" w:ascii="Times New Roman" w:hAnsi="Times New Roman" w:cs="Times New Roman"/>
                <w:color w:val="000000"/>
                <w:kern w:val="2"/>
                <w:sz w:val="21"/>
                <w:szCs w:val="21"/>
                <w:highlight w:val="none"/>
                <w:lang w:val="en-US" w:eastAsia="zh-CN" w:bidi="ar-SA"/>
              </w:rPr>
              <w:t>安顺1号</w:t>
            </w:r>
          </w:p>
        </w:tc>
        <w:tc>
          <w:tcPr>
            <w:tcW w:w="95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cs="Times New Roman"/>
                <w:color w:val="000000"/>
                <w:kern w:val="2"/>
                <w:sz w:val="21"/>
                <w:szCs w:val="21"/>
                <w:highlight w:val="none"/>
                <w:vertAlign w:val="baseline"/>
                <w:lang w:val="en-US" w:eastAsia="zh-CN" w:bidi="ar-SA"/>
              </w:rPr>
            </w:pPr>
            <w:r>
              <w:rPr>
                <w:rFonts w:hint="default" w:ascii="Times New Roman" w:hAnsi="Times New Roman" w:cs="Times New Roman"/>
                <w:color w:val="000000"/>
                <w:kern w:val="2"/>
                <w:sz w:val="21"/>
                <w:szCs w:val="21"/>
                <w:highlight w:val="none"/>
                <w:vertAlign w:val="baseline"/>
                <w:lang w:val="en-US" w:eastAsia="zh-CN" w:bidi="ar-SA"/>
              </w:rPr>
              <w:t>2,000</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eastAsia" w:cs="Times New Roman"/>
                <w:color w:val="000000"/>
                <w:kern w:val="2"/>
                <w:sz w:val="21"/>
                <w:szCs w:val="21"/>
                <w:highlight w:val="none"/>
                <w:vertAlign w:val="baseline"/>
                <w:lang w:val="en-US" w:eastAsia="zh-CN" w:bidi="ar-SA"/>
              </w:rPr>
            </w:pPr>
            <w:r>
              <w:rPr>
                <w:rFonts w:hint="eastAsia" w:cs="Times New Roman"/>
                <w:color w:val="000000"/>
                <w:kern w:val="2"/>
                <w:sz w:val="21"/>
                <w:szCs w:val="21"/>
                <w:highlight w:val="none"/>
                <w:vertAlign w:val="baseline"/>
                <w:lang w:val="en-US" w:eastAsia="zh-CN" w:bidi="ar-SA"/>
              </w:rPr>
              <w:t>净值型</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cs="Times New Roman"/>
                <w:b/>
                <w:color w:val="000000"/>
                <w:kern w:val="0"/>
                <w:sz w:val="21"/>
                <w:szCs w:val="21"/>
                <w:highlight w:val="none"/>
                <w:lang w:val="en-US" w:eastAsia="zh-CN"/>
              </w:rPr>
            </w:pPr>
            <w:r>
              <w:rPr>
                <w:rFonts w:hint="eastAsia" w:cs="Times New Roman"/>
                <w:b/>
                <w:color w:val="000000"/>
                <w:kern w:val="0"/>
                <w:sz w:val="21"/>
                <w:szCs w:val="21"/>
                <w:highlight w:val="none"/>
                <w:lang w:val="en-US" w:eastAsia="zh-CN"/>
              </w:rPr>
              <w:t>-</w:t>
            </w:r>
          </w:p>
        </w:tc>
        <w:tc>
          <w:tcPr>
            <w:tcW w:w="87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eastAsia" w:ascii="Times New Roman" w:hAnsi="Times New Roman" w:eastAsia="宋体" w:cs="Times New Roman"/>
                <w:color w:val="000000"/>
                <w:kern w:val="2"/>
                <w:sz w:val="21"/>
                <w:szCs w:val="21"/>
                <w:highlight w:val="none"/>
                <w:lang w:val="en-US" w:eastAsia="zh-CN" w:bidi="ar-SA"/>
              </w:rPr>
            </w:pPr>
            <w:r>
              <w:rPr>
                <w:rFonts w:hint="eastAsia" w:cs="Times New Roman"/>
                <w:color w:val="000000"/>
                <w:sz w:val="21"/>
                <w:szCs w:val="21"/>
                <w:highlight w:val="none"/>
                <w:lang w:val="en-US" w:eastAsia="zh-CN"/>
              </w:rPr>
              <w:t>7天</w:t>
            </w:r>
          </w:p>
        </w:tc>
        <w:tc>
          <w:tcPr>
            <w:tcW w:w="113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eastAsiaTheme="minorEastAsia"/>
                <w:bCs/>
                <w:color w:val="000000"/>
                <w:kern w:val="0"/>
                <w:szCs w:val="21"/>
                <w:highlight w:val="none"/>
              </w:rPr>
              <w:t>非保本浮动收益型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无</w:t>
            </w:r>
          </w:p>
        </w:tc>
        <w:tc>
          <w:tcPr>
            <w:tcW w:w="7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否</w:t>
            </w:r>
          </w:p>
        </w:tc>
      </w:tr>
      <w:tr>
        <w:tblPrEx>
          <w:tblCellMar>
            <w:top w:w="0" w:type="dxa"/>
            <w:left w:w="108" w:type="dxa"/>
            <w:bottom w:w="0" w:type="dxa"/>
            <w:right w:w="108" w:type="dxa"/>
          </w:tblCellMar>
        </w:tblPrEx>
        <w:trPr>
          <w:trHeight w:val="397" w:hRule="atLeast"/>
          <w:jc w:val="center"/>
        </w:trPr>
        <w:tc>
          <w:tcPr>
            <w:tcW w:w="6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hint="eastAsia" w:cs="Times New Roman"/>
                <w:i w:val="0"/>
                <w:color w:val="000000"/>
                <w:kern w:val="0"/>
                <w:sz w:val="21"/>
                <w:szCs w:val="21"/>
                <w:highlight w:val="none"/>
                <w:u w:val="none"/>
                <w:lang w:val="en-US" w:eastAsia="zh-CN" w:bidi="ar"/>
              </w:rPr>
            </w:pPr>
            <w:r>
              <w:rPr>
                <w:rFonts w:hint="eastAsia" w:cs="Times New Roman"/>
                <w:i w:val="0"/>
                <w:color w:val="000000"/>
                <w:kern w:val="0"/>
                <w:sz w:val="21"/>
                <w:szCs w:val="21"/>
                <w:highlight w:val="none"/>
                <w:u w:val="none"/>
                <w:lang w:val="en-US" w:eastAsia="zh-CN" w:bidi="ar"/>
              </w:rPr>
              <w:t>国融证券</w:t>
            </w:r>
          </w:p>
        </w:tc>
        <w:tc>
          <w:tcPr>
            <w:tcW w:w="87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cs="Times New Roman"/>
                <w:color w:val="000000"/>
                <w:kern w:val="2"/>
                <w:sz w:val="21"/>
                <w:szCs w:val="21"/>
                <w:highlight w:val="none"/>
                <w:lang w:val="en-US" w:eastAsia="zh-CN" w:bidi="ar-SA"/>
              </w:rPr>
              <w:t>券商理财产品</w:t>
            </w:r>
          </w:p>
        </w:tc>
        <w:tc>
          <w:tcPr>
            <w:tcW w:w="13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cs="Times New Roman"/>
                <w:color w:val="000000"/>
                <w:kern w:val="2"/>
                <w:sz w:val="21"/>
                <w:szCs w:val="21"/>
                <w:highlight w:val="none"/>
                <w:lang w:val="en-US" w:eastAsia="zh-CN" w:bidi="ar-SA"/>
              </w:rPr>
            </w:pPr>
            <w:r>
              <w:rPr>
                <w:rFonts w:hint="default" w:ascii="Times New Roman" w:hAnsi="Times New Roman" w:cs="Times New Roman"/>
                <w:color w:val="000000"/>
                <w:kern w:val="2"/>
                <w:sz w:val="21"/>
                <w:szCs w:val="21"/>
                <w:highlight w:val="none"/>
                <w:lang w:val="en-US" w:eastAsia="zh-CN" w:bidi="ar-SA"/>
              </w:rPr>
              <w:t>安顺1号</w:t>
            </w:r>
          </w:p>
        </w:tc>
        <w:tc>
          <w:tcPr>
            <w:tcW w:w="95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cs="Times New Roman"/>
                <w:color w:val="000000"/>
                <w:kern w:val="2"/>
                <w:sz w:val="21"/>
                <w:szCs w:val="21"/>
                <w:highlight w:val="none"/>
                <w:vertAlign w:val="baseline"/>
                <w:lang w:val="en-US" w:eastAsia="zh-CN" w:bidi="ar-SA"/>
              </w:rPr>
            </w:pPr>
            <w:r>
              <w:rPr>
                <w:rFonts w:hint="eastAsia" w:cs="Times New Roman"/>
                <w:color w:val="000000"/>
                <w:kern w:val="2"/>
                <w:sz w:val="21"/>
                <w:szCs w:val="21"/>
                <w:highlight w:val="none"/>
                <w:vertAlign w:val="baseline"/>
                <w:lang w:val="en-US" w:eastAsia="zh-CN" w:bidi="ar-SA"/>
              </w:rPr>
              <w:t>1,500</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cs="Times New Roman"/>
                <w:color w:val="000000"/>
                <w:kern w:val="2"/>
                <w:sz w:val="21"/>
                <w:szCs w:val="21"/>
                <w:highlight w:val="none"/>
                <w:vertAlign w:val="baseline"/>
                <w:lang w:val="en-US" w:eastAsia="zh-CN" w:bidi="ar-SA"/>
              </w:rPr>
              <w:t>净值型</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eastAsia" w:ascii="Times New Roman" w:hAnsi="Times New Roman" w:eastAsia="宋体" w:cs="Times New Roman"/>
                <w:b/>
                <w:color w:val="000000"/>
                <w:kern w:val="0"/>
                <w:sz w:val="21"/>
                <w:szCs w:val="21"/>
                <w:highlight w:val="none"/>
                <w:lang w:val="en-US" w:eastAsia="zh-CN" w:bidi="ar-SA"/>
              </w:rPr>
            </w:pPr>
            <w:r>
              <w:rPr>
                <w:rFonts w:hint="eastAsia" w:cs="Times New Roman"/>
                <w:b/>
                <w:color w:val="000000"/>
                <w:kern w:val="0"/>
                <w:sz w:val="21"/>
                <w:szCs w:val="21"/>
                <w:highlight w:val="none"/>
                <w:lang w:val="en-US" w:eastAsia="zh-CN"/>
              </w:rPr>
              <w:t>-</w:t>
            </w:r>
          </w:p>
        </w:tc>
        <w:tc>
          <w:tcPr>
            <w:tcW w:w="87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eastAsia" w:ascii="Times New Roman" w:hAnsi="Times New Roman" w:eastAsia="宋体" w:cs="Times New Roman"/>
                <w:color w:val="000000"/>
                <w:kern w:val="2"/>
                <w:sz w:val="21"/>
                <w:szCs w:val="21"/>
                <w:highlight w:val="none"/>
                <w:lang w:val="en-US" w:eastAsia="zh-CN" w:bidi="ar-SA"/>
              </w:rPr>
            </w:pPr>
            <w:r>
              <w:rPr>
                <w:rFonts w:hint="eastAsia" w:cs="Times New Roman"/>
                <w:color w:val="000000"/>
                <w:sz w:val="21"/>
                <w:szCs w:val="21"/>
                <w:highlight w:val="none"/>
                <w:lang w:val="en-US" w:eastAsia="zh-CN"/>
              </w:rPr>
              <w:t>7天</w:t>
            </w:r>
          </w:p>
        </w:tc>
        <w:tc>
          <w:tcPr>
            <w:tcW w:w="113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eastAsiaTheme="minorEastAsia"/>
                <w:bCs/>
                <w:color w:val="000000"/>
                <w:kern w:val="0"/>
                <w:szCs w:val="21"/>
                <w:highlight w:val="none"/>
              </w:rPr>
              <w:t>非保本浮动收益型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无</w:t>
            </w:r>
          </w:p>
        </w:tc>
        <w:tc>
          <w:tcPr>
            <w:tcW w:w="7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否</w:t>
            </w:r>
          </w:p>
        </w:tc>
      </w:tr>
      <w:tr>
        <w:tblPrEx>
          <w:tblCellMar>
            <w:top w:w="0" w:type="dxa"/>
            <w:left w:w="108" w:type="dxa"/>
            <w:bottom w:w="0" w:type="dxa"/>
            <w:right w:w="108" w:type="dxa"/>
          </w:tblCellMar>
        </w:tblPrEx>
        <w:trPr>
          <w:trHeight w:val="397" w:hRule="atLeast"/>
          <w:jc w:val="center"/>
        </w:trPr>
        <w:tc>
          <w:tcPr>
            <w:tcW w:w="6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hint="eastAsia" w:cs="Times New Roman"/>
                <w:i w:val="0"/>
                <w:color w:val="000000"/>
                <w:kern w:val="0"/>
                <w:sz w:val="21"/>
                <w:szCs w:val="21"/>
                <w:highlight w:val="none"/>
                <w:u w:val="none"/>
                <w:lang w:val="en-US" w:eastAsia="zh-CN" w:bidi="ar"/>
              </w:rPr>
            </w:pPr>
            <w:r>
              <w:rPr>
                <w:rFonts w:hint="eastAsia" w:cs="Times New Roman"/>
                <w:i w:val="0"/>
                <w:color w:val="000000"/>
                <w:kern w:val="0"/>
                <w:sz w:val="21"/>
                <w:szCs w:val="21"/>
                <w:highlight w:val="none"/>
                <w:u w:val="none"/>
                <w:lang w:val="en-US" w:eastAsia="zh-CN" w:bidi="ar"/>
              </w:rPr>
              <w:t>交通银行</w:t>
            </w:r>
          </w:p>
        </w:tc>
        <w:tc>
          <w:tcPr>
            <w:tcW w:w="87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hint="eastAsia" w:cs="Times New Roman"/>
                <w:color w:val="000000"/>
                <w:kern w:val="2"/>
                <w:sz w:val="21"/>
                <w:szCs w:val="21"/>
                <w:highlight w:val="none"/>
                <w:lang w:val="en-US" w:eastAsia="zh-CN" w:bidi="ar-SA"/>
              </w:rPr>
            </w:pPr>
            <w:r>
              <w:rPr>
                <w:rFonts w:hint="eastAsia" w:cs="Times New Roman"/>
                <w:color w:val="000000"/>
                <w:kern w:val="2"/>
                <w:sz w:val="21"/>
                <w:szCs w:val="21"/>
                <w:highlight w:val="none"/>
                <w:lang w:val="en-US" w:eastAsia="zh-CN" w:bidi="ar-SA"/>
              </w:rPr>
              <w:t>银行理财产品</w:t>
            </w:r>
          </w:p>
        </w:tc>
        <w:tc>
          <w:tcPr>
            <w:tcW w:w="13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cs="Times New Roman"/>
                <w:color w:val="000000"/>
                <w:kern w:val="2"/>
                <w:sz w:val="21"/>
                <w:szCs w:val="21"/>
                <w:highlight w:val="none"/>
                <w:lang w:val="en-US" w:eastAsia="zh-CN" w:bidi="ar-SA"/>
              </w:rPr>
            </w:pPr>
            <w:r>
              <w:rPr>
                <w:rFonts w:hint="default" w:ascii="Times New Roman" w:hAnsi="Times New Roman" w:cs="Times New Roman"/>
                <w:color w:val="000000"/>
                <w:kern w:val="2"/>
                <w:sz w:val="21"/>
                <w:szCs w:val="21"/>
                <w:highlight w:val="none"/>
                <w:lang w:val="en-US" w:eastAsia="zh-CN" w:bidi="ar-SA"/>
              </w:rPr>
              <w:t>交银日开2号</w:t>
            </w:r>
          </w:p>
        </w:tc>
        <w:tc>
          <w:tcPr>
            <w:tcW w:w="95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cs="Times New Roman"/>
                <w:color w:val="000000"/>
                <w:kern w:val="2"/>
                <w:sz w:val="21"/>
                <w:szCs w:val="21"/>
                <w:highlight w:val="none"/>
                <w:vertAlign w:val="baseline"/>
                <w:lang w:val="en-US" w:eastAsia="zh-CN" w:bidi="ar-SA"/>
              </w:rPr>
            </w:pPr>
            <w:r>
              <w:rPr>
                <w:rFonts w:hint="eastAsia" w:cs="Times New Roman"/>
                <w:color w:val="000000"/>
                <w:kern w:val="2"/>
                <w:sz w:val="21"/>
                <w:szCs w:val="21"/>
                <w:highlight w:val="none"/>
                <w:vertAlign w:val="baseline"/>
                <w:lang w:val="en-US" w:eastAsia="zh-CN" w:bidi="ar-SA"/>
              </w:rPr>
              <w:t>1,000</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eastAsia="宋体" w:cs="Times New Roman"/>
                <w:color w:val="000000"/>
                <w:kern w:val="2"/>
                <w:sz w:val="21"/>
                <w:szCs w:val="21"/>
                <w:highlight w:val="none"/>
                <w:vertAlign w:val="baseline"/>
                <w:lang w:val="en-US" w:eastAsia="zh-CN" w:bidi="ar-SA"/>
              </w:rPr>
            </w:pPr>
            <w:r>
              <w:rPr>
                <w:rFonts w:hint="eastAsia" w:cs="Times New Roman"/>
                <w:color w:val="000000"/>
                <w:kern w:val="2"/>
                <w:sz w:val="21"/>
                <w:szCs w:val="21"/>
                <w:highlight w:val="none"/>
                <w:vertAlign w:val="baseline"/>
                <w:lang w:val="en-US" w:eastAsia="zh-CN" w:bidi="ar-SA"/>
              </w:rPr>
              <w:t>净值型</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cs="Times New Roman"/>
                <w:b/>
                <w:color w:val="000000"/>
                <w:kern w:val="0"/>
                <w:sz w:val="21"/>
                <w:szCs w:val="21"/>
                <w:highlight w:val="none"/>
                <w:lang w:val="en-US" w:eastAsia="zh-CN"/>
              </w:rPr>
            </w:pPr>
            <w:r>
              <w:rPr>
                <w:rFonts w:hint="eastAsia" w:cs="Times New Roman"/>
                <w:b/>
                <w:color w:val="000000"/>
                <w:kern w:val="0"/>
                <w:sz w:val="21"/>
                <w:szCs w:val="21"/>
                <w:highlight w:val="none"/>
                <w:lang w:val="en-US" w:eastAsia="zh-CN"/>
              </w:rPr>
              <w:t>-</w:t>
            </w:r>
          </w:p>
        </w:tc>
        <w:tc>
          <w:tcPr>
            <w:tcW w:w="87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eastAsia" w:cs="Times New Roman"/>
                <w:color w:val="000000"/>
                <w:sz w:val="21"/>
                <w:szCs w:val="21"/>
                <w:highlight w:val="none"/>
                <w:lang w:val="en-US" w:eastAsia="zh-CN"/>
              </w:rPr>
              <w:t>无固定期限</w:t>
            </w:r>
          </w:p>
        </w:tc>
        <w:tc>
          <w:tcPr>
            <w:tcW w:w="113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eastAsiaTheme="minorEastAsia"/>
                <w:bCs/>
                <w:color w:val="000000"/>
                <w:kern w:val="0"/>
                <w:szCs w:val="21"/>
                <w:highlight w:val="none"/>
              </w:rPr>
              <w:t>非保本浮动收益型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无</w:t>
            </w:r>
          </w:p>
        </w:tc>
        <w:tc>
          <w:tcPr>
            <w:tcW w:w="7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否</w:t>
            </w:r>
          </w:p>
        </w:tc>
      </w:tr>
    </w:tbl>
    <w:p>
      <w:pPr>
        <w:widowControl/>
        <w:spacing w:before="156" w:beforeLines="50" w:after="156" w:afterLines="50"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（四）公司对委托理财相关风险的内部控制</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eastAsiaTheme="minorEastAsia"/>
          <w:color w:val="000000"/>
          <w:sz w:val="24"/>
          <w:szCs w:val="24"/>
          <w:highlight w:val="none"/>
        </w:rPr>
      </w:pPr>
      <w:r>
        <w:rPr>
          <w:rFonts w:eastAsiaTheme="minorEastAsia"/>
          <w:color w:val="000000"/>
          <w:sz w:val="24"/>
          <w:szCs w:val="24"/>
          <w:highlight w:val="none"/>
        </w:rPr>
        <w:t>公司使用部分闲置自有资金进行现金管理，</w:t>
      </w:r>
      <w:r>
        <w:rPr>
          <w:rFonts w:hint="eastAsia" w:eastAsiaTheme="minorEastAsia"/>
          <w:color w:val="000000"/>
          <w:sz w:val="24"/>
          <w:szCs w:val="24"/>
          <w:highlight w:val="none"/>
          <w:lang w:eastAsia="zh-CN"/>
        </w:rPr>
        <w:t>主要用于投资</w:t>
      </w:r>
      <w:r>
        <w:rPr>
          <w:rFonts w:ascii="宋体" w:hAnsi="宋体" w:eastAsia="宋体" w:cs="宋体"/>
          <w:sz w:val="24"/>
          <w:szCs w:val="24"/>
          <w:highlight w:val="none"/>
        </w:rPr>
        <w:t>合法金融机构发行的风险可控、流动性好的理财产品。不直接用于其他证券投资，不购买股票及其衍生品、无担保债券。</w:t>
      </w:r>
      <w:r>
        <w:rPr>
          <w:rFonts w:eastAsiaTheme="minorEastAsia"/>
          <w:color w:val="000000"/>
          <w:sz w:val="24"/>
          <w:szCs w:val="24"/>
          <w:highlight w:val="none"/>
        </w:rPr>
        <w:t>同时，公司严格遵守审慎投资原则，筛选投资对象，选择信誉好、规模大、有能力保障资金安全、经营效益好、资金运作能力强的单位所发行的产品。</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both"/>
        <w:textAlignment w:val="auto"/>
        <w:rPr>
          <w:rFonts w:eastAsiaTheme="minorEastAsia"/>
          <w:color w:val="000000"/>
          <w:sz w:val="24"/>
          <w:szCs w:val="24"/>
          <w:highlight w:val="none"/>
        </w:rPr>
      </w:pPr>
      <w:r>
        <w:rPr>
          <w:rFonts w:eastAsiaTheme="minorEastAsia"/>
          <w:color w:val="000000"/>
          <w:sz w:val="24"/>
          <w:szCs w:val="24"/>
          <w:highlight w:val="none"/>
        </w:rPr>
        <w:t>公司根据内部控制制度，对投资理财产品行为进行规范和控制，严格审批投资产品准入范围，确保现金管理事宜的有效开展和规范运行。</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both"/>
        <w:textAlignment w:val="auto"/>
        <w:rPr>
          <w:rFonts w:eastAsiaTheme="minorEastAsia"/>
          <w:color w:val="000000"/>
          <w:sz w:val="24"/>
          <w:szCs w:val="24"/>
          <w:highlight w:val="none"/>
        </w:rPr>
      </w:pPr>
      <w:r>
        <w:rPr>
          <w:rFonts w:eastAsiaTheme="minorEastAsia"/>
          <w:color w:val="000000"/>
          <w:sz w:val="24"/>
          <w:szCs w:val="24"/>
          <w:highlight w:val="none"/>
        </w:rPr>
        <w:t>公司董事会审计委员会、独立董事、监事会有权对理财资金使用情况进行监督与检查。</w:t>
      </w:r>
    </w:p>
    <w:p>
      <w:pPr>
        <w:widowControl/>
        <w:spacing w:line="360" w:lineRule="auto"/>
        <w:jc w:val="left"/>
        <w:rPr>
          <w:rFonts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color w:val="000000"/>
          <w:sz w:val="24"/>
          <w:szCs w:val="24"/>
          <w:highlight w:val="none"/>
          <w:lang w:val="en-US" w:eastAsia="zh-CN"/>
        </w:rPr>
        <w:t>三</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b/>
          <w:bCs/>
          <w:color w:val="000000"/>
          <w:sz w:val="24"/>
          <w:szCs w:val="24"/>
          <w:highlight w:val="none"/>
        </w:rPr>
        <w:t>本次委托理财的具体情况</w:t>
      </w:r>
    </w:p>
    <w:p>
      <w:pPr>
        <w:widowControl/>
        <w:spacing w:before="156" w:beforeLines="50" w:after="156" w:afterLines="50" w:line="360" w:lineRule="auto"/>
        <w:ind w:firstLine="422" w:firstLineChars="175"/>
        <w:jc w:val="left"/>
        <w:rPr>
          <w:rFonts w:hint="eastAsia" w:cs="Times New Roman" w:eastAsiaTheme="minorEastAsia"/>
          <w:color w:val="000000"/>
          <w:sz w:val="24"/>
          <w:szCs w:val="24"/>
          <w:highlight w:val="none"/>
          <w:lang w:val="en-US" w:eastAsia="zh-CN"/>
        </w:rPr>
      </w:pPr>
      <w:r>
        <w:rPr>
          <w:rFonts w:hint="eastAsia" w:eastAsiaTheme="minorEastAsia"/>
          <w:b/>
          <w:color w:val="000000"/>
          <w:sz w:val="24"/>
          <w:szCs w:val="24"/>
        </w:rPr>
        <w:t>（一）委托理财合同主要条款</w:t>
      </w:r>
    </w:p>
    <w:p>
      <w:pPr>
        <w:widowControl/>
        <w:spacing w:before="156" w:beforeLines="50" w:after="156" w:afterLines="50" w:line="360" w:lineRule="auto"/>
        <w:ind w:left="0" w:leftChars="0" w:firstLine="0" w:firstLineChars="0"/>
        <w:jc w:val="left"/>
        <w:rPr>
          <w:rFonts w:hint="default" w:ascii="Times New Roman" w:hAnsi="Times New Roman" w:cs="Times New Roman" w:eastAsiaTheme="minorEastAsia"/>
          <w:color w:val="000000"/>
          <w:sz w:val="24"/>
          <w:szCs w:val="24"/>
          <w:highlight w:val="none"/>
          <w:lang w:val="en-US" w:eastAsia="zh-CN"/>
        </w:rPr>
      </w:pPr>
      <w:r>
        <w:rPr>
          <w:rFonts w:hint="eastAsia" w:cs="Times New Roman" w:eastAsiaTheme="minorEastAsia"/>
          <w:color w:val="000000"/>
          <w:sz w:val="24"/>
          <w:szCs w:val="24"/>
          <w:highlight w:val="none"/>
          <w:lang w:val="en-US" w:eastAsia="zh-CN"/>
        </w:rPr>
        <w:t>1</w:t>
      </w:r>
      <w:r>
        <w:rPr>
          <w:rFonts w:hint="default" w:ascii="Times New Roman" w:hAnsi="Times New Roman" w:cs="Times New Roman" w:eastAsiaTheme="minorEastAsia"/>
          <w:color w:val="000000"/>
          <w:sz w:val="24"/>
          <w:szCs w:val="24"/>
          <w:highlight w:val="none"/>
          <w:lang w:val="en-US" w:eastAsia="zh-CN"/>
        </w:rPr>
        <w:t>、</w:t>
      </w:r>
      <w:r>
        <w:rPr>
          <w:rFonts w:hint="default" w:ascii="Times New Roman" w:hAnsi="Times New Roman" w:cs="Times New Roman"/>
          <w:sz w:val="24"/>
          <w:szCs w:val="24"/>
          <w:lang w:val="en-US" w:eastAsia="zh-CN"/>
        </w:rPr>
        <w:t>安顺1号</w:t>
      </w:r>
    </w:p>
    <w:tbl>
      <w:tblPr>
        <w:tblStyle w:val="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3"/>
        <w:gridCol w:w="61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产品名称</w:t>
            </w:r>
          </w:p>
        </w:tc>
        <w:tc>
          <w:tcPr>
            <w:tcW w:w="3636" w:type="pct"/>
            <w:vAlign w:val="center"/>
          </w:tcPr>
          <w:p>
            <w:pPr>
              <w:autoSpaceDE w:val="0"/>
              <w:autoSpaceDN w:val="0"/>
              <w:adjustRightInd w:val="0"/>
              <w:spacing w:line="276" w:lineRule="auto"/>
              <w:ind w:left="0" w:leftChars="0" w:firstLine="0" w:firstLineChars="0"/>
              <w:jc w:val="center"/>
              <w:rPr>
                <w:rFonts w:hint="eastAsia" w:eastAsiaTheme="minorEastAsia"/>
                <w:bCs/>
                <w:color w:val="000000"/>
                <w:kern w:val="0"/>
                <w:szCs w:val="21"/>
              </w:rPr>
            </w:pPr>
            <w:r>
              <w:rPr>
                <w:rFonts w:hint="eastAsia" w:eastAsiaTheme="minorEastAsia"/>
                <w:bCs/>
                <w:color w:val="000000"/>
                <w:kern w:val="0"/>
                <w:szCs w:val="21"/>
                <w:lang w:eastAsia="zh-CN"/>
              </w:rPr>
              <w:t>国融证券国融安顺</w:t>
            </w:r>
            <w:r>
              <w:rPr>
                <w:rFonts w:hint="eastAsia" w:eastAsiaTheme="minorEastAsia"/>
                <w:bCs/>
                <w:color w:val="000000"/>
                <w:kern w:val="0"/>
                <w:szCs w:val="21"/>
                <w:lang w:val="en-US" w:eastAsia="zh-CN"/>
              </w:rPr>
              <w:t>1号集合资产管理计划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bidi="ar"/>
              </w:rPr>
            </w:pPr>
            <w:r>
              <w:rPr>
                <w:rFonts w:hint="eastAsia" w:eastAsiaTheme="minorEastAsia"/>
                <w:b/>
                <w:color w:val="000000"/>
                <w:kern w:val="0"/>
                <w:szCs w:val="21"/>
                <w:lang w:eastAsia="zh-CN" w:bidi="ar"/>
              </w:rPr>
              <w:t>产品代码</w:t>
            </w:r>
          </w:p>
        </w:tc>
        <w:tc>
          <w:tcPr>
            <w:tcW w:w="3636" w:type="pct"/>
            <w:vAlign w:val="center"/>
          </w:tcPr>
          <w:p>
            <w:pPr>
              <w:autoSpaceDE w:val="0"/>
              <w:autoSpaceDN w:val="0"/>
              <w:adjustRightInd w:val="0"/>
              <w:spacing w:line="276" w:lineRule="auto"/>
              <w:ind w:left="0" w:leftChars="0" w:firstLine="0" w:firstLineChars="0"/>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SAT582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产品类型</w:t>
            </w:r>
          </w:p>
        </w:tc>
        <w:tc>
          <w:tcPr>
            <w:tcW w:w="3636" w:type="pct"/>
            <w:vAlign w:val="center"/>
          </w:tcPr>
          <w:p>
            <w:pPr>
              <w:autoSpaceDE w:val="0"/>
              <w:autoSpaceDN w:val="0"/>
              <w:adjustRightInd w:val="0"/>
              <w:spacing w:line="276" w:lineRule="auto"/>
              <w:ind w:left="0" w:leftChars="0" w:firstLine="0" w:firstLineChars="0"/>
              <w:jc w:val="center"/>
              <w:rPr>
                <w:rFonts w:hint="eastAsia" w:eastAsiaTheme="minorEastAsia"/>
                <w:bCs/>
                <w:color w:val="000000"/>
                <w:kern w:val="0"/>
                <w:szCs w:val="21"/>
                <w:lang w:eastAsia="zh-CN"/>
              </w:rPr>
            </w:pPr>
            <w:r>
              <w:rPr>
                <w:rFonts w:hint="eastAsia" w:eastAsiaTheme="minorEastAsia"/>
                <w:bCs/>
                <w:color w:val="000000"/>
                <w:kern w:val="0"/>
                <w:szCs w:val="21"/>
                <w:lang w:eastAsia="zh-CN"/>
              </w:rPr>
              <w:t>券商理财产品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rPr>
            </w:pPr>
            <w:r>
              <w:rPr>
                <w:rFonts w:hint="eastAsia" w:eastAsiaTheme="minorEastAsia"/>
                <w:b/>
                <w:color w:val="000000"/>
                <w:kern w:val="0"/>
                <w:szCs w:val="21"/>
                <w:lang w:eastAsia="zh-CN" w:bidi="ar"/>
              </w:rPr>
              <w:t>产品期限</w:t>
            </w:r>
          </w:p>
        </w:tc>
        <w:tc>
          <w:tcPr>
            <w:tcW w:w="3636" w:type="pct"/>
            <w:vAlign w:val="center"/>
          </w:tcPr>
          <w:p>
            <w:pPr>
              <w:widowControl/>
              <w:spacing w:line="276" w:lineRule="auto"/>
              <w:ind w:left="0" w:leftChars="0" w:firstLine="0" w:firstLineChars="0"/>
              <w:jc w:val="center"/>
              <w:textAlignment w:val="center"/>
              <w:rPr>
                <w:rFonts w:eastAsiaTheme="minorEastAsia"/>
                <w:bCs/>
                <w:color w:val="000000"/>
                <w:kern w:val="0"/>
                <w:szCs w:val="21"/>
                <w:highlight w:val="none"/>
              </w:rPr>
            </w:pPr>
            <w:r>
              <w:rPr>
                <w:rFonts w:hint="eastAsia" w:eastAsiaTheme="minorEastAsia"/>
                <w:color w:val="000000"/>
                <w:kern w:val="0"/>
                <w:szCs w:val="21"/>
                <w:highlight w:val="none"/>
                <w:lang w:val="en-US" w:eastAsia="zh-CN" w:bidi="ar"/>
              </w:rPr>
              <w:t>7</w:t>
            </w:r>
            <w:r>
              <w:rPr>
                <w:rFonts w:eastAsiaTheme="minorEastAsia"/>
                <w:color w:val="000000"/>
                <w:kern w:val="0"/>
                <w:szCs w:val="21"/>
                <w:highlight w:val="none"/>
                <w:lang w:bidi="ar"/>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本金（万元）</w:t>
            </w:r>
          </w:p>
        </w:tc>
        <w:tc>
          <w:tcPr>
            <w:tcW w:w="3636" w:type="pct"/>
            <w:vAlign w:val="center"/>
          </w:tcPr>
          <w:p>
            <w:pPr>
              <w:widowControl/>
              <w:spacing w:line="276" w:lineRule="auto"/>
              <w:ind w:left="0" w:leftChars="0" w:firstLine="0" w:firstLineChars="0"/>
              <w:jc w:val="center"/>
              <w:textAlignment w:val="center"/>
              <w:rPr>
                <w:rFonts w:hint="default" w:eastAsiaTheme="minorEastAsia"/>
                <w:bCs/>
                <w:color w:val="000000"/>
                <w:kern w:val="0"/>
                <w:szCs w:val="21"/>
                <w:highlight w:val="none"/>
                <w:lang w:val="en-US" w:eastAsia="zh-CN"/>
              </w:rPr>
            </w:pPr>
            <w:r>
              <w:rPr>
                <w:rFonts w:hint="eastAsia" w:eastAsiaTheme="minorEastAsia"/>
                <w:color w:val="000000"/>
                <w:kern w:val="0"/>
                <w:szCs w:val="21"/>
                <w:highlight w:val="none"/>
                <w:lang w:val="en-US" w:eastAsia="zh-CN" w:bidi="ar"/>
              </w:rPr>
              <w:t>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收益类型</w:t>
            </w:r>
          </w:p>
        </w:tc>
        <w:tc>
          <w:tcPr>
            <w:tcW w:w="3636" w:type="pct"/>
            <w:vAlign w:val="center"/>
          </w:tcPr>
          <w:p>
            <w:pPr>
              <w:widowControl/>
              <w:spacing w:line="276" w:lineRule="auto"/>
              <w:jc w:val="center"/>
              <w:textAlignment w:val="center"/>
              <w:rPr>
                <w:rFonts w:eastAsiaTheme="minorEastAsia"/>
                <w:bCs/>
                <w:color w:val="000000"/>
                <w:kern w:val="0"/>
                <w:szCs w:val="21"/>
                <w:highlight w:val="none"/>
              </w:rPr>
            </w:pPr>
            <w:r>
              <w:rPr>
                <w:rFonts w:hint="eastAsia" w:eastAsiaTheme="minorEastAsia"/>
                <w:color w:val="000000"/>
                <w:kern w:val="0"/>
                <w:szCs w:val="21"/>
                <w:highlight w:val="none"/>
                <w:lang w:eastAsia="zh-CN" w:bidi="ar"/>
              </w:rPr>
              <w:t>非</w:t>
            </w:r>
            <w:r>
              <w:rPr>
                <w:rFonts w:eastAsiaTheme="minorEastAsia"/>
                <w:color w:val="000000"/>
                <w:kern w:val="0"/>
                <w:szCs w:val="21"/>
                <w:highlight w:val="none"/>
                <w:lang w:bidi="ar"/>
              </w:rPr>
              <w:t>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产品起息日期</w:t>
            </w:r>
          </w:p>
        </w:tc>
        <w:tc>
          <w:tcPr>
            <w:tcW w:w="3636" w:type="pct"/>
            <w:vAlign w:val="center"/>
          </w:tcPr>
          <w:p>
            <w:pPr>
              <w:widowControl/>
              <w:spacing w:line="276" w:lineRule="auto"/>
              <w:jc w:val="center"/>
              <w:textAlignment w:val="center"/>
              <w:rPr>
                <w:rFonts w:eastAsiaTheme="minorEastAsia"/>
                <w:bCs/>
                <w:color w:val="000000"/>
                <w:kern w:val="0"/>
                <w:szCs w:val="21"/>
                <w:highlight w:val="none"/>
              </w:rPr>
            </w:pPr>
            <w:r>
              <w:rPr>
                <w:rFonts w:eastAsiaTheme="minorEastAsia"/>
                <w:color w:val="000000"/>
                <w:kern w:val="0"/>
                <w:szCs w:val="21"/>
                <w:highlight w:val="none"/>
                <w:lang w:bidi="ar"/>
              </w:rPr>
              <w:t>202</w:t>
            </w:r>
            <w:r>
              <w:rPr>
                <w:rFonts w:hint="eastAsia" w:eastAsiaTheme="minorEastAsia"/>
                <w:color w:val="000000"/>
                <w:kern w:val="0"/>
                <w:szCs w:val="21"/>
                <w:highlight w:val="none"/>
                <w:lang w:val="en-US" w:eastAsia="zh-CN" w:bidi="ar"/>
              </w:rPr>
              <w:t>1</w:t>
            </w:r>
            <w:r>
              <w:rPr>
                <w:rFonts w:eastAsiaTheme="minorEastAsia"/>
                <w:color w:val="000000"/>
                <w:kern w:val="0"/>
                <w:szCs w:val="21"/>
                <w:highlight w:val="none"/>
                <w:lang w:bidi="ar"/>
              </w:rPr>
              <w:t>年</w:t>
            </w:r>
            <w:r>
              <w:rPr>
                <w:rFonts w:hint="eastAsia" w:eastAsiaTheme="minorEastAsia"/>
                <w:color w:val="000000"/>
                <w:kern w:val="0"/>
                <w:szCs w:val="21"/>
                <w:highlight w:val="none"/>
                <w:lang w:val="en-US" w:eastAsia="zh-CN" w:bidi="ar"/>
              </w:rPr>
              <w:t>12</w:t>
            </w:r>
            <w:r>
              <w:rPr>
                <w:rFonts w:eastAsiaTheme="minorEastAsia"/>
                <w:color w:val="000000"/>
                <w:kern w:val="0"/>
                <w:szCs w:val="21"/>
                <w:highlight w:val="none"/>
                <w:lang w:bidi="ar"/>
              </w:rPr>
              <w:t>月</w:t>
            </w:r>
            <w:r>
              <w:rPr>
                <w:rFonts w:hint="eastAsia" w:eastAsiaTheme="minorEastAsia"/>
                <w:color w:val="000000"/>
                <w:kern w:val="0"/>
                <w:szCs w:val="21"/>
                <w:highlight w:val="none"/>
                <w:lang w:val="en-US" w:eastAsia="zh-CN" w:bidi="ar"/>
              </w:rPr>
              <w:t>15</w:t>
            </w:r>
            <w:r>
              <w:rPr>
                <w:rFonts w:eastAsiaTheme="minorEastAsia"/>
                <w:color w:val="000000"/>
                <w:kern w:val="0"/>
                <w:szCs w:val="21"/>
                <w:highlight w:val="none"/>
                <w:lang w:bidi="ar"/>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rPr>
            </w:pPr>
            <w:r>
              <w:rPr>
                <w:rFonts w:hint="eastAsia" w:eastAsiaTheme="minorEastAsia"/>
                <w:b/>
                <w:color w:val="000000"/>
                <w:kern w:val="0"/>
                <w:szCs w:val="21"/>
                <w:lang w:val="en-US" w:eastAsia="zh-CN"/>
              </w:rPr>
              <w:t>首个滚存到期日</w:t>
            </w:r>
          </w:p>
        </w:tc>
        <w:tc>
          <w:tcPr>
            <w:tcW w:w="3636" w:type="pct"/>
            <w:vAlign w:val="center"/>
          </w:tcPr>
          <w:p>
            <w:pPr>
              <w:widowControl/>
              <w:spacing w:line="276" w:lineRule="auto"/>
              <w:jc w:val="center"/>
              <w:textAlignment w:val="center"/>
              <w:rPr>
                <w:rFonts w:eastAsiaTheme="minorEastAsia"/>
                <w:bCs/>
                <w:color w:val="000000"/>
                <w:kern w:val="0"/>
                <w:szCs w:val="21"/>
                <w:highlight w:val="none"/>
              </w:rPr>
            </w:pPr>
            <w:r>
              <w:rPr>
                <w:rFonts w:eastAsiaTheme="minorEastAsia"/>
                <w:color w:val="000000"/>
                <w:kern w:val="0"/>
                <w:szCs w:val="21"/>
                <w:highlight w:val="none"/>
                <w:lang w:bidi="ar"/>
              </w:rPr>
              <w:t>202</w:t>
            </w:r>
            <w:r>
              <w:rPr>
                <w:rFonts w:hint="eastAsia" w:eastAsiaTheme="minorEastAsia"/>
                <w:color w:val="000000"/>
                <w:kern w:val="0"/>
                <w:szCs w:val="21"/>
                <w:highlight w:val="none"/>
                <w:lang w:val="en-US" w:eastAsia="zh-CN" w:bidi="ar"/>
              </w:rPr>
              <w:t>1</w:t>
            </w:r>
            <w:r>
              <w:rPr>
                <w:rFonts w:eastAsiaTheme="minorEastAsia"/>
                <w:color w:val="000000"/>
                <w:kern w:val="0"/>
                <w:szCs w:val="21"/>
                <w:highlight w:val="none"/>
                <w:lang w:bidi="ar"/>
              </w:rPr>
              <w:t>年</w:t>
            </w:r>
            <w:r>
              <w:rPr>
                <w:rFonts w:hint="eastAsia" w:eastAsiaTheme="minorEastAsia"/>
                <w:color w:val="000000"/>
                <w:kern w:val="0"/>
                <w:szCs w:val="21"/>
                <w:highlight w:val="none"/>
                <w:lang w:val="en-US" w:eastAsia="zh-CN" w:bidi="ar"/>
              </w:rPr>
              <w:t>12</w:t>
            </w:r>
            <w:r>
              <w:rPr>
                <w:rFonts w:eastAsiaTheme="minorEastAsia"/>
                <w:color w:val="000000"/>
                <w:kern w:val="0"/>
                <w:szCs w:val="21"/>
                <w:highlight w:val="none"/>
                <w:lang w:bidi="ar"/>
              </w:rPr>
              <w:t>月</w:t>
            </w:r>
            <w:r>
              <w:rPr>
                <w:rFonts w:hint="eastAsia" w:eastAsiaTheme="minorEastAsia"/>
                <w:color w:val="000000"/>
                <w:kern w:val="0"/>
                <w:szCs w:val="21"/>
                <w:highlight w:val="none"/>
                <w:lang w:val="en-US" w:eastAsia="zh-CN" w:bidi="ar"/>
              </w:rPr>
              <w:t>22</w:t>
            </w:r>
            <w:r>
              <w:rPr>
                <w:rFonts w:eastAsiaTheme="minorEastAsia"/>
                <w:color w:val="000000"/>
                <w:kern w:val="0"/>
                <w:szCs w:val="21"/>
                <w:highlight w:val="none"/>
                <w:lang w:bidi="ar"/>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highlight w:val="none"/>
              </w:rPr>
            </w:pPr>
            <w:r>
              <w:rPr>
                <w:rFonts w:hint="eastAsia" w:eastAsiaTheme="minorEastAsia"/>
                <w:b/>
                <w:color w:val="000000"/>
                <w:kern w:val="0"/>
                <w:szCs w:val="21"/>
                <w:lang w:eastAsia="zh-CN"/>
              </w:rPr>
              <w:t>产品预期年化收益率</w:t>
            </w:r>
          </w:p>
        </w:tc>
        <w:tc>
          <w:tcPr>
            <w:tcW w:w="3636" w:type="pct"/>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cs="Times New Roman"/>
                <w:color w:val="000000"/>
                <w:sz w:val="21"/>
                <w:szCs w:val="21"/>
                <w:highlight w:val="none"/>
                <w:vertAlign w:val="baseline"/>
                <w:lang w:val="en-US" w:eastAsia="zh-CN"/>
              </w:rPr>
              <w:t>净值型（</w:t>
            </w:r>
            <w:r>
              <w:rPr>
                <w:rFonts w:hint="eastAsia" w:eastAsiaTheme="minorEastAsia"/>
                <w:bCs/>
                <w:color w:val="000000"/>
                <w:kern w:val="0"/>
                <w:szCs w:val="21"/>
                <w:highlight w:val="none"/>
                <w:lang w:val="en-US" w:eastAsia="zh-CN"/>
              </w:rPr>
              <w:t>本集合资产管理计划为净值型产品，其业绩表现将随市场波动。本资产管理计划业绩计提标准为4.5%/年）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bidi="ar"/>
              </w:rPr>
            </w:pPr>
            <w:r>
              <w:rPr>
                <w:rFonts w:hint="eastAsia" w:eastAsiaTheme="minorEastAsia"/>
                <w:b/>
                <w:color w:val="000000"/>
                <w:kern w:val="0"/>
                <w:szCs w:val="21"/>
                <w:lang w:eastAsia="zh-CN"/>
              </w:rPr>
              <w:t>开放期</w:t>
            </w:r>
          </w:p>
        </w:tc>
        <w:tc>
          <w:tcPr>
            <w:tcW w:w="3636" w:type="pct"/>
            <w:vAlign w:val="center"/>
          </w:tcPr>
          <w:p>
            <w:pPr>
              <w:widowControl/>
              <w:spacing w:line="276" w:lineRule="auto"/>
              <w:ind w:firstLine="420" w:firstLineChars="200"/>
              <w:jc w:val="left"/>
              <w:textAlignment w:val="center"/>
              <w:rPr>
                <w:rFonts w:hint="default" w:ascii="Times New Roman" w:hAnsi="Times New Roman" w:cs="Times New Roman"/>
                <w:sz w:val="21"/>
                <w:szCs w:val="21"/>
                <w:highlight w:val="yellow"/>
                <w:lang w:eastAsia="zh-CN"/>
              </w:rPr>
            </w:pPr>
            <w:r>
              <w:rPr>
                <w:color w:val="000000"/>
                <w:spacing w:val="0"/>
                <w:w w:val="100"/>
                <w:position w:val="0"/>
              </w:rPr>
              <w:t>本集合计划采用定期开放，每周三开放一次，如果周三为节假日，则顺延至下一周周三。因展期、合同的补充、修改或者变更需要，管理人</w:t>
            </w:r>
            <w:r>
              <w:rPr>
                <w:color w:val="000000"/>
                <w:spacing w:val="0"/>
                <w:w w:val="100"/>
                <w:position w:val="0"/>
                <w:highlight w:val="none"/>
              </w:rPr>
              <w:t>有权设置临时开放期并予以公告</w:t>
            </w:r>
            <w:r>
              <w:rPr>
                <w:color w:val="000000"/>
                <w:spacing w:val="0"/>
                <w:w w:val="100"/>
                <w:position w:val="0"/>
              </w:rPr>
              <w:t>生效。临时开放期只接受投资者的退出申请。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bidi="ar"/>
              </w:rPr>
            </w:pPr>
            <w:r>
              <w:rPr>
                <w:rFonts w:hint="eastAsia" w:eastAsiaTheme="minorEastAsia"/>
                <w:b/>
                <w:color w:val="000000"/>
                <w:kern w:val="0"/>
                <w:szCs w:val="21"/>
                <w:lang w:eastAsia="zh-CN" w:bidi="ar"/>
              </w:rPr>
              <w:t>资金投向</w:t>
            </w:r>
          </w:p>
        </w:tc>
        <w:tc>
          <w:tcPr>
            <w:tcW w:w="3636" w:type="pct"/>
            <w:vAlign w:val="center"/>
          </w:tcPr>
          <w:p>
            <w:pPr>
              <w:widowControl/>
              <w:spacing w:line="276" w:lineRule="auto"/>
              <w:ind w:firstLine="420" w:firstLineChars="200"/>
              <w:jc w:val="left"/>
              <w:textAlignment w:val="center"/>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eastAsia="zh-CN"/>
              </w:rPr>
              <w:t>本集合计划将主要投资于债券、公开募集的基金及现金类资产等以及法律法规或中国证监会认可的其他投资品种。其中投资于存款、债券等债权类资产的比例不低于80%</w:t>
            </w:r>
            <w:r>
              <w:rPr>
                <w:rFonts w:hint="eastAsia" w:cs="Times New Roman"/>
                <w:sz w:val="21"/>
                <w:szCs w:val="21"/>
                <w:highlight w:val="none"/>
                <w:lang w:eastAsia="zh-CN"/>
              </w:rPr>
              <w:t>，</w:t>
            </w:r>
            <w:r>
              <w:rPr>
                <w:rFonts w:hint="default" w:ascii="Times New Roman" w:hAnsi="Times New Roman" w:cs="Times New Roman"/>
                <w:sz w:val="21"/>
                <w:szCs w:val="21"/>
                <w:highlight w:val="none"/>
                <w:lang w:eastAsia="zh-CN"/>
              </w:rPr>
              <w:t>具体为：</w:t>
            </w:r>
          </w:p>
          <w:p>
            <w:pPr>
              <w:widowControl/>
              <w:spacing w:line="276" w:lineRule="auto"/>
              <w:ind w:firstLine="420" w:firstLineChars="200"/>
              <w:jc w:val="left"/>
              <w:textAlignment w:val="center"/>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eastAsia="zh-CN"/>
              </w:rPr>
              <w:t>固定收益类：现金、货币市场基金、银行存款、债券回购、在银行间市场和交易所市场交易的国债、央行票据、各类金融债（含政策性金融债、次级债、混合资本债、二级资本债、证券公司债、证券公司次级债券、非银行金融机构债等）、方政府债、企业债、公司债（包括在证券交易所及机构间私募产品报价与服务系统发行的非公开发行公司债等）、项目收益债、可转换债券、可交换债券、可分离交易债券、短期融资券、超短期融资券、中期票据、资产支持证券优先级（底层资产非产品）、永续债、同业存单以及非公开定向债务融资工具（PPN）等，该类资产的投资比例为集合计划总资产的80-100%；</w:t>
            </w:r>
          </w:p>
          <w:p>
            <w:pPr>
              <w:widowControl/>
              <w:spacing w:line="276" w:lineRule="auto"/>
              <w:ind w:firstLine="420" w:firstLineChars="200"/>
              <w:jc w:val="left"/>
              <w:textAlignment w:val="center"/>
              <w:rPr>
                <w:rFonts w:hint="default" w:ascii="Times New Roman" w:hAnsi="Times New Roman" w:cs="Times New Roman"/>
                <w:sz w:val="21"/>
                <w:szCs w:val="21"/>
                <w:highlight w:val="yellow"/>
                <w:lang w:eastAsia="zh-CN"/>
              </w:rPr>
            </w:pPr>
            <w:r>
              <w:rPr>
                <w:rFonts w:hint="default" w:ascii="Times New Roman" w:hAnsi="Times New Roman" w:cs="Times New Roman"/>
                <w:sz w:val="21"/>
                <w:szCs w:val="21"/>
                <w:highlight w:val="none"/>
                <w:lang w:eastAsia="zh-CN"/>
              </w:rPr>
              <w:t>其他类产品：公募基金等，该类资产的投资比例为集合计划总资产的0-20%（不含）固定收益类按照该资产的市值占整个资产管理计划总值的比例来计算。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bidi="ar"/>
              </w:rPr>
            </w:pPr>
            <w:r>
              <w:rPr>
                <w:rFonts w:hint="eastAsia" w:eastAsiaTheme="minorEastAsia"/>
                <w:b/>
                <w:color w:val="000000"/>
                <w:kern w:val="0"/>
                <w:szCs w:val="21"/>
                <w:lang w:eastAsia="zh-CN" w:bidi="ar"/>
              </w:rPr>
              <w:t>产品费用</w:t>
            </w:r>
          </w:p>
        </w:tc>
        <w:tc>
          <w:tcPr>
            <w:tcW w:w="3636" w:type="pct"/>
            <w:vAlign w:val="center"/>
          </w:tcPr>
          <w:p>
            <w:pPr>
              <w:widowControl/>
              <w:spacing w:line="276" w:lineRule="auto"/>
              <w:jc w:val="both"/>
              <w:textAlignment w:val="center"/>
              <w:rPr>
                <w:rFonts w:hint="default" w:ascii="Times New Roman" w:hAnsi="Times New Roman" w:cs="Times New Roman"/>
                <w:sz w:val="21"/>
                <w:szCs w:val="21"/>
                <w:highlight w:val="none"/>
                <w:lang w:eastAsia="zh-CN"/>
              </w:rPr>
            </w:pPr>
            <w:r>
              <w:rPr>
                <w:rFonts w:hint="eastAsia" w:ascii="Times New Roman" w:hAnsi="Times New Roman" w:cs="Times New Roman"/>
                <w:sz w:val="21"/>
                <w:szCs w:val="21"/>
                <w:highlight w:val="none"/>
                <w:lang w:eastAsia="zh-CN"/>
              </w:rPr>
              <w:t>（</w:t>
            </w:r>
            <w:r>
              <w:rPr>
                <w:rFonts w:hint="eastAsia" w:ascii="Times New Roman" w:hAnsi="Times New Roman" w:cs="Times New Roman"/>
                <w:sz w:val="21"/>
                <w:szCs w:val="21"/>
                <w:highlight w:val="none"/>
                <w:lang w:val="en-US" w:eastAsia="zh-CN"/>
              </w:rPr>
              <w:t>1</w:t>
            </w:r>
            <w:r>
              <w:rPr>
                <w:rFonts w:hint="eastAsia" w:ascii="Times New Roman" w:hAnsi="Times New Roman" w:cs="Times New Roman"/>
                <w:sz w:val="21"/>
                <w:szCs w:val="21"/>
                <w:highlight w:val="none"/>
                <w:lang w:eastAsia="zh-CN"/>
              </w:rPr>
              <w:t>）</w:t>
            </w:r>
            <w:r>
              <w:rPr>
                <w:rFonts w:hint="default" w:ascii="Times New Roman" w:hAnsi="Times New Roman" w:cs="Times New Roman"/>
                <w:sz w:val="21"/>
                <w:szCs w:val="21"/>
                <w:highlight w:val="none"/>
                <w:lang w:eastAsia="zh-CN"/>
              </w:rPr>
              <w:t>固定管理费率为0.80%/年</w:t>
            </w:r>
            <w:r>
              <w:rPr>
                <w:rFonts w:hint="eastAsia" w:cs="Times New Roman"/>
                <w:sz w:val="21"/>
                <w:szCs w:val="21"/>
                <w:highlight w:val="none"/>
                <w:lang w:eastAsia="zh-CN"/>
              </w:rPr>
              <w:t>；</w:t>
            </w:r>
          </w:p>
          <w:p>
            <w:pPr>
              <w:widowControl/>
              <w:spacing w:line="276" w:lineRule="auto"/>
              <w:jc w:val="both"/>
              <w:textAlignment w:val="center"/>
              <w:rPr>
                <w:rFonts w:hint="eastAsia" w:eastAsia="宋体"/>
                <w:b w:val="0"/>
                <w:bCs w:val="0"/>
                <w:color w:val="000000"/>
                <w:spacing w:val="0"/>
                <w:w w:val="100"/>
                <w:position w:val="0"/>
                <w:lang w:eastAsia="zh-CN"/>
              </w:rPr>
            </w:pPr>
            <w:r>
              <w:rPr>
                <w:rFonts w:hint="eastAsia" w:ascii="Times New Roman" w:hAnsi="Times New Roman" w:cs="Times New Roman"/>
                <w:sz w:val="21"/>
                <w:szCs w:val="21"/>
                <w:highlight w:val="none"/>
                <w:lang w:eastAsia="zh-CN"/>
              </w:rPr>
              <w:t>（</w:t>
            </w:r>
            <w:r>
              <w:rPr>
                <w:rFonts w:hint="eastAsia" w:ascii="Times New Roman" w:hAnsi="Times New Roman" w:cs="Times New Roman"/>
                <w:sz w:val="21"/>
                <w:szCs w:val="21"/>
                <w:highlight w:val="none"/>
                <w:lang w:val="en-US" w:eastAsia="zh-CN"/>
              </w:rPr>
              <w:t>2</w:t>
            </w:r>
            <w:r>
              <w:rPr>
                <w:rFonts w:hint="eastAsia" w:ascii="Times New Roman" w:hAnsi="Times New Roman" w:cs="Times New Roman"/>
                <w:sz w:val="21"/>
                <w:szCs w:val="21"/>
                <w:highlight w:val="none"/>
                <w:lang w:eastAsia="zh-CN"/>
              </w:rPr>
              <w:t>）</w:t>
            </w:r>
            <w:r>
              <w:rPr>
                <w:rFonts w:hint="default" w:ascii="Times New Roman" w:hAnsi="Times New Roman" w:cs="Times New Roman"/>
                <w:sz w:val="21"/>
                <w:szCs w:val="21"/>
                <w:highlight w:val="none"/>
                <w:lang w:eastAsia="zh-CN"/>
              </w:rPr>
              <w:t>托管费率：</w:t>
            </w:r>
            <w:r>
              <w:rPr>
                <w:rFonts w:hint="default" w:ascii="Times New Roman" w:hAnsi="Times New Roman" w:cs="Times New Roman"/>
                <w:sz w:val="21"/>
                <w:szCs w:val="21"/>
                <w:highlight w:val="none"/>
                <w:lang w:val="en-US" w:eastAsia="en-US"/>
              </w:rPr>
              <w:t>0.</w:t>
            </w:r>
            <w:r>
              <w:rPr>
                <w:rFonts w:hint="default" w:ascii="Times New Roman" w:hAnsi="Times New Roman" w:cs="Times New Roman"/>
                <w:sz w:val="21"/>
                <w:szCs w:val="21"/>
                <w:highlight w:val="none"/>
                <w:lang w:eastAsia="zh-CN"/>
              </w:rPr>
              <w:t>02%/年</w:t>
            </w:r>
            <w:r>
              <w:rPr>
                <w:rFonts w:hint="eastAsia" w:ascii="Times New Roman" w:hAnsi="Times New Roman" w:cs="Times New Roman"/>
                <w:sz w:val="21"/>
                <w:szCs w:val="21"/>
                <w:highlight w:val="none"/>
                <w:lang w:eastAsia="zh-CN"/>
              </w:rPr>
              <w:t>。</w:t>
            </w:r>
          </w:p>
        </w:tc>
      </w:tr>
    </w:tbl>
    <w:p>
      <w:pPr>
        <w:widowControl/>
        <w:numPr>
          <w:ilvl w:val="0"/>
          <w:numId w:val="0"/>
        </w:numPr>
        <w:spacing w:before="156" w:beforeLines="50" w:after="156" w:afterLines="50" w:line="360" w:lineRule="auto"/>
        <w:jc w:val="both"/>
        <w:rPr>
          <w:rFonts w:hint="default" w:ascii="Times New Roman" w:hAnsi="Times New Roman" w:cs="Times New Roman" w:eastAsiaTheme="minorEastAsia"/>
          <w:color w:val="000000"/>
          <w:sz w:val="24"/>
          <w:szCs w:val="24"/>
          <w:lang w:val="en-US" w:eastAsia="zh-CN"/>
        </w:rPr>
      </w:pPr>
      <w:r>
        <w:rPr>
          <w:rFonts w:hint="eastAsia" w:cs="Times New Roman" w:eastAsiaTheme="minorEastAsia"/>
          <w:color w:val="000000"/>
          <w:sz w:val="24"/>
          <w:szCs w:val="24"/>
          <w:highlight w:val="none"/>
          <w:lang w:val="en-US" w:eastAsia="zh-CN"/>
        </w:rPr>
        <w:t>2</w:t>
      </w:r>
      <w:r>
        <w:rPr>
          <w:rFonts w:hint="default" w:ascii="Times New Roman" w:hAnsi="Times New Roman" w:cs="Times New Roman" w:eastAsiaTheme="minorEastAsia"/>
          <w:color w:val="000000"/>
          <w:sz w:val="24"/>
          <w:szCs w:val="24"/>
          <w:highlight w:val="none"/>
          <w:lang w:val="en-US" w:eastAsia="zh-CN"/>
        </w:rPr>
        <w:t>、</w:t>
      </w:r>
      <w:r>
        <w:rPr>
          <w:rFonts w:hint="default" w:ascii="Times New Roman" w:hAnsi="Times New Roman" w:cs="Times New Roman"/>
          <w:sz w:val="24"/>
          <w:szCs w:val="24"/>
          <w:lang w:val="en-US" w:eastAsia="zh-CN"/>
        </w:rPr>
        <w:t>鑫增利19047期</w:t>
      </w:r>
    </w:p>
    <w:tbl>
      <w:tblPr>
        <w:tblStyle w:val="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4"/>
        <w:gridCol w:w="6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23"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产品名称</w:t>
            </w:r>
          </w:p>
        </w:tc>
        <w:tc>
          <w:tcPr>
            <w:tcW w:w="3676" w:type="pct"/>
            <w:vAlign w:val="center"/>
          </w:tcPr>
          <w:p>
            <w:pPr>
              <w:autoSpaceDE w:val="0"/>
              <w:autoSpaceDN w:val="0"/>
              <w:adjustRightInd w:val="0"/>
              <w:spacing w:line="276" w:lineRule="auto"/>
              <w:jc w:val="center"/>
              <w:rPr>
                <w:rFonts w:eastAsiaTheme="minorEastAsia"/>
                <w:bCs/>
                <w:color w:val="000000"/>
                <w:kern w:val="0"/>
                <w:szCs w:val="21"/>
              </w:rPr>
            </w:pPr>
            <w:r>
              <w:rPr>
                <w:rFonts w:hint="eastAsia" w:eastAsiaTheme="minorEastAsia"/>
                <w:bCs/>
                <w:color w:val="000000"/>
                <w:kern w:val="0"/>
                <w:szCs w:val="21"/>
                <w:lang w:eastAsia="zh-CN"/>
              </w:rPr>
              <w:t>“</w:t>
            </w:r>
            <w:r>
              <w:rPr>
                <w:rFonts w:hint="eastAsia" w:eastAsiaTheme="minorEastAsia"/>
                <w:bCs/>
                <w:color w:val="000000"/>
                <w:kern w:val="0"/>
                <w:szCs w:val="21"/>
              </w:rPr>
              <w:t>鑫利”系列鑫增利19047期（6个月）人民币理财产品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3" w:type="pct"/>
            <w:vAlign w:val="center"/>
          </w:tcPr>
          <w:p>
            <w:pPr>
              <w:autoSpaceDE w:val="0"/>
              <w:autoSpaceDN w:val="0"/>
              <w:adjustRightInd w:val="0"/>
              <w:spacing w:line="276" w:lineRule="auto"/>
              <w:jc w:val="center"/>
              <w:rPr>
                <w:rFonts w:hint="default" w:eastAsiaTheme="minorEastAsia"/>
                <w:b/>
                <w:color w:val="000000"/>
                <w:kern w:val="0"/>
                <w:szCs w:val="21"/>
                <w:lang w:val="en-US" w:eastAsia="zh-CN"/>
              </w:rPr>
            </w:pPr>
            <w:r>
              <w:rPr>
                <w:rFonts w:hint="eastAsia" w:eastAsiaTheme="minorEastAsia"/>
                <w:b/>
                <w:color w:val="000000"/>
                <w:kern w:val="0"/>
                <w:szCs w:val="21"/>
                <w:lang w:val="en-US" w:eastAsia="zh-CN"/>
              </w:rPr>
              <w:t>登记编码</w:t>
            </w:r>
          </w:p>
        </w:tc>
        <w:tc>
          <w:tcPr>
            <w:tcW w:w="3676"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C1122119000821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3"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产品代码</w:t>
            </w:r>
          </w:p>
        </w:tc>
        <w:tc>
          <w:tcPr>
            <w:tcW w:w="3676"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XZL19047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23"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产品类型</w:t>
            </w:r>
          </w:p>
        </w:tc>
        <w:tc>
          <w:tcPr>
            <w:tcW w:w="3676" w:type="pct"/>
            <w:vAlign w:val="center"/>
          </w:tcPr>
          <w:p>
            <w:pPr>
              <w:autoSpaceDE w:val="0"/>
              <w:autoSpaceDN w:val="0"/>
              <w:adjustRightInd w:val="0"/>
              <w:spacing w:line="276" w:lineRule="auto"/>
              <w:jc w:val="center"/>
              <w:rPr>
                <w:rFonts w:eastAsiaTheme="minorEastAsia"/>
                <w:bCs/>
                <w:color w:val="000000"/>
                <w:kern w:val="0"/>
                <w:szCs w:val="21"/>
              </w:rPr>
            </w:pPr>
            <w:r>
              <w:rPr>
                <w:rFonts w:eastAsiaTheme="minorEastAsia"/>
                <w:bCs/>
                <w:color w:val="000000"/>
                <w:kern w:val="0"/>
                <w:szCs w:val="21"/>
              </w:rPr>
              <w:t>银行理财产品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23"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产品期限</w:t>
            </w:r>
          </w:p>
        </w:tc>
        <w:tc>
          <w:tcPr>
            <w:tcW w:w="3676"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6个月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3"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本金（万元）</w:t>
            </w:r>
          </w:p>
        </w:tc>
        <w:tc>
          <w:tcPr>
            <w:tcW w:w="3676"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3"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收益类型</w:t>
            </w:r>
          </w:p>
        </w:tc>
        <w:tc>
          <w:tcPr>
            <w:tcW w:w="3676" w:type="pct"/>
            <w:vAlign w:val="center"/>
          </w:tcPr>
          <w:p>
            <w:pPr>
              <w:autoSpaceDE w:val="0"/>
              <w:autoSpaceDN w:val="0"/>
              <w:adjustRightInd w:val="0"/>
              <w:spacing w:line="276" w:lineRule="auto"/>
              <w:jc w:val="center"/>
              <w:rPr>
                <w:rFonts w:eastAsiaTheme="minorEastAsia"/>
                <w:bCs/>
                <w:color w:val="000000"/>
                <w:kern w:val="0"/>
                <w:szCs w:val="21"/>
              </w:rPr>
            </w:pPr>
            <w:r>
              <w:rPr>
                <w:rFonts w:eastAsiaTheme="minorEastAsia"/>
                <w:bCs/>
                <w:color w:val="000000"/>
                <w:kern w:val="0"/>
                <w:szCs w:val="21"/>
              </w:rPr>
              <w:t>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3"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产品起息日期</w:t>
            </w:r>
          </w:p>
        </w:tc>
        <w:tc>
          <w:tcPr>
            <w:tcW w:w="3676"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2021年12月27日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3" w:type="pct"/>
            <w:vAlign w:val="center"/>
          </w:tcPr>
          <w:p>
            <w:pPr>
              <w:autoSpaceDE w:val="0"/>
              <w:autoSpaceDN w:val="0"/>
              <w:adjustRightInd w:val="0"/>
              <w:spacing w:line="276" w:lineRule="auto"/>
              <w:jc w:val="center"/>
              <w:rPr>
                <w:rFonts w:hint="default" w:eastAsiaTheme="minorEastAsia"/>
                <w:b/>
                <w:color w:val="000000"/>
                <w:kern w:val="0"/>
                <w:szCs w:val="21"/>
                <w:highlight w:val="green"/>
                <w:lang w:val="en-US" w:eastAsia="zh-CN"/>
              </w:rPr>
            </w:pPr>
            <w:r>
              <w:rPr>
                <w:rFonts w:hint="eastAsia" w:eastAsiaTheme="minorEastAsia"/>
                <w:b/>
                <w:color w:val="000000"/>
                <w:kern w:val="0"/>
                <w:szCs w:val="21"/>
                <w:lang w:val="en-US" w:eastAsia="zh-CN"/>
              </w:rPr>
              <w:t>首个滚存到期日</w:t>
            </w:r>
          </w:p>
        </w:tc>
        <w:tc>
          <w:tcPr>
            <w:tcW w:w="3676" w:type="pct"/>
            <w:vAlign w:val="center"/>
          </w:tcPr>
          <w:p>
            <w:pPr>
              <w:autoSpaceDE w:val="0"/>
              <w:autoSpaceDN w:val="0"/>
              <w:adjustRightInd w:val="0"/>
              <w:spacing w:line="276" w:lineRule="auto"/>
              <w:jc w:val="center"/>
              <w:rPr>
                <w:rFonts w:hint="default" w:eastAsiaTheme="minorEastAsia"/>
                <w:bCs/>
                <w:color w:val="000000"/>
                <w:kern w:val="0"/>
                <w:szCs w:val="21"/>
                <w:highlight w:val="green"/>
                <w:lang w:val="en-US" w:eastAsia="zh-CN"/>
              </w:rPr>
            </w:pPr>
            <w:r>
              <w:rPr>
                <w:rFonts w:hint="eastAsia" w:eastAsiaTheme="minorEastAsia"/>
                <w:bCs/>
                <w:color w:val="000000"/>
                <w:kern w:val="0"/>
                <w:szCs w:val="21"/>
                <w:highlight w:val="none"/>
                <w:lang w:val="en-US" w:eastAsia="zh-CN"/>
              </w:rPr>
              <w:t>2022年6月26日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3"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产品预期年化收益率</w:t>
            </w:r>
          </w:p>
        </w:tc>
        <w:tc>
          <w:tcPr>
            <w:tcW w:w="3676" w:type="pct"/>
            <w:vAlign w:val="center"/>
          </w:tcPr>
          <w:p>
            <w:pPr>
              <w:keepNext w:val="0"/>
              <w:keepLines w:val="0"/>
              <w:widowControl/>
              <w:suppressLineNumbers w:val="0"/>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净值型（其业绩表现将随市场波动，具有不确定性。业绩比较基准3.5%~3.8%）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3"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资金投向</w:t>
            </w:r>
          </w:p>
        </w:tc>
        <w:tc>
          <w:tcPr>
            <w:tcW w:w="3676" w:type="pct"/>
            <w:vAlign w:val="center"/>
          </w:tcPr>
          <w:p>
            <w:pPr>
              <w:keepNext w:val="0"/>
              <w:keepLines w:val="0"/>
              <w:pageBreakBefore w:val="0"/>
              <w:widowControl w:val="0"/>
              <w:kinsoku/>
              <w:wordWrap/>
              <w:overflowPunct/>
              <w:topLinePunct w:val="0"/>
              <w:autoSpaceDE w:val="0"/>
              <w:autoSpaceDN w:val="0"/>
              <w:bidi w:val="0"/>
              <w:adjustRightInd w:val="0"/>
              <w:snapToGrid/>
              <w:spacing w:line="276" w:lineRule="auto"/>
              <w:ind w:firstLine="420" w:firstLineChars="200"/>
              <w:jc w:val="left"/>
              <w:textAlignment w:val="auto"/>
              <w:rPr>
                <w:rFonts w:eastAsiaTheme="minorEastAsia"/>
                <w:bCs/>
                <w:color w:val="000000"/>
                <w:kern w:val="0"/>
                <w:szCs w:val="21"/>
              </w:rPr>
            </w:pPr>
            <w:r>
              <w:rPr>
                <w:rFonts w:hint="eastAsia" w:eastAsiaTheme="minorEastAsia"/>
                <w:bCs/>
                <w:color w:val="000000"/>
                <w:kern w:val="0"/>
                <w:szCs w:val="21"/>
              </w:rPr>
              <w:t>主要投资于以下符合监管要求的各类资产：一是固定收益类资产，包括但不限于各类货币市场工具、银行间市场和交易所市场交易的国债、金融债、中央银行票据、公司债券、企业债券、短期/超短融、中期票据、可转换债券、可交换债券、非公开定向债务融资工具PPN、资产证券化产品（ABS、ABN、CLO、MBS等）、债券型基金、非标债权类资产（债权类信托/资管计划、股票收益权类信托/资管计划、带回购条款的股权类信托/资管计划、交易所委托债权/委托票据/融资租赁收益权投资、委托贷款等）及其他符合监管要求的固定收益类资产等；二是权益类资产，包括但不限于股票、股票型证券投资基金、混合型证券投资基金、QDII证券投资基金、结构化证券投资计划优先份额及其他符合监管要求的权益类资产等；三是商品及金融衍生品类资产，包括但不限于商品型证券投资基金、大宗商品、金融衍生工具及其他符合监管要求的商品及金融衍生品类资产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3" w:type="pct"/>
            <w:vAlign w:val="center"/>
          </w:tcPr>
          <w:p>
            <w:pPr>
              <w:autoSpaceDE w:val="0"/>
              <w:autoSpaceDN w:val="0"/>
              <w:adjustRightInd w:val="0"/>
              <w:spacing w:line="276" w:lineRule="auto"/>
              <w:jc w:val="center"/>
              <w:rPr>
                <w:rFonts w:hint="eastAsia" w:eastAsiaTheme="minorEastAsia"/>
                <w:b/>
                <w:color w:val="000000"/>
                <w:kern w:val="0"/>
                <w:szCs w:val="21"/>
                <w:lang w:eastAsia="zh-CN"/>
              </w:rPr>
            </w:pPr>
            <w:r>
              <w:rPr>
                <w:rFonts w:hint="eastAsia" w:eastAsiaTheme="minorEastAsia"/>
                <w:b/>
                <w:color w:val="000000"/>
                <w:kern w:val="0"/>
                <w:szCs w:val="21"/>
                <w:lang w:eastAsia="zh-CN"/>
              </w:rPr>
              <w:t>产品费用</w:t>
            </w:r>
          </w:p>
        </w:tc>
        <w:tc>
          <w:tcPr>
            <w:tcW w:w="3676" w:type="pct"/>
            <w:vAlign w:val="center"/>
          </w:tcPr>
          <w:p>
            <w:pPr>
              <w:autoSpaceDE w:val="0"/>
              <w:autoSpaceDN w:val="0"/>
              <w:adjustRightInd w:val="0"/>
              <w:spacing w:line="276" w:lineRule="auto"/>
              <w:jc w:val="left"/>
              <w:rPr>
                <w:rFonts w:hint="eastAsia" w:eastAsiaTheme="minorEastAsia"/>
                <w:bCs/>
                <w:color w:val="000000"/>
                <w:kern w:val="0"/>
                <w:szCs w:val="21"/>
                <w:lang w:val="en-US" w:eastAsia="zh-CN"/>
              </w:rPr>
            </w:pPr>
            <w:r>
              <w:rPr>
                <w:rFonts w:hint="eastAsia" w:eastAsiaTheme="minorEastAsia"/>
                <w:bCs/>
                <w:color w:val="000000"/>
                <w:kern w:val="0"/>
                <w:szCs w:val="21"/>
                <w:lang w:val="en-US" w:eastAsia="zh-CN"/>
              </w:rPr>
              <w:t>（1）固定销售管理费率（年）：0.25%，本产品的固定销售管理费按前一日产品资产净值的0.25%年费率计提。</w:t>
            </w:r>
          </w:p>
          <w:p>
            <w:pPr>
              <w:autoSpaceDE w:val="0"/>
              <w:autoSpaceDN w:val="0"/>
              <w:adjustRightInd w:val="0"/>
              <w:spacing w:line="276" w:lineRule="auto"/>
              <w:jc w:val="left"/>
              <w:rPr>
                <w:rFonts w:hint="eastAsia" w:eastAsiaTheme="minorEastAsia"/>
                <w:bCs/>
                <w:color w:val="000000"/>
                <w:kern w:val="0"/>
                <w:szCs w:val="21"/>
                <w:lang w:val="en-US" w:eastAsia="zh-CN"/>
              </w:rPr>
            </w:pPr>
            <w:r>
              <w:rPr>
                <w:rFonts w:hint="eastAsia" w:eastAsiaTheme="minorEastAsia"/>
                <w:bCs/>
                <w:color w:val="000000"/>
                <w:kern w:val="0"/>
                <w:szCs w:val="21"/>
                <w:lang w:val="en-US" w:eastAsia="zh-CN"/>
              </w:rPr>
              <w:t>（2）投资管理费率（年）：0.10%，本产品资管理费按前一日产品资产净值的0.10%年费率计提。</w:t>
            </w:r>
          </w:p>
          <w:p>
            <w:pPr>
              <w:autoSpaceDE w:val="0"/>
              <w:autoSpaceDN w:val="0"/>
              <w:adjustRightInd w:val="0"/>
              <w:spacing w:line="276" w:lineRule="auto"/>
              <w:jc w:val="left"/>
              <w:rPr>
                <w:rFonts w:hint="default" w:eastAsiaTheme="minorEastAsia"/>
                <w:bCs/>
                <w:color w:val="000000"/>
                <w:kern w:val="0"/>
                <w:sz w:val="21"/>
                <w:szCs w:val="21"/>
                <w:lang w:val="en-US" w:eastAsia="zh-CN"/>
              </w:rPr>
            </w:pPr>
            <w:r>
              <w:rPr>
                <w:rFonts w:hint="eastAsia" w:eastAsiaTheme="minorEastAsia"/>
                <w:bCs/>
                <w:color w:val="000000"/>
                <w:kern w:val="0"/>
                <w:szCs w:val="21"/>
                <w:lang w:val="en-US" w:eastAsia="zh-CN"/>
              </w:rPr>
              <w:t>（3）托管费率（年）：0.005%，本产品的托管费按前一日产品资产净值的0.005%年费率计提。</w:t>
            </w:r>
          </w:p>
        </w:tc>
      </w:tr>
    </w:tbl>
    <w:p>
      <w:pPr>
        <w:widowControl/>
        <w:spacing w:before="156" w:beforeLines="50" w:after="156" w:afterLines="50" w:line="360" w:lineRule="auto"/>
        <w:ind w:left="0" w:leftChars="0" w:firstLine="0" w:firstLineChars="0"/>
        <w:jc w:val="left"/>
        <w:rPr>
          <w:rFonts w:hint="default" w:ascii="Times New Roman" w:hAnsi="Times New Roman" w:cs="Times New Roman" w:eastAsiaTheme="minorEastAsia"/>
          <w:color w:val="000000"/>
          <w:sz w:val="24"/>
          <w:szCs w:val="24"/>
          <w:highlight w:val="none"/>
          <w:lang w:val="en-US" w:eastAsia="zh-CN"/>
        </w:rPr>
      </w:pPr>
      <w:r>
        <w:rPr>
          <w:rFonts w:hint="eastAsia" w:cs="Times New Roman"/>
          <w:sz w:val="24"/>
          <w:szCs w:val="24"/>
          <w:lang w:val="en-US" w:eastAsia="zh-CN"/>
        </w:rPr>
        <w:t>3、</w:t>
      </w:r>
      <w:r>
        <w:rPr>
          <w:rFonts w:hint="default" w:ascii="Times New Roman" w:hAnsi="Times New Roman" w:cs="Times New Roman"/>
          <w:sz w:val="24"/>
          <w:szCs w:val="24"/>
          <w:lang w:val="en-US" w:eastAsia="zh-CN"/>
        </w:rPr>
        <w:t>安顺1号</w:t>
      </w:r>
    </w:p>
    <w:tbl>
      <w:tblPr>
        <w:tblStyle w:val="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3"/>
        <w:gridCol w:w="61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产品名称</w:t>
            </w:r>
          </w:p>
        </w:tc>
        <w:tc>
          <w:tcPr>
            <w:tcW w:w="3636" w:type="pct"/>
            <w:vAlign w:val="center"/>
          </w:tcPr>
          <w:p>
            <w:pPr>
              <w:autoSpaceDE w:val="0"/>
              <w:autoSpaceDN w:val="0"/>
              <w:adjustRightInd w:val="0"/>
              <w:spacing w:line="276" w:lineRule="auto"/>
              <w:ind w:left="0" w:leftChars="0" w:firstLine="0" w:firstLineChars="0"/>
              <w:jc w:val="center"/>
              <w:rPr>
                <w:rFonts w:hint="eastAsia" w:eastAsiaTheme="minorEastAsia"/>
                <w:bCs/>
                <w:color w:val="000000"/>
                <w:kern w:val="0"/>
                <w:szCs w:val="21"/>
              </w:rPr>
            </w:pPr>
            <w:r>
              <w:rPr>
                <w:rFonts w:hint="eastAsia" w:eastAsiaTheme="minorEastAsia"/>
                <w:bCs/>
                <w:color w:val="000000"/>
                <w:kern w:val="0"/>
                <w:szCs w:val="21"/>
                <w:lang w:eastAsia="zh-CN"/>
              </w:rPr>
              <w:t>国融证券国融安顺</w:t>
            </w:r>
            <w:r>
              <w:rPr>
                <w:rFonts w:hint="eastAsia" w:eastAsiaTheme="minorEastAsia"/>
                <w:bCs/>
                <w:color w:val="000000"/>
                <w:kern w:val="0"/>
                <w:szCs w:val="21"/>
                <w:lang w:val="en-US" w:eastAsia="zh-CN"/>
              </w:rPr>
              <w:t>1号集合资产管理计划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bidi="ar"/>
              </w:rPr>
            </w:pPr>
            <w:r>
              <w:rPr>
                <w:rFonts w:hint="eastAsia" w:eastAsiaTheme="minorEastAsia"/>
                <w:b/>
                <w:color w:val="000000"/>
                <w:kern w:val="0"/>
                <w:szCs w:val="21"/>
                <w:lang w:eastAsia="zh-CN" w:bidi="ar"/>
              </w:rPr>
              <w:t>产品代码</w:t>
            </w:r>
          </w:p>
        </w:tc>
        <w:tc>
          <w:tcPr>
            <w:tcW w:w="3636" w:type="pct"/>
            <w:vAlign w:val="center"/>
          </w:tcPr>
          <w:p>
            <w:pPr>
              <w:autoSpaceDE w:val="0"/>
              <w:autoSpaceDN w:val="0"/>
              <w:adjustRightInd w:val="0"/>
              <w:spacing w:line="276" w:lineRule="auto"/>
              <w:ind w:left="0" w:leftChars="0" w:firstLine="0" w:firstLineChars="0"/>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SAT582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产品类型</w:t>
            </w:r>
          </w:p>
        </w:tc>
        <w:tc>
          <w:tcPr>
            <w:tcW w:w="3636" w:type="pct"/>
            <w:vAlign w:val="center"/>
          </w:tcPr>
          <w:p>
            <w:pPr>
              <w:autoSpaceDE w:val="0"/>
              <w:autoSpaceDN w:val="0"/>
              <w:adjustRightInd w:val="0"/>
              <w:spacing w:line="276" w:lineRule="auto"/>
              <w:ind w:left="0" w:leftChars="0" w:firstLine="0" w:firstLineChars="0"/>
              <w:jc w:val="center"/>
              <w:rPr>
                <w:rFonts w:hint="eastAsia" w:eastAsiaTheme="minorEastAsia"/>
                <w:bCs/>
                <w:color w:val="000000"/>
                <w:kern w:val="0"/>
                <w:szCs w:val="21"/>
                <w:lang w:eastAsia="zh-CN"/>
              </w:rPr>
            </w:pPr>
            <w:r>
              <w:rPr>
                <w:rFonts w:hint="eastAsia" w:eastAsiaTheme="minorEastAsia"/>
                <w:bCs/>
                <w:color w:val="000000"/>
                <w:kern w:val="0"/>
                <w:szCs w:val="21"/>
                <w:lang w:eastAsia="zh-CN"/>
              </w:rPr>
              <w:t>券商理财产品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rPr>
            </w:pPr>
            <w:r>
              <w:rPr>
                <w:rFonts w:hint="eastAsia" w:eastAsiaTheme="minorEastAsia"/>
                <w:b/>
                <w:color w:val="000000"/>
                <w:kern w:val="0"/>
                <w:szCs w:val="21"/>
                <w:lang w:eastAsia="zh-CN" w:bidi="ar"/>
              </w:rPr>
              <w:t>产品期限</w:t>
            </w:r>
          </w:p>
        </w:tc>
        <w:tc>
          <w:tcPr>
            <w:tcW w:w="3636" w:type="pct"/>
            <w:vAlign w:val="center"/>
          </w:tcPr>
          <w:p>
            <w:pPr>
              <w:widowControl/>
              <w:spacing w:line="276" w:lineRule="auto"/>
              <w:ind w:left="0" w:leftChars="0" w:firstLine="0" w:firstLineChars="0"/>
              <w:jc w:val="center"/>
              <w:textAlignment w:val="center"/>
              <w:rPr>
                <w:rFonts w:eastAsiaTheme="minorEastAsia"/>
                <w:bCs/>
                <w:color w:val="000000"/>
                <w:kern w:val="0"/>
                <w:szCs w:val="21"/>
                <w:highlight w:val="none"/>
              </w:rPr>
            </w:pPr>
            <w:r>
              <w:rPr>
                <w:rFonts w:hint="eastAsia" w:eastAsiaTheme="minorEastAsia"/>
                <w:color w:val="000000"/>
                <w:kern w:val="0"/>
                <w:szCs w:val="21"/>
                <w:highlight w:val="none"/>
                <w:lang w:val="en-US" w:eastAsia="zh-CN" w:bidi="ar"/>
              </w:rPr>
              <w:t>7</w:t>
            </w:r>
            <w:r>
              <w:rPr>
                <w:rFonts w:eastAsiaTheme="minorEastAsia"/>
                <w:color w:val="000000"/>
                <w:kern w:val="0"/>
                <w:szCs w:val="21"/>
                <w:highlight w:val="none"/>
                <w:lang w:bidi="ar"/>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本金（万元）</w:t>
            </w:r>
          </w:p>
        </w:tc>
        <w:tc>
          <w:tcPr>
            <w:tcW w:w="3636" w:type="pct"/>
            <w:vAlign w:val="center"/>
          </w:tcPr>
          <w:p>
            <w:pPr>
              <w:widowControl/>
              <w:spacing w:line="276" w:lineRule="auto"/>
              <w:ind w:left="0" w:leftChars="0" w:firstLine="0" w:firstLineChars="0"/>
              <w:jc w:val="center"/>
              <w:textAlignment w:val="center"/>
              <w:rPr>
                <w:rFonts w:hint="default" w:eastAsiaTheme="minorEastAsia"/>
                <w:bCs/>
                <w:color w:val="000000"/>
                <w:kern w:val="0"/>
                <w:szCs w:val="21"/>
                <w:highlight w:val="none"/>
                <w:lang w:val="en-US" w:eastAsia="zh-CN"/>
              </w:rPr>
            </w:pPr>
            <w:r>
              <w:rPr>
                <w:rFonts w:hint="eastAsia" w:eastAsiaTheme="minorEastAsia"/>
                <w:color w:val="000000"/>
                <w:kern w:val="0"/>
                <w:szCs w:val="21"/>
                <w:highlight w:val="none"/>
                <w:lang w:val="en-US" w:eastAsia="zh-CN" w:bidi="ar"/>
              </w:rPr>
              <w:t>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收益类型</w:t>
            </w:r>
          </w:p>
        </w:tc>
        <w:tc>
          <w:tcPr>
            <w:tcW w:w="3636" w:type="pct"/>
            <w:vAlign w:val="center"/>
          </w:tcPr>
          <w:p>
            <w:pPr>
              <w:widowControl/>
              <w:spacing w:line="276" w:lineRule="auto"/>
              <w:jc w:val="center"/>
              <w:textAlignment w:val="center"/>
              <w:rPr>
                <w:rFonts w:eastAsiaTheme="minorEastAsia"/>
                <w:bCs/>
                <w:color w:val="000000"/>
                <w:kern w:val="0"/>
                <w:szCs w:val="21"/>
                <w:highlight w:val="none"/>
              </w:rPr>
            </w:pPr>
            <w:r>
              <w:rPr>
                <w:rFonts w:hint="eastAsia" w:eastAsiaTheme="minorEastAsia"/>
                <w:color w:val="000000"/>
                <w:kern w:val="0"/>
                <w:szCs w:val="21"/>
                <w:highlight w:val="none"/>
                <w:lang w:eastAsia="zh-CN" w:bidi="ar"/>
              </w:rPr>
              <w:t>非</w:t>
            </w:r>
            <w:r>
              <w:rPr>
                <w:rFonts w:eastAsiaTheme="minorEastAsia"/>
                <w:color w:val="000000"/>
                <w:kern w:val="0"/>
                <w:szCs w:val="21"/>
                <w:highlight w:val="none"/>
                <w:lang w:bidi="ar"/>
              </w:rPr>
              <w:t>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产品起息日期</w:t>
            </w:r>
          </w:p>
        </w:tc>
        <w:tc>
          <w:tcPr>
            <w:tcW w:w="3636" w:type="pct"/>
            <w:vAlign w:val="center"/>
          </w:tcPr>
          <w:p>
            <w:pPr>
              <w:widowControl/>
              <w:spacing w:line="276" w:lineRule="auto"/>
              <w:jc w:val="center"/>
              <w:textAlignment w:val="center"/>
              <w:rPr>
                <w:rFonts w:eastAsiaTheme="minorEastAsia"/>
                <w:bCs/>
                <w:color w:val="000000"/>
                <w:kern w:val="0"/>
                <w:szCs w:val="21"/>
                <w:highlight w:val="none"/>
              </w:rPr>
            </w:pPr>
            <w:r>
              <w:rPr>
                <w:rFonts w:eastAsiaTheme="minorEastAsia"/>
                <w:color w:val="000000"/>
                <w:kern w:val="0"/>
                <w:szCs w:val="21"/>
                <w:highlight w:val="none"/>
                <w:lang w:bidi="ar"/>
              </w:rPr>
              <w:t>202</w:t>
            </w:r>
            <w:r>
              <w:rPr>
                <w:rFonts w:hint="eastAsia" w:eastAsiaTheme="minorEastAsia"/>
                <w:color w:val="000000"/>
                <w:kern w:val="0"/>
                <w:szCs w:val="21"/>
                <w:highlight w:val="none"/>
                <w:lang w:val="en-US" w:eastAsia="zh-CN" w:bidi="ar"/>
              </w:rPr>
              <w:t>1</w:t>
            </w:r>
            <w:r>
              <w:rPr>
                <w:rFonts w:eastAsiaTheme="minorEastAsia"/>
                <w:color w:val="000000"/>
                <w:kern w:val="0"/>
                <w:szCs w:val="21"/>
                <w:highlight w:val="none"/>
                <w:lang w:bidi="ar"/>
              </w:rPr>
              <w:t>年</w:t>
            </w:r>
            <w:r>
              <w:rPr>
                <w:rFonts w:hint="eastAsia" w:eastAsiaTheme="minorEastAsia"/>
                <w:color w:val="000000"/>
                <w:kern w:val="0"/>
                <w:szCs w:val="21"/>
                <w:highlight w:val="none"/>
                <w:lang w:val="en-US" w:eastAsia="zh-CN" w:bidi="ar"/>
              </w:rPr>
              <w:t>12</w:t>
            </w:r>
            <w:r>
              <w:rPr>
                <w:rFonts w:eastAsiaTheme="minorEastAsia"/>
                <w:color w:val="000000"/>
                <w:kern w:val="0"/>
                <w:szCs w:val="21"/>
                <w:highlight w:val="none"/>
                <w:lang w:bidi="ar"/>
              </w:rPr>
              <w:t>月</w:t>
            </w:r>
            <w:r>
              <w:rPr>
                <w:rFonts w:hint="eastAsia" w:eastAsiaTheme="minorEastAsia"/>
                <w:color w:val="000000"/>
                <w:kern w:val="0"/>
                <w:szCs w:val="21"/>
                <w:highlight w:val="none"/>
                <w:lang w:val="en-US" w:eastAsia="zh-CN" w:bidi="ar"/>
              </w:rPr>
              <w:t>29</w:t>
            </w:r>
            <w:r>
              <w:rPr>
                <w:rFonts w:eastAsiaTheme="minorEastAsia"/>
                <w:color w:val="000000"/>
                <w:kern w:val="0"/>
                <w:szCs w:val="21"/>
                <w:highlight w:val="none"/>
                <w:lang w:bidi="ar"/>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rPr>
            </w:pPr>
            <w:r>
              <w:rPr>
                <w:rFonts w:hint="eastAsia" w:eastAsiaTheme="minorEastAsia"/>
                <w:b/>
                <w:color w:val="000000"/>
                <w:kern w:val="0"/>
                <w:szCs w:val="21"/>
                <w:lang w:val="en-US" w:eastAsia="zh-CN"/>
              </w:rPr>
              <w:t>首个滚存到期日</w:t>
            </w:r>
          </w:p>
        </w:tc>
        <w:tc>
          <w:tcPr>
            <w:tcW w:w="3636" w:type="pct"/>
            <w:vAlign w:val="center"/>
          </w:tcPr>
          <w:p>
            <w:pPr>
              <w:widowControl/>
              <w:spacing w:line="276" w:lineRule="auto"/>
              <w:jc w:val="center"/>
              <w:textAlignment w:val="center"/>
              <w:rPr>
                <w:rFonts w:eastAsiaTheme="minorEastAsia"/>
                <w:bCs/>
                <w:color w:val="000000"/>
                <w:kern w:val="0"/>
                <w:szCs w:val="21"/>
                <w:highlight w:val="none"/>
              </w:rPr>
            </w:pPr>
            <w:r>
              <w:rPr>
                <w:rFonts w:eastAsiaTheme="minorEastAsia"/>
                <w:color w:val="000000"/>
                <w:kern w:val="0"/>
                <w:szCs w:val="21"/>
                <w:highlight w:val="none"/>
                <w:lang w:bidi="ar"/>
              </w:rPr>
              <w:t>202</w:t>
            </w:r>
            <w:r>
              <w:rPr>
                <w:rFonts w:hint="eastAsia" w:eastAsiaTheme="minorEastAsia"/>
                <w:color w:val="000000"/>
                <w:kern w:val="0"/>
                <w:szCs w:val="21"/>
                <w:highlight w:val="none"/>
                <w:lang w:val="en-US" w:eastAsia="zh-CN" w:bidi="ar"/>
              </w:rPr>
              <w:t>2</w:t>
            </w:r>
            <w:r>
              <w:rPr>
                <w:rFonts w:eastAsiaTheme="minorEastAsia"/>
                <w:color w:val="000000"/>
                <w:kern w:val="0"/>
                <w:szCs w:val="21"/>
                <w:highlight w:val="none"/>
                <w:lang w:bidi="ar"/>
              </w:rPr>
              <w:t>年</w:t>
            </w:r>
            <w:r>
              <w:rPr>
                <w:rFonts w:hint="eastAsia" w:eastAsiaTheme="minorEastAsia"/>
                <w:color w:val="000000"/>
                <w:kern w:val="0"/>
                <w:szCs w:val="21"/>
                <w:highlight w:val="none"/>
                <w:lang w:val="en-US" w:eastAsia="zh-CN" w:bidi="ar"/>
              </w:rPr>
              <w:t>1</w:t>
            </w:r>
            <w:r>
              <w:rPr>
                <w:rFonts w:eastAsiaTheme="minorEastAsia"/>
                <w:color w:val="000000"/>
                <w:kern w:val="0"/>
                <w:szCs w:val="21"/>
                <w:highlight w:val="none"/>
                <w:lang w:bidi="ar"/>
              </w:rPr>
              <w:t>月</w:t>
            </w:r>
            <w:r>
              <w:rPr>
                <w:rFonts w:hint="eastAsia" w:eastAsiaTheme="minorEastAsia"/>
                <w:color w:val="000000"/>
                <w:kern w:val="0"/>
                <w:szCs w:val="21"/>
                <w:highlight w:val="none"/>
                <w:lang w:val="en-US" w:eastAsia="zh-CN" w:bidi="ar"/>
              </w:rPr>
              <w:t>5</w:t>
            </w:r>
            <w:r>
              <w:rPr>
                <w:rFonts w:eastAsiaTheme="minorEastAsia"/>
                <w:color w:val="000000"/>
                <w:kern w:val="0"/>
                <w:szCs w:val="21"/>
                <w:highlight w:val="none"/>
                <w:lang w:bidi="ar"/>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highlight w:val="none"/>
              </w:rPr>
            </w:pPr>
            <w:r>
              <w:rPr>
                <w:rFonts w:hint="eastAsia" w:eastAsiaTheme="minorEastAsia"/>
                <w:b/>
                <w:color w:val="000000"/>
                <w:kern w:val="0"/>
                <w:szCs w:val="21"/>
                <w:lang w:eastAsia="zh-CN"/>
              </w:rPr>
              <w:t>产品预期年化收益率</w:t>
            </w:r>
          </w:p>
        </w:tc>
        <w:tc>
          <w:tcPr>
            <w:tcW w:w="3636" w:type="pct"/>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cs="Times New Roman"/>
                <w:color w:val="000000"/>
                <w:sz w:val="21"/>
                <w:szCs w:val="21"/>
                <w:highlight w:val="none"/>
                <w:vertAlign w:val="baseline"/>
                <w:lang w:val="en-US" w:eastAsia="zh-CN"/>
              </w:rPr>
              <w:t>净值型（</w:t>
            </w:r>
            <w:r>
              <w:rPr>
                <w:rFonts w:hint="eastAsia" w:eastAsiaTheme="minorEastAsia"/>
                <w:bCs/>
                <w:color w:val="000000"/>
                <w:kern w:val="0"/>
                <w:szCs w:val="21"/>
                <w:highlight w:val="none"/>
                <w:lang w:val="en-US" w:eastAsia="zh-CN"/>
              </w:rPr>
              <w:t>本集合资产管理计划为净值型产品，其业绩表现将随市场波动。本资产管理计划业绩计提标准为4.5%/年）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bidi="ar"/>
              </w:rPr>
            </w:pPr>
            <w:r>
              <w:rPr>
                <w:rFonts w:hint="eastAsia" w:eastAsiaTheme="minorEastAsia"/>
                <w:b/>
                <w:color w:val="000000"/>
                <w:kern w:val="0"/>
                <w:szCs w:val="21"/>
                <w:lang w:eastAsia="zh-CN"/>
              </w:rPr>
              <w:t>开放期</w:t>
            </w:r>
          </w:p>
        </w:tc>
        <w:tc>
          <w:tcPr>
            <w:tcW w:w="3636" w:type="pct"/>
            <w:vAlign w:val="center"/>
          </w:tcPr>
          <w:p>
            <w:pPr>
              <w:widowControl/>
              <w:spacing w:line="276" w:lineRule="auto"/>
              <w:ind w:firstLine="420" w:firstLineChars="200"/>
              <w:jc w:val="left"/>
              <w:textAlignment w:val="center"/>
              <w:rPr>
                <w:rFonts w:hint="default" w:ascii="Times New Roman" w:hAnsi="Times New Roman" w:cs="Times New Roman"/>
                <w:sz w:val="21"/>
                <w:szCs w:val="21"/>
                <w:highlight w:val="yellow"/>
                <w:lang w:eastAsia="zh-CN"/>
              </w:rPr>
            </w:pPr>
            <w:r>
              <w:rPr>
                <w:color w:val="000000"/>
                <w:spacing w:val="0"/>
                <w:w w:val="100"/>
                <w:position w:val="0"/>
              </w:rPr>
              <w:t>本集合计划采用定期开放，每周三开放一次，如果周三为节假日，则顺延至下一周周三。因展期、合同的补充、修改或者变更需要，管理人</w:t>
            </w:r>
            <w:r>
              <w:rPr>
                <w:color w:val="000000"/>
                <w:spacing w:val="0"/>
                <w:w w:val="100"/>
                <w:position w:val="0"/>
                <w:highlight w:val="none"/>
              </w:rPr>
              <w:t>有权设置临时开放期并予以公告</w:t>
            </w:r>
            <w:r>
              <w:rPr>
                <w:color w:val="000000"/>
                <w:spacing w:val="0"/>
                <w:w w:val="100"/>
                <w:position w:val="0"/>
              </w:rPr>
              <w:t>生效。临时开放期只接受投资者的退出申请。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bidi="ar"/>
              </w:rPr>
            </w:pPr>
            <w:r>
              <w:rPr>
                <w:rFonts w:hint="eastAsia" w:eastAsiaTheme="minorEastAsia"/>
                <w:b/>
                <w:color w:val="000000"/>
                <w:kern w:val="0"/>
                <w:szCs w:val="21"/>
                <w:lang w:eastAsia="zh-CN" w:bidi="ar"/>
              </w:rPr>
              <w:t>资金投向</w:t>
            </w:r>
          </w:p>
        </w:tc>
        <w:tc>
          <w:tcPr>
            <w:tcW w:w="3636" w:type="pct"/>
            <w:vAlign w:val="center"/>
          </w:tcPr>
          <w:p>
            <w:pPr>
              <w:widowControl/>
              <w:spacing w:line="276" w:lineRule="auto"/>
              <w:ind w:firstLine="420" w:firstLineChars="200"/>
              <w:jc w:val="left"/>
              <w:textAlignment w:val="center"/>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eastAsia="zh-CN"/>
              </w:rPr>
              <w:t>本集合计划将主要投资于债券、公开募集的基金及现金类资产等以及法律法规或中国证监会认可的其他投资品种。其中投资于存款、债券等债权类资产的比例不低于80%</w:t>
            </w:r>
            <w:r>
              <w:rPr>
                <w:rFonts w:hint="eastAsia" w:cs="Times New Roman"/>
                <w:sz w:val="21"/>
                <w:szCs w:val="21"/>
                <w:highlight w:val="none"/>
                <w:lang w:eastAsia="zh-CN"/>
              </w:rPr>
              <w:t>，</w:t>
            </w:r>
            <w:r>
              <w:rPr>
                <w:rFonts w:hint="default" w:ascii="Times New Roman" w:hAnsi="Times New Roman" w:cs="Times New Roman"/>
                <w:sz w:val="21"/>
                <w:szCs w:val="21"/>
                <w:highlight w:val="none"/>
                <w:lang w:eastAsia="zh-CN"/>
              </w:rPr>
              <w:t>具体为：</w:t>
            </w:r>
          </w:p>
          <w:p>
            <w:pPr>
              <w:widowControl/>
              <w:spacing w:line="276" w:lineRule="auto"/>
              <w:ind w:firstLine="420" w:firstLineChars="200"/>
              <w:jc w:val="left"/>
              <w:textAlignment w:val="center"/>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eastAsia="zh-CN"/>
              </w:rPr>
              <w:t>固定收益类：现金、货币市场基金、银行存款、债券回购、在银行间市场和交易所市场交易的国债、央行票据、各类金融债（含政策性金融债、次级债、混合资本债、二级资本债、证券公司债、证券公司次级债券、非银行金融机构债等）、方政府债、企业债、公司债（包括在证券交易所及机构间私募产品报价与服务系统发行的非公开发行公司债等）、项目收益债、可转换债券、可交换债券、可分离交易债券、短期融资券、超短期融资券、中期票据、资产支持证券优先级（底层资产非产品）、永续债、同业存单以及非公开定向债务融资工具（PPN）等，该类资产的投资比例为集合计划总资产的80-100%；</w:t>
            </w:r>
          </w:p>
          <w:p>
            <w:pPr>
              <w:widowControl/>
              <w:spacing w:line="276" w:lineRule="auto"/>
              <w:ind w:firstLine="420" w:firstLineChars="200"/>
              <w:jc w:val="left"/>
              <w:textAlignment w:val="center"/>
              <w:rPr>
                <w:rFonts w:hint="default" w:ascii="Times New Roman" w:hAnsi="Times New Roman" w:cs="Times New Roman"/>
                <w:sz w:val="21"/>
                <w:szCs w:val="21"/>
                <w:highlight w:val="yellow"/>
                <w:lang w:eastAsia="zh-CN"/>
              </w:rPr>
            </w:pPr>
            <w:r>
              <w:rPr>
                <w:rFonts w:hint="default" w:ascii="Times New Roman" w:hAnsi="Times New Roman" w:cs="Times New Roman"/>
                <w:sz w:val="21"/>
                <w:szCs w:val="21"/>
                <w:highlight w:val="none"/>
                <w:lang w:eastAsia="zh-CN"/>
              </w:rPr>
              <w:t>其他类产品：公募基金等，该类资产的投资比例为集合计划总资产的0-20%（不含）固定收益类按照该资产的市值占整个资产管理计划总值的比例来计算。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bidi="ar"/>
              </w:rPr>
            </w:pPr>
            <w:r>
              <w:rPr>
                <w:rFonts w:hint="eastAsia" w:eastAsiaTheme="minorEastAsia"/>
                <w:b/>
                <w:color w:val="000000"/>
                <w:kern w:val="0"/>
                <w:szCs w:val="21"/>
                <w:lang w:eastAsia="zh-CN" w:bidi="ar"/>
              </w:rPr>
              <w:t>产品费用</w:t>
            </w:r>
          </w:p>
        </w:tc>
        <w:tc>
          <w:tcPr>
            <w:tcW w:w="3636" w:type="pct"/>
            <w:vAlign w:val="center"/>
          </w:tcPr>
          <w:p>
            <w:pPr>
              <w:widowControl/>
              <w:spacing w:line="276" w:lineRule="auto"/>
              <w:jc w:val="both"/>
              <w:textAlignment w:val="center"/>
              <w:rPr>
                <w:rFonts w:hint="default" w:ascii="Times New Roman" w:hAnsi="Times New Roman" w:cs="Times New Roman"/>
                <w:sz w:val="21"/>
                <w:szCs w:val="21"/>
                <w:highlight w:val="none"/>
                <w:lang w:eastAsia="zh-CN"/>
              </w:rPr>
            </w:pPr>
            <w:r>
              <w:rPr>
                <w:rFonts w:hint="eastAsia" w:ascii="Times New Roman" w:hAnsi="Times New Roman" w:cs="Times New Roman"/>
                <w:sz w:val="21"/>
                <w:szCs w:val="21"/>
                <w:highlight w:val="none"/>
                <w:lang w:eastAsia="zh-CN"/>
              </w:rPr>
              <w:t>（</w:t>
            </w:r>
            <w:r>
              <w:rPr>
                <w:rFonts w:hint="eastAsia" w:ascii="Times New Roman" w:hAnsi="Times New Roman" w:cs="Times New Roman"/>
                <w:sz w:val="21"/>
                <w:szCs w:val="21"/>
                <w:highlight w:val="none"/>
                <w:lang w:val="en-US" w:eastAsia="zh-CN"/>
              </w:rPr>
              <w:t>1</w:t>
            </w:r>
            <w:r>
              <w:rPr>
                <w:rFonts w:hint="eastAsia" w:ascii="Times New Roman" w:hAnsi="Times New Roman" w:cs="Times New Roman"/>
                <w:sz w:val="21"/>
                <w:szCs w:val="21"/>
                <w:highlight w:val="none"/>
                <w:lang w:eastAsia="zh-CN"/>
              </w:rPr>
              <w:t>）</w:t>
            </w:r>
            <w:r>
              <w:rPr>
                <w:rFonts w:hint="default" w:ascii="Times New Roman" w:hAnsi="Times New Roman" w:cs="Times New Roman"/>
                <w:sz w:val="21"/>
                <w:szCs w:val="21"/>
                <w:highlight w:val="none"/>
                <w:lang w:eastAsia="zh-CN"/>
              </w:rPr>
              <w:t>固定管理费率为0.80%/年</w:t>
            </w:r>
            <w:r>
              <w:rPr>
                <w:rFonts w:hint="eastAsia" w:cs="Times New Roman"/>
                <w:sz w:val="21"/>
                <w:szCs w:val="21"/>
                <w:highlight w:val="none"/>
                <w:lang w:eastAsia="zh-CN"/>
              </w:rPr>
              <w:t>；</w:t>
            </w:r>
          </w:p>
          <w:p>
            <w:pPr>
              <w:widowControl/>
              <w:spacing w:line="276" w:lineRule="auto"/>
              <w:jc w:val="both"/>
              <w:textAlignment w:val="center"/>
              <w:rPr>
                <w:rFonts w:hint="eastAsia" w:eastAsia="宋体"/>
                <w:b w:val="0"/>
                <w:bCs w:val="0"/>
                <w:color w:val="000000"/>
                <w:spacing w:val="0"/>
                <w:w w:val="100"/>
                <w:position w:val="0"/>
                <w:lang w:eastAsia="zh-CN"/>
              </w:rPr>
            </w:pPr>
            <w:r>
              <w:rPr>
                <w:rFonts w:hint="eastAsia" w:ascii="Times New Roman" w:hAnsi="Times New Roman" w:cs="Times New Roman"/>
                <w:sz w:val="21"/>
                <w:szCs w:val="21"/>
                <w:highlight w:val="none"/>
                <w:lang w:eastAsia="zh-CN"/>
              </w:rPr>
              <w:t>（</w:t>
            </w:r>
            <w:r>
              <w:rPr>
                <w:rFonts w:hint="eastAsia" w:ascii="Times New Roman" w:hAnsi="Times New Roman" w:cs="Times New Roman"/>
                <w:sz w:val="21"/>
                <w:szCs w:val="21"/>
                <w:highlight w:val="none"/>
                <w:lang w:val="en-US" w:eastAsia="zh-CN"/>
              </w:rPr>
              <w:t>2</w:t>
            </w:r>
            <w:r>
              <w:rPr>
                <w:rFonts w:hint="eastAsia" w:ascii="Times New Roman" w:hAnsi="Times New Roman" w:cs="Times New Roman"/>
                <w:sz w:val="21"/>
                <w:szCs w:val="21"/>
                <w:highlight w:val="none"/>
                <w:lang w:eastAsia="zh-CN"/>
              </w:rPr>
              <w:t>）</w:t>
            </w:r>
            <w:r>
              <w:rPr>
                <w:rFonts w:hint="default" w:ascii="Times New Roman" w:hAnsi="Times New Roman" w:cs="Times New Roman"/>
                <w:sz w:val="21"/>
                <w:szCs w:val="21"/>
                <w:highlight w:val="none"/>
                <w:lang w:eastAsia="zh-CN"/>
              </w:rPr>
              <w:t>托管费率：</w:t>
            </w:r>
            <w:r>
              <w:rPr>
                <w:rFonts w:hint="default" w:ascii="Times New Roman" w:hAnsi="Times New Roman" w:cs="Times New Roman"/>
                <w:sz w:val="21"/>
                <w:szCs w:val="21"/>
                <w:highlight w:val="none"/>
                <w:lang w:val="en-US" w:eastAsia="en-US"/>
              </w:rPr>
              <w:t>0.</w:t>
            </w:r>
            <w:r>
              <w:rPr>
                <w:rFonts w:hint="default" w:ascii="Times New Roman" w:hAnsi="Times New Roman" w:cs="Times New Roman"/>
                <w:sz w:val="21"/>
                <w:szCs w:val="21"/>
                <w:highlight w:val="none"/>
                <w:lang w:eastAsia="zh-CN"/>
              </w:rPr>
              <w:t>02%/年</w:t>
            </w:r>
            <w:r>
              <w:rPr>
                <w:rFonts w:hint="eastAsia" w:ascii="Times New Roman" w:hAnsi="Times New Roman" w:cs="Times New Roman"/>
                <w:sz w:val="21"/>
                <w:szCs w:val="21"/>
                <w:highlight w:val="none"/>
                <w:lang w:eastAsia="zh-CN"/>
              </w:rPr>
              <w:t>。</w:t>
            </w:r>
          </w:p>
        </w:tc>
      </w:tr>
    </w:tbl>
    <w:p>
      <w:pPr>
        <w:widowControl/>
        <w:numPr>
          <w:ilvl w:val="0"/>
          <w:numId w:val="0"/>
        </w:numPr>
        <w:spacing w:before="156" w:beforeLines="50" w:after="156" w:afterLines="50" w:line="360" w:lineRule="auto"/>
        <w:jc w:val="both"/>
        <w:rPr>
          <w:rFonts w:hint="default" w:ascii="Times New Roman" w:hAnsi="Times New Roman" w:cs="Times New Roman" w:eastAsiaTheme="minorEastAsia"/>
          <w:color w:val="000000"/>
          <w:sz w:val="24"/>
          <w:szCs w:val="24"/>
          <w:lang w:val="en-US" w:eastAsia="zh-CN"/>
        </w:rPr>
      </w:pPr>
      <w:r>
        <w:rPr>
          <w:rFonts w:hint="eastAsia" w:cs="Times New Roman" w:eastAsiaTheme="minorEastAsia"/>
          <w:color w:val="000000"/>
          <w:sz w:val="24"/>
          <w:szCs w:val="24"/>
          <w:lang w:val="en-US" w:eastAsia="zh-CN"/>
        </w:rPr>
        <w:t>4、</w:t>
      </w:r>
      <w:r>
        <w:rPr>
          <w:rFonts w:hint="eastAsia" w:ascii="Times New Roman" w:hAnsi="Times New Roman" w:cs="Times New Roman"/>
          <w:sz w:val="24"/>
          <w:szCs w:val="24"/>
          <w:lang w:val="en-US" w:eastAsia="zh-CN"/>
        </w:rPr>
        <w:t>朝招金多元稳健型</w:t>
      </w:r>
    </w:p>
    <w:tbl>
      <w:tblPr>
        <w:tblStyle w:val="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8"/>
        <w:gridCol w:w="62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产品名称</w:t>
            </w:r>
          </w:p>
        </w:tc>
        <w:tc>
          <w:tcPr>
            <w:tcW w:w="3680" w:type="pct"/>
            <w:vAlign w:val="center"/>
          </w:tcPr>
          <w:p>
            <w:pPr>
              <w:autoSpaceDE w:val="0"/>
              <w:autoSpaceDN w:val="0"/>
              <w:adjustRightInd w:val="0"/>
              <w:spacing w:line="276" w:lineRule="auto"/>
              <w:jc w:val="center"/>
              <w:rPr>
                <w:rFonts w:eastAsiaTheme="minorEastAsia"/>
                <w:bCs/>
                <w:color w:val="000000"/>
                <w:kern w:val="0"/>
                <w:szCs w:val="21"/>
              </w:rPr>
            </w:pPr>
            <w:r>
              <w:rPr>
                <w:rFonts w:hint="eastAsia" w:eastAsiaTheme="minorEastAsia"/>
                <w:bCs/>
                <w:color w:val="000000"/>
                <w:kern w:val="0"/>
                <w:szCs w:val="21"/>
              </w:rPr>
              <w:t>招商银行朝招金（多元稳健型）理财计划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hint="default" w:eastAsiaTheme="minorEastAsia"/>
                <w:b/>
                <w:color w:val="000000"/>
                <w:kern w:val="0"/>
                <w:szCs w:val="21"/>
                <w:lang w:val="en-US" w:eastAsia="zh-CN"/>
              </w:rPr>
            </w:pPr>
            <w:r>
              <w:rPr>
                <w:rFonts w:hint="eastAsia" w:eastAsiaTheme="minorEastAsia"/>
                <w:b/>
                <w:color w:val="000000"/>
                <w:kern w:val="0"/>
                <w:szCs w:val="21"/>
                <w:lang w:val="en-US" w:eastAsia="zh-CN"/>
              </w:rPr>
              <w:t>登记编码</w:t>
            </w:r>
          </w:p>
        </w:tc>
        <w:tc>
          <w:tcPr>
            <w:tcW w:w="3680" w:type="pct"/>
            <w:vAlign w:val="center"/>
          </w:tcPr>
          <w:p>
            <w:pPr>
              <w:autoSpaceDE w:val="0"/>
              <w:autoSpaceDN w:val="0"/>
              <w:adjustRightInd w:val="0"/>
              <w:spacing w:line="276" w:lineRule="auto"/>
              <w:jc w:val="center"/>
              <w:rPr>
                <w:rFonts w:hint="default" w:ascii="Times New Roman" w:hAnsi="Times New Roman" w:eastAsia="等线" w:cs="Times New Roman"/>
                <w:bCs/>
                <w:szCs w:val="21"/>
                <w:highlight w:val="none"/>
              </w:rPr>
            </w:pPr>
            <w:r>
              <w:rPr>
                <w:rFonts w:hint="default" w:ascii="Times New Roman" w:hAnsi="Times New Roman" w:eastAsia="等线" w:cs="Times New Roman"/>
                <w:bCs/>
                <w:szCs w:val="21"/>
                <w:highlight w:val="none"/>
              </w:rPr>
              <w:t>C1030811001198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产品代码</w:t>
            </w:r>
          </w:p>
        </w:tc>
        <w:tc>
          <w:tcPr>
            <w:tcW w:w="3680" w:type="pct"/>
            <w:vAlign w:val="center"/>
          </w:tcPr>
          <w:p>
            <w:pPr>
              <w:autoSpaceDE w:val="0"/>
              <w:autoSpaceDN w:val="0"/>
              <w:adjustRightInd w:val="0"/>
              <w:spacing w:line="276" w:lineRule="auto"/>
              <w:jc w:val="center"/>
              <w:rPr>
                <w:rFonts w:eastAsiaTheme="minorEastAsia"/>
                <w:bCs/>
                <w:color w:val="000000"/>
                <w:kern w:val="0"/>
                <w:szCs w:val="21"/>
              </w:rPr>
            </w:pPr>
            <w:r>
              <w:rPr>
                <w:rFonts w:hint="eastAsia" w:eastAsiaTheme="minorEastAsia"/>
                <w:bCs/>
                <w:color w:val="000000"/>
                <w:kern w:val="0"/>
                <w:szCs w:val="21"/>
              </w:rPr>
              <w:t>CMBZG002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产品类型</w:t>
            </w:r>
          </w:p>
        </w:tc>
        <w:tc>
          <w:tcPr>
            <w:tcW w:w="3680" w:type="pct"/>
            <w:vAlign w:val="center"/>
          </w:tcPr>
          <w:p>
            <w:pPr>
              <w:autoSpaceDE w:val="0"/>
              <w:autoSpaceDN w:val="0"/>
              <w:adjustRightInd w:val="0"/>
              <w:spacing w:line="276" w:lineRule="auto"/>
              <w:jc w:val="center"/>
              <w:rPr>
                <w:rFonts w:eastAsiaTheme="minorEastAsia"/>
                <w:bCs/>
                <w:color w:val="000000"/>
                <w:kern w:val="0"/>
                <w:szCs w:val="21"/>
              </w:rPr>
            </w:pPr>
            <w:r>
              <w:rPr>
                <w:rFonts w:eastAsiaTheme="minorEastAsia"/>
                <w:bCs/>
                <w:color w:val="000000"/>
                <w:kern w:val="0"/>
                <w:szCs w:val="21"/>
              </w:rPr>
              <w:t>银行理财产品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产品期限</w:t>
            </w:r>
          </w:p>
        </w:tc>
        <w:tc>
          <w:tcPr>
            <w:tcW w:w="3680"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无固定期限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本金（万元）</w:t>
            </w:r>
          </w:p>
        </w:tc>
        <w:tc>
          <w:tcPr>
            <w:tcW w:w="3680"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highlight w:val="none"/>
                <w:lang w:val="en-US"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收益类型</w:t>
            </w:r>
          </w:p>
        </w:tc>
        <w:tc>
          <w:tcPr>
            <w:tcW w:w="3680" w:type="pct"/>
            <w:vAlign w:val="center"/>
          </w:tcPr>
          <w:p>
            <w:pPr>
              <w:autoSpaceDE w:val="0"/>
              <w:autoSpaceDN w:val="0"/>
              <w:adjustRightInd w:val="0"/>
              <w:spacing w:line="276" w:lineRule="auto"/>
              <w:jc w:val="center"/>
              <w:rPr>
                <w:rFonts w:eastAsiaTheme="minorEastAsia"/>
                <w:bCs/>
                <w:color w:val="000000"/>
                <w:kern w:val="0"/>
                <w:szCs w:val="21"/>
              </w:rPr>
            </w:pPr>
            <w:r>
              <w:rPr>
                <w:rFonts w:eastAsiaTheme="minorEastAsia"/>
                <w:bCs/>
                <w:color w:val="000000"/>
                <w:kern w:val="0"/>
                <w:szCs w:val="21"/>
              </w:rPr>
              <w:t>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产品起息日期</w:t>
            </w:r>
          </w:p>
        </w:tc>
        <w:tc>
          <w:tcPr>
            <w:tcW w:w="3680" w:type="pct"/>
            <w:vAlign w:val="center"/>
          </w:tcPr>
          <w:p>
            <w:pPr>
              <w:autoSpaceDE w:val="0"/>
              <w:autoSpaceDN w:val="0"/>
              <w:adjustRightInd w:val="0"/>
              <w:spacing w:line="276" w:lineRule="auto"/>
              <w:jc w:val="center"/>
              <w:rPr>
                <w:rFonts w:hint="eastAsia" w:eastAsiaTheme="minorEastAsia"/>
                <w:bCs/>
                <w:color w:val="000000"/>
                <w:kern w:val="0"/>
                <w:szCs w:val="21"/>
                <w:lang w:val="en-US" w:eastAsia="zh-CN"/>
              </w:rPr>
            </w:pPr>
            <w:r>
              <w:rPr>
                <w:rFonts w:hint="eastAsia" w:eastAsiaTheme="minorEastAsia"/>
                <w:bCs/>
                <w:color w:val="000000"/>
                <w:kern w:val="0"/>
                <w:szCs w:val="21"/>
                <w:lang w:val="en-US" w:eastAsia="zh-CN"/>
              </w:rPr>
              <w:t>2021年12月30日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themeColor="text1"/>
                <w:kern w:val="0"/>
                <w:szCs w:val="21"/>
                <w:highlight w:val="none"/>
                <w14:textFill>
                  <w14:solidFill>
                    <w14:schemeClr w14:val="tx1"/>
                  </w14:solidFill>
                </w14:textFill>
              </w:rPr>
            </w:pPr>
            <w:r>
              <w:rPr>
                <w:rFonts w:eastAsiaTheme="minorEastAsia"/>
                <w:b/>
                <w:color w:val="000000" w:themeColor="text1"/>
                <w:kern w:val="0"/>
                <w:szCs w:val="21"/>
                <w:highlight w:val="none"/>
                <w14:textFill>
                  <w14:solidFill>
                    <w14:schemeClr w14:val="tx1"/>
                  </w14:solidFill>
                </w14:textFill>
              </w:rPr>
              <w:t>产品预期年化收益率</w:t>
            </w:r>
          </w:p>
        </w:tc>
        <w:tc>
          <w:tcPr>
            <w:tcW w:w="3680" w:type="pct"/>
            <w:vAlign w:val="center"/>
          </w:tcPr>
          <w:p>
            <w:pPr>
              <w:keepNext w:val="0"/>
              <w:keepLines w:val="0"/>
              <w:widowControl/>
              <w:suppressLineNumbers w:val="0"/>
              <w:jc w:val="center"/>
              <w:rPr>
                <w:rFonts w:hint="default" w:eastAsiaTheme="minorEastAsia"/>
                <w:bCs/>
                <w:color w:val="000000"/>
                <w:kern w:val="0"/>
                <w:szCs w:val="21"/>
                <w:lang w:val="en-US" w:eastAsia="zh-CN"/>
              </w:rPr>
            </w:pPr>
            <w:r>
              <w:rPr>
                <w:rFonts w:hint="eastAsia"/>
                <w:bCs w:val="0"/>
                <w:color w:val="000000"/>
                <w:kern w:val="2"/>
                <w:szCs w:val="21"/>
                <w:highlight w:val="none"/>
                <w:lang w:val="en-US" w:eastAsia="zh-CN"/>
              </w:rPr>
              <w:t>净值型（</w:t>
            </w:r>
            <w:r>
              <w:rPr>
                <w:rFonts w:hint="eastAsia" w:eastAsia="宋体"/>
                <w:bCs w:val="0"/>
                <w:color w:val="000000"/>
                <w:kern w:val="2"/>
                <w:szCs w:val="21"/>
                <w:highlight w:val="none"/>
                <w:lang w:val="en-US" w:eastAsia="zh-CN"/>
              </w:rPr>
              <w:t>业绩比较基准为：</w:t>
            </w:r>
            <w:r>
              <w:rPr>
                <w:rFonts w:hint="eastAsia"/>
                <w:color w:val="000000"/>
                <w:szCs w:val="21"/>
                <w:highlight w:val="none"/>
              </w:rPr>
              <w:t>中国人民银行</w:t>
            </w:r>
            <w:r>
              <w:rPr>
                <w:rFonts w:hint="eastAsia" w:eastAsia="宋体"/>
                <w:bCs w:val="0"/>
                <w:color w:val="000000"/>
                <w:kern w:val="2"/>
                <w:szCs w:val="21"/>
                <w:highlight w:val="none"/>
                <w:lang w:val="en-US" w:eastAsia="zh-CN"/>
              </w:rPr>
              <w:t>公布</w:t>
            </w:r>
            <w:r>
              <w:rPr>
                <w:rFonts w:hint="eastAsia"/>
                <w:color w:val="000000"/>
                <w:szCs w:val="21"/>
                <w:highlight w:val="none"/>
              </w:rPr>
              <w:t>的7天通知存款利率</w:t>
            </w:r>
            <w:r>
              <w:rPr>
                <w:rFonts w:hint="eastAsia"/>
                <w:color w:val="000000"/>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资金投向</w:t>
            </w:r>
          </w:p>
        </w:tc>
        <w:tc>
          <w:tcPr>
            <w:tcW w:w="3680" w:type="pct"/>
            <w:vAlign w:val="center"/>
          </w:tcPr>
          <w:p>
            <w:pPr>
              <w:keepNext w:val="0"/>
              <w:keepLines w:val="0"/>
              <w:pageBreakBefore w:val="0"/>
              <w:widowControl/>
              <w:suppressLineNumbers w:val="0"/>
              <w:kinsoku/>
              <w:wordWrap/>
              <w:overflowPunct/>
              <w:topLinePunct w:val="0"/>
              <w:autoSpaceDE/>
              <w:autoSpaceDN/>
              <w:bidi w:val="0"/>
              <w:adjustRightInd/>
              <w:snapToGrid/>
              <w:ind w:firstLine="440" w:firstLineChars="200"/>
              <w:jc w:val="left"/>
              <w:textAlignment w:val="auto"/>
              <w:rPr>
                <w:rFonts w:hint="eastAsia" w:eastAsiaTheme="minorEastAsia"/>
                <w:bCs/>
                <w:color w:val="000000"/>
                <w:kern w:val="0"/>
                <w:szCs w:val="21"/>
              </w:rPr>
            </w:pPr>
            <w:r>
              <w:rPr>
                <w:rFonts w:hint="eastAsia" w:ascii="宋体" w:hAnsi="宋体" w:eastAsia="宋体" w:cs="宋体"/>
                <w:color w:val="000000"/>
                <w:kern w:val="0"/>
                <w:sz w:val="22"/>
                <w:szCs w:val="22"/>
                <w:lang w:val="en-US" w:eastAsia="zh-CN" w:bidi="ar"/>
              </w:rPr>
              <w:t>本</w:t>
            </w:r>
            <w:r>
              <w:rPr>
                <w:rFonts w:hint="default" w:ascii="Times New Roman" w:hAnsi="Times New Roman" w:eastAsia="宋体" w:cs="Times New Roman"/>
                <w:color w:val="000000"/>
                <w:kern w:val="0"/>
                <w:sz w:val="22"/>
                <w:szCs w:val="22"/>
                <w:lang w:val="en-US" w:eastAsia="zh-CN" w:bidi="ar"/>
              </w:rPr>
              <w:t>理财计划资金主要直接或间接投资于各类银行存款、拆放同业、银行间和交易所市场的金融资产和金融工具，包括但不限于银行存款、大额存单、债券、同业存单、资产支持证券、买入返售资产，以及货币市场基金、以货币市场工具、标准化债权资产为标的的资管产品等其它符合监管要求的固定收益类金融资产和金融工具。其中，现金或者到期日在一年以内的国债、中央银行票据和政策性金融债券不低于产品净资产的5%</w:t>
            </w:r>
            <w:r>
              <w:rPr>
                <w:rFonts w:hint="default" w:ascii="Times New Roman" w:hAnsi="Times New Roman" w:cs="Times New Roman"/>
                <w:color w:val="000000"/>
                <w:kern w:val="0"/>
                <w:sz w:val="22"/>
                <w:szCs w:val="22"/>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hint="eastAsia" w:eastAsiaTheme="minorEastAsia"/>
                <w:b/>
                <w:color w:val="000000"/>
                <w:kern w:val="0"/>
                <w:szCs w:val="21"/>
                <w:lang w:eastAsia="zh-CN"/>
              </w:rPr>
            </w:pPr>
            <w:r>
              <w:rPr>
                <w:rFonts w:hint="eastAsia" w:eastAsiaTheme="minorEastAsia"/>
                <w:b/>
                <w:color w:val="000000"/>
                <w:kern w:val="0"/>
                <w:szCs w:val="21"/>
                <w:lang w:eastAsia="zh-CN"/>
              </w:rPr>
              <w:t>产品费用</w:t>
            </w:r>
          </w:p>
        </w:tc>
        <w:tc>
          <w:tcPr>
            <w:tcW w:w="3680" w:type="pct"/>
            <w:vAlign w:val="center"/>
          </w:tcPr>
          <w:p>
            <w:pPr>
              <w:keepNext w:val="0"/>
              <w:keepLines w:val="0"/>
              <w:widowControl/>
              <w:suppressLineNumbers w:val="0"/>
              <w:jc w:val="left"/>
              <w:rPr>
                <w:rFonts w:hint="default" w:ascii="Times New Roman" w:hAnsi="Times New Roman" w:cs="Times New Roman"/>
              </w:rPr>
            </w:pPr>
            <w:r>
              <w:rPr>
                <w:rFonts w:hint="default" w:ascii="Times New Roman" w:hAnsi="Times New Roman" w:eastAsia="宋体" w:cs="Times New Roman"/>
                <w:color w:val="000000"/>
                <w:kern w:val="0"/>
                <w:sz w:val="22"/>
                <w:szCs w:val="22"/>
                <w:lang w:val="en-US" w:eastAsia="zh-CN" w:bidi="ar"/>
              </w:rPr>
              <w:t>1.固定投资管理费：管理人收取理财计划固定投资管理费，固定投资管理费率0.30%/年。固定管理费精确到小数点后2位，小数点2位以后舍位。</w:t>
            </w:r>
          </w:p>
          <w:p>
            <w:pPr>
              <w:keepNext w:val="0"/>
              <w:keepLines w:val="0"/>
              <w:widowControl/>
              <w:suppressLineNumbers w:val="0"/>
              <w:jc w:val="left"/>
              <w:rPr>
                <w:rFonts w:hint="default" w:ascii="Times New Roman" w:hAnsi="Times New Roman" w:cs="Times New Roman"/>
              </w:rPr>
            </w:pPr>
            <w:r>
              <w:rPr>
                <w:rFonts w:hint="default" w:ascii="Times New Roman" w:hAnsi="Times New Roman" w:eastAsia="宋体" w:cs="Times New Roman"/>
                <w:color w:val="000000"/>
                <w:kern w:val="0"/>
                <w:sz w:val="22"/>
                <w:szCs w:val="22"/>
                <w:lang w:val="en-US" w:eastAsia="zh-CN" w:bidi="ar"/>
              </w:rPr>
              <w:t>2.销售服务费：销售服务机构收取理财计划销售服务费，销售服务费率为0.20%/年。销售服务费精确到小数点后2位，小数点2位以后舍位。</w:t>
            </w:r>
          </w:p>
          <w:p>
            <w:pPr>
              <w:keepNext w:val="0"/>
              <w:keepLines w:val="0"/>
              <w:widowControl/>
              <w:suppressLineNumbers w:val="0"/>
              <w:jc w:val="left"/>
              <w:rPr>
                <w:rFonts w:hint="default" w:ascii="仿宋" w:hAnsi="仿宋" w:eastAsia="仿宋"/>
                <w:bCs/>
                <w:szCs w:val="21"/>
                <w:highlight w:val="none"/>
                <w:lang w:val="en-US" w:eastAsia="zh-CN"/>
              </w:rPr>
            </w:pPr>
            <w:r>
              <w:rPr>
                <w:rFonts w:hint="default" w:ascii="Times New Roman" w:hAnsi="Times New Roman" w:eastAsia="宋体" w:cs="Times New Roman"/>
                <w:color w:val="000000"/>
                <w:kern w:val="0"/>
                <w:sz w:val="22"/>
                <w:szCs w:val="22"/>
                <w:lang w:val="en-US" w:eastAsia="zh-CN" w:bidi="ar"/>
              </w:rPr>
              <w:t>3.托管费：本理财计划托管费由托管行收取，年费率为0.03%。4.其他（如有）：交易费用（包括但不限于交易佣金、撮合费用等）、理财计划验资费、审计费、律师费、信息披露费、清算费、执行费用等相关费用，具体以实际发生为准。</w:t>
            </w:r>
          </w:p>
        </w:tc>
      </w:tr>
    </w:tbl>
    <w:p>
      <w:pPr>
        <w:widowControl/>
        <w:spacing w:before="156" w:beforeLines="50" w:after="156" w:afterLines="50" w:line="360" w:lineRule="auto"/>
        <w:ind w:left="0" w:leftChars="0" w:firstLine="0" w:firstLineChars="0"/>
        <w:jc w:val="left"/>
        <w:rPr>
          <w:rFonts w:hint="default" w:ascii="Times New Roman" w:hAnsi="Times New Roman" w:cs="Times New Roman" w:eastAsiaTheme="minorEastAsia"/>
          <w:color w:val="000000"/>
          <w:sz w:val="24"/>
          <w:szCs w:val="24"/>
          <w:highlight w:val="none"/>
          <w:lang w:val="en-US" w:eastAsia="zh-CN"/>
        </w:rPr>
      </w:pPr>
      <w:r>
        <w:rPr>
          <w:rFonts w:hint="eastAsia" w:cs="Times New Roman" w:eastAsiaTheme="minorEastAsia"/>
          <w:color w:val="000000"/>
          <w:sz w:val="24"/>
          <w:szCs w:val="24"/>
          <w:highlight w:val="none"/>
          <w:lang w:val="en-US" w:eastAsia="zh-CN"/>
        </w:rPr>
        <w:t>5</w:t>
      </w:r>
      <w:r>
        <w:rPr>
          <w:rFonts w:hint="default" w:ascii="Times New Roman" w:hAnsi="Times New Roman" w:cs="Times New Roman" w:eastAsiaTheme="minorEastAsia"/>
          <w:color w:val="000000"/>
          <w:sz w:val="24"/>
          <w:szCs w:val="24"/>
          <w:highlight w:val="none"/>
          <w:lang w:val="en-US" w:eastAsia="zh-CN"/>
        </w:rPr>
        <w:t>、</w:t>
      </w:r>
      <w:r>
        <w:rPr>
          <w:rFonts w:hint="default" w:ascii="Times New Roman" w:hAnsi="Times New Roman" w:cs="Times New Roman"/>
          <w:sz w:val="24"/>
          <w:szCs w:val="24"/>
          <w:lang w:val="en-US" w:eastAsia="zh-CN"/>
        </w:rPr>
        <w:t>安顺1号</w:t>
      </w:r>
    </w:p>
    <w:tbl>
      <w:tblPr>
        <w:tblStyle w:val="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3"/>
        <w:gridCol w:w="61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产品名称</w:t>
            </w:r>
          </w:p>
        </w:tc>
        <w:tc>
          <w:tcPr>
            <w:tcW w:w="3636" w:type="pct"/>
            <w:vAlign w:val="center"/>
          </w:tcPr>
          <w:p>
            <w:pPr>
              <w:autoSpaceDE w:val="0"/>
              <w:autoSpaceDN w:val="0"/>
              <w:adjustRightInd w:val="0"/>
              <w:spacing w:line="276" w:lineRule="auto"/>
              <w:ind w:left="0" w:leftChars="0" w:firstLine="0" w:firstLineChars="0"/>
              <w:jc w:val="center"/>
              <w:rPr>
                <w:rFonts w:hint="eastAsia" w:eastAsiaTheme="minorEastAsia"/>
                <w:bCs/>
                <w:color w:val="000000"/>
                <w:kern w:val="0"/>
                <w:szCs w:val="21"/>
              </w:rPr>
            </w:pPr>
            <w:r>
              <w:rPr>
                <w:rFonts w:hint="eastAsia" w:eastAsiaTheme="minorEastAsia"/>
                <w:bCs/>
                <w:color w:val="000000"/>
                <w:kern w:val="0"/>
                <w:szCs w:val="21"/>
                <w:lang w:eastAsia="zh-CN"/>
              </w:rPr>
              <w:t>国融证券国融安顺</w:t>
            </w:r>
            <w:r>
              <w:rPr>
                <w:rFonts w:hint="eastAsia" w:eastAsiaTheme="minorEastAsia"/>
                <w:bCs/>
                <w:color w:val="000000"/>
                <w:kern w:val="0"/>
                <w:szCs w:val="21"/>
                <w:lang w:val="en-US" w:eastAsia="zh-CN"/>
              </w:rPr>
              <w:t>1号集合资产管理计划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bidi="ar"/>
              </w:rPr>
            </w:pPr>
            <w:r>
              <w:rPr>
                <w:rFonts w:hint="eastAsia" w:eastAsiaTheme="minorEastAsia"/>
                <w:b/>
                <w:color w:val="000000"/>
                <w:kern w:val="0"/>
                <w:szCs w:val="21"/>
                <w:lang w:eastAsia="zh-CN" w:bidi="ar"/>
              </w:rPr>
              <w:t>产品代码</w:t>
            </w:r>
          </w:p>
        </w:tc>
        <w:tc>
          <w:tcPr>
            <w:tcW w:w="3636" w:type="pct"/>
            <w:vAlign w:val="center"/>
          </w:tcPr>
          <w:p>
            <w:pPr>
              <w:autoSpaceDE w:val="0"/>
              <w:autoSpaceDN w:val="0"/>
              <w:adjustRightInd w:val="0"/>
              <w:spacing w:line="276" w:lineRule="auto"/>
              <w:ind w:left="0" w:leftChars="0" w:firstLine="0" w:firstLineChars="0"/>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SAT582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产品类型</w:t>
            </w:r>
          </w:p>
        </w:tc>
        <w:tc>
          <w:tcPr>
            <w:tcW w:w="3636" w:type="pct"/>
            <w:vAlign w:val="center"/>
          </w:tcPr>
          <w:p>
            <w:pPr>
              <w:autoSpaceDE w:val="0"/>
              <w:autoSpaceDN w:val="0"/>
              <w:adjustRightInd w:val="0"/>
              <w:spacing w:line="276" w:lineRule="auto"/>
              <w:ind w:left="0" w:leftChars="0" w:firstLine="0" w:firstLineChars="0"/>
              <w:jc w:val="center"/>
              <w:rPr>
                <w:rFonts w:hint="eastAsia" w:eastAsiaTheme="minorEastAsia"/>
                <w:bCs/>
                <w:color w:val="000000"/>
                <w:kern w:val="0"/>
                <w:szCs w:val="21"/>
                <w:lang w:eastAsia="zh-CN"/>
              </w:rPr>
            </w:pPr>
            <w:r>
              <w:rPr>
                <w:rFonts w:hint="eastAsia" w:eastAsiaTheme="minorEastAsia"/>
                <w:bCs/>
                <w:color w:val="000000"/>
                <w:kern w:val="0"/>
                <w:szCs w:val="21"/>
                <w:lang w:eastAsia="zh-CN"/>
              </w:rPr>
              <w:t>券商理财产品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rPr>
            </w:pPr>
            <w:r>
              <w:rPr>
                <w:rFonts w:hint="eastAsia" w:eastAsiaTheme="minorEastAsia"/>
                <w:b/>
                <w:color w:val="000000"/>
                <w:kern w:val="0"/>
                <w:szCs w:val="21"/>
                <w:lang w:eastAsia="zh-CN" w:bidi="ar"/>
              </w:rPr>
              <w:t>产品期限</w:t>
            </w:r>
          </w:p>
        </w:tc>
        <w:tc>
          <w:tcPr>
            <w:tcW w:w="3636" w:type="pct"/>
            <w:vAlign w:val="center"/>
          </w:tcPr>
          <w:p>
            <w:pPr>
              <w:widowControl/>
              <w:spacing w:line="276" w:lineRule="auto"/>
              <w:ind w:left="0" w:leftChars="0" w:firstLine="0" w:firstLineChars="0"/>
              <w:jc w:val="center"/>
              <w:textAlignment w:val="center"/>
              <w:rPr>
                <w:rFonts w:eastAsiaTheme="minorEastAsia"/>
                <w:bCs/>
                <w:color w:val="000000"/>
                <w:kern w:val="0"/>
                <w:szCs w:val="21"/>
                <w:highlight w:val="none"/>
              </w:rPr>
            </w:pPr>
            <w:r>
              <w:rPr>
                <w:rFonts w:hint="eastAsia" w:eastAsiaTheme="minorEastAsia"/>
                <w:color w:val="000000"/>
                <w:kern w:val="0"/>
                <w:szCs w:val="21"/>
                <w:highlight w:val="none"/>
                <w:lang w:val="en-US" w:eastAsia="zh-CN" w:bidi="ar"/>
              </w:rPr>
              <w:t>7</w:t>
            </w:r>
            <w:r>
              <w:rPr>
                <w:rFonts w:eastAsiaTheme="minorEastAsia"/>
                <w:color w:val="000000"/>
                <w:kern w:val="0"/>
                <w:szCs w:val="21"/>
                <w:highlight w:val="none"/>
                <w:lang w:bidi="ar"/>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本金（万元）</w:t>
            </w:r>
          </w:p>
        </w:tc>
        <w:tc>
          <w:tcPr>
            <w:tcW w:w="3636" w:type="pct"/>
            <w:vAlign w:val="center"/>
          </w:tcPr>
          <w:p>
            <w:pPr>
              <w:widowControl/>
              <w:spacing w:line="276" w:lineRule="auto"/>
              <w:jc w:val="center"/>
              <w:textAlignment w:val="center"/>
              <w:rPr>
                <w:rFonts w:hint="default" w:eastAsiaTheme="minorEastAsia"/>
                <w:bCs/>
                <w:color w:val="000000"/>
                <w:kern w:val="0"/>
                <w:szCs w:val="21"/>
                <w:highlight w:val="none"/>
                <w:lang w:val="en-US" w:eastAsia="zh-CN"/>
              </w:rPr>
            </w:pPr>
            <w:r>
              <w:rPr>
                <w:rFonts w:hint="eastAsia" w:eastAsiaTheme="minorEastAsia"/>
                <w:color w:val="000000"/>
                <w:kern w:val="0"/>
                <w:szCs w:val="21"/>
                <w:highlight w:val="none"/>
                <w:lang w:val="en-US" w:eastAsia="zh-CN" w:bidi="ar"/>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收益类型</w:t>
            </w:r>
          </w:p>
        </w:tc>
        <w:tc>
          <w:tcPr>
            <w:tcW w:w="3636" w:type="pct"/>
            <w:vAlign w:val="center"/>
          </w:tcPr>
          <w:p>
            <w:pPr>
              <w:widowControl/>
              <w:spacing w:line="276" w:lineRule="auto"/>
              <w:jc w:val="center"/>
              <w:textAlignment w:val="center"/>
              <w:rPr>
                <w:rFonts w:eastAsiaTheme="minorEastAsia"/>
                <w:bCs/>
                <w:color w:val="000000"/>
                <w:kern w:val="0"/>
                <w:szCs w:val="21"/>
                <w:highlight w:val="none"/>
              </w:rPr>
            </w:pPr>
            <w:r>
              <w:rPr>
                <w:rFonts w:hint="eastAsia" w:eastAsiaTheme="minorEastAsia"/>
                <w:color w:val="000000"/>
                <w:kern w:val="0"/>
                <w:szCs w:val="21"/>
                <w:highlight w:val="none"/>
                <w:lang w:eastAsia="zh-CN" w:bidi="ar"/>
              </w:rPr>
              <w:t>非</w:t>
            </w:r>
            <w:r>
              <w:rPr>
                <w:rFonts w:eastAsiaTheme="minorEastAsia"/>
                <w:color w:val="000000"/>
                <w:kern w:val="0"/>
                <w:szCs w:val="21"/>
                <w:highlight w:val="none"/>
                <w:lang w:bidi="ar"/>
              </w:rPr>
              <w:t>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产品起息日期</w:t>
            </w:r>
          </w:p>
        </w:tc>
        <w:tc>
          <w:tcPr>
            <w:tcW w:w="3636" w:type="pct"/>
            <w:vAlign w:val="center"/>
          </w:tcPr>
          <w:p>
            <w:pPr>
              <w:widowControl/>
              <w:spacing w:line="276" w:lineRule="auto"/>
              <w:jc w:val="center"/>
              <w:textAlignment w:val="center"/>
              <w:rPr>
                <w:rFonts w:eastAsiaTheme="minorEastAsia"/>
                <w:bCs/>
                <w:color w:val="000000"/>
                <w:kern w:val="0"/>
                <w:szCs w:val="21"/>
                <w:highlight w:val="none"/>
              </w:rPr>
            </w:pPr>
            <w:r>
              <w:rPr>
                <w:rFonts w:eastAsiaTheme="minorEastAsia"/>
                <w:color w:val="000000"/>
                <w:kern w:val="0"/>
                <w:szCs w:val="21"/>
                <w:highlight w:val="none"/>
                <w:lang w:bidi="ar"/>
              </w:rPr>
              <w:t>202</w:t>
            </w:r>
            <w:r>
              <w:rPr>
                <w:rFonts w:hint="eastAsia" w:eastAsiaTheme="minorEastAsia"/>
                <w:color w:val="000000"/>
                <w:kern w:val="0"/>
                <w:szCs w:val="21"/>
                <w:highlight w:val="none"/>
                <w:lang w:val="en-US" w:eastAsia="zh-CN" w:bidi="ar"/>
              </w:rPr>
              <w:t>2</w:t>
            </w:r>
            <w:r>
              <w:rPr>
                <w:rFonts w:eastAsiaTheme="minorEastAsia"/>
                <w:color w:val="000000"/>
                <w:kern w:val="0"/>
                <w:szCs w:val="21"/>
                <w:highlight w:val="none"/>
                <w:lang w:bidi="ar"/>
              </w:rPr>
              <w:t>年</w:t>
            </w:r>
            <w:r>
              <w:rPr>
                <w:rFonts w:hint="eastAsia" w:eastAsiaTheme="minorEastAsia"/>
                <w:color w:val="000000"/>
                <w:kern w:val="0"/>
                <w:szCs w:val="21"/>
                <w:highlight w:val="none"/>
                <w:lang w:val="en-US" w:eastAsia="zh-CN" w:bidi="ar"/>
              </w:rPr>
              <w:t>1</w:t>
            </w:r>
            <w:r>
              <w:rPr>
                <w:rFonts w:eastAsiaTheme="minorEastAsia"/>
                <w:color w:val="000000"/>
                <w:kern w:val="0"/>
                <w:szCs w:val="21"/>
                <w:highlight w:val="none"/>
                <w:lang w:bidi="ar"/>
              </w:rPr>
              <w:t>月</w:t>
            </w:r>
            <w:r>
              <w:rPr>
                <w:rFonts w:hint="eastAsia" w:eastAsiaTheme="minorEastAsia"/>
                <w:color w:val="000000"/>
                <w:kern w:val="0"/>
                <w:szCs w:val="21"/>
                <w:highlight w:val="none"/>
                <w:lang w:val="en-US" w:eastAsia="zh-CN" w:bidi="ar"/>
              </w:rPr>
              <w:t>5</w:t>
            </w:r>
            <w:r>
              <w:rPr>
                <w:rFonts w:eastAsiaTheme="minorEastAsia"/>
                <w:color w:val="000000"/>
                <w:kern w:val="0"/>
                <w:szCs w:val="21"/>
                <w:highlight w:val="none"/>
                <w:lang w:bidi="ar"/>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rPr>
            </w:pPr>
            <w:r>
              <w:rPr>
                <w:rFonts w:hint="eastAsia" w:eastAsiaTheme="minorEastAsia"/>
                <w:b/>
                <w:color w:val="000000"/>
                <w:kern w:val="0"/>
                <w:szCs w:val="21"/>
                <w:lang w:val="en-US" w:eastAsia="zh-CN"/>
              </w:rPr>
              <w:t>首个滚存到期日</w:t>
            </w:r>
          </w:p>
        </w:tc>
        <w:tc>
          <w:tcPr>
            <w:tcW w:w="3636" w:type="pct"/>
            <w:vAlign w:val="center"/>
          </w:tcPr>
          <w:p>
            <w:pPr>
              <w:widowControl/>
              <w:spacing w:line="276" w:lineRule="auto"/>
              <w:jc w:val="center"/>
              <w:textAlignment w:val="center"/>
              <w:rPr>
                <w:rFonts w:eastAsiaTheme="minorEastAsia"/>
                <w:bCs/>
                <w:color w:val="000000"/>
                <w:kern w:val="0"/>
                <w:szCs w:val="21"/>
                <w:highlight w:val="none"/>
              </w:rPr>
            </w:pPr>
            <w:r>
              <w:rPr>
                <w:rFonts w:eastAsiaTheme="minorEastAsia"/>
                <w:color w:val="000000"/>
                <w:kern w:val="0"/>
                <w:szCs w:val="21"/>
                <w:highlight w:val="none"/>
                <w:lang w:bidi="ar"/>
              </w:rPr>
              <w:t>202</w:t>
            </w:r>
            <w:r>
              <w:rPr>
                <w:rFonts w:hint="eastAsia" w:eastAsiaTheme="minorEastAsia"/>
                <w:color w:val="000000"/>
                <w:kern w:val="0"/>
                <w:szCs w:val="21"/>
                <w:highlight w:val="none"/>
                <w:lang w:val="en-US" w:eastAsia="zh-CN" w:bidi="ar"/>
              </w:rPr>
              <w:t>2</w:t>
            </w:r>
            <w:r>
              <w:rPr>
                <w:rFonts w:eastAsiaTheme="minorEastAsia"/>
                <w:color w:val="000000"/>
                <w:kern w:val="0"/>
                <w:szCs w:val="21"/>
                <w:highlight w:val="none"/>
                <w:lang w:bidi="ar"/>
              </w:rPr>
              <w:t>年</w:t>
            </w:r>
            <w:r>
              <w:rPr>
                <w:rFonts w:hint="eastAsia" w:eastAsiaTheme="minorEastAsia"/>
                <w:color w:val="000000"/>
                <w:kern w:val="0"/>
                <w:szCs w:val="21"/>
                <w:highlight w:val="none"/>
                <w:lang w:val="en-US" w:eastAsia="zh-CN" w:bidi="ar"/>
              </w:rPr>
              <w:t>1</w:t>
            </w:r>
            <w:r>
              <w:rPr>
                <w:rFonts w:eastAsiaTheme="minorEastAsia"/>
                <w:color w:val="000000"/>
                <w:kern w:val="0"/>
                <w:szCs w:val="21"/>
                <w:highlight w:val="none"/>
                <w:lang w:bidi="ar"/>
              </w:rPr>
              <w:t>月</w:t>
            </w:r>
            <w:r>
              <w:rPr>
                <w:rFonts w:hint="eastAsia" w:eastAsiaTheme="minorEastAsia"/>
                <w:color w:val="000000"/>
                <w:kern w:val="0"/>
                <w:szCs w:val="21"/>
                <w:highlight w:val="none"/>
                <w:lang w:val="en-US" w:eastAsia="zh-CN" w:bidi="ar"/>
              </w:rPr>
              <w:t>12</w:t>
            </w:r>
            <w:r>
              <w:rPr>
                <w:rFonts w:eastAsiaTheme="minorEastAsia"/>
                <w:color w:val="000000"/>
                <w:kern w:val="0"/>
                <w:szCs w:val="21"/>
                <w:highlight w:val="none"/>
                <w:lang w:bidi="ar"/>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highlight w:val="none"/>
              </w:rPr>
            </w:pPr>
            <w:r>
              <w:rPr>
                <w:rFonts w:hint="eastAsia" w:eastAsiaTheme="minorEastAsia"/>
                <w:b/>
                <w:color w:val="000000"/>
                <w:kern w:val="0"/>
                <w:szCs w:val="21"/>
                <w:lang w:eastAsia="zh-CN"/>
              </w:rPr>
              <w:t>产品预期年化收益率</w:t>
            </w:r>
          </w:p>
        </w:tc>
        <w:tc>
          <w:tcPr>
            <w:tcW w:w="3636" w:type="pct"/>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cs="Times New Roman"/>
                <w:color w:val="000000"/>
                <w:sz w:val="21"/>
                <w:szCs w:val="21"/>
                <w:highlight w:val="none"/>
                <w:vertAlign w:val="baseline"/>
                <w:lang w:val="en-US" w:eastAsia="zh-CN"/>
              </w:rPr>
              <w:t>净值型（</w:t>
            </w:r>
            <w:r>
              <w:rPr>
                <w:rFonts w:hint="eastAsia" w:eastAsiaTheme="minorEastAsia"/>
                <w:bCs/>
                <w:color w:val="000000"/>
                <w:kern w:val="0"/>
                <w:szCs w:val="21"/>
                <w:highlight w:val="none"/>
                <w:lang w:val="en-US" w:eastAsia="zh-CN"/>
              </w:rPr>
              <w:t>本集合资产管理计划为净值型产品，其业绩表现将随市场波动。本资产管理计划业绩计提标准为4.5%/年）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bidi="ar"/>
              </w:rPr>
            </w:pPr>
            <w:r>
              <w:rPr>
                <w:rFonts w:hint="eastAsia" w:eastAsiaTheme="minorEastAsia"/>
                <w:b/>
                <w:color w:val="000000"/>
                <w:kern w:val="0"/>
                <w:szCs w:val="21"/>
                <w:lang w:eastAsia="zh-CN"/>
              </w:rPr>
              <w:t>开放期</w:t>
            </w:r>
          </w:p>
        </w:tc>
        <w:tc>
          <w:tcPr>
            <w:tcW w:w="3636" w:type="pct"/>
            <w:vAlign w:val="center"/>
          </w:tcPr>
          <w:p>
            <w:pPr>
              <w:widowControl/>
              <w:spacing w:line="276" w:lineRule="auto"/>
              <w:ind w:firstLine="420" w:firstLineChars="200"/>
              <w:jc w:val="left"/>
              <w:textAlignment w:val="center"/>
              <w:rPr>
                <w:rFonts w:hint="default" w:ascii="Times New Roman" w:hAnsi="Times New Roman" w:cs="Times New Roman"/>
                <w:sz w:val="21"/>
                <w:szCs w:val="21"/>
                <w:highlight w:val="yellow"/>
                <w:lang w:eastAsia="zh-CN"/>
              </w:rPr>
            </w:pPr>
            <w:r>
              <w:rPr>
                <w:color w:val="000000"/>
                <w:spacing w:val="0"/>
                <w:w w:val="100"/>
                <w:position w:val="0"/>
              </w:rPr>
              <w:t>本集合计划采用定期开放，每周三开放一次，如果周三为节假日，则顺延至下一周周三。因展期、合同的补充、修改或者变更需要，管理人</w:t>
            </w:r>
            <w:r>
              <w:rPr>
                <w:color w:val="000000"/>
                <w:spacing w:val="0"/>
                <w:w w:val="100"/>
                <w:position w:val="0"/>
                <w:highlight w:val="none"/>
              </w:rPr>
              <w:t>有权设置临时开放期并予以公告</w:t>
            </w:r>
            <w:r>
              <w:rPr>
                <w:color w:val="000000"/>
                <w:spacing w:val="0"/>
                <w:w w:val="100"/>
                <w:position w:val="0"/>
              </w:rPr>
              <w:t>生效。临时开放期只接受投资者的退出申请。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bidi="ar"/>
              </w:rPr>
            </w:pPr>
            <w:r>
              <w:rPr>
                <w:rFonts w:hint="eastAsia" w:eastAsiaTheme="minorEastAsia"/>
                <w:b/>
                <w:color w:val="000000"/>
                <w:kern w:val="0"/>
                <w:szCs w:val="21"/>
                <w:lang w:eastAsia="zh-CN" w:bidi="ar"/>
              </w:rPr>
              <w:t>资金投向</w:t>
            </w:r>
          </w:p>
        </w:tc>
        <w:tc>
          <w:tcPr>
            <w:tcW w:w="3636" w:type="pct"/>
            <w:vAlign w:val="center"/>
          </w:tcPr>
          <w:p>
            <w:pPr>
              <w:widowControl/>
              <w:spacing w:line="276" w:lineRule="auto"/>
              <w:ind w:firstLine="420" w:firstLineChars="200"/>
              <w:jc w:val="left"/>
              <w:textAlignment w:val="center"/>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eastAsia="zh-CN"/>
              </w:rPr>
              <w:t>本集合计划将主要投资于债券、公开募集的基金及现金类资产等以及法律法规或中国证监会认可的其他投资品种。其中投资于存款、债券等债权类资产的比例不低于80%,具体为：</w:t>
            </w:r>
          </w:p>
          <w:p>
            <w:pPr>
              <w:widowControl/>
              <w:spacing w:line="276" w:lineRule="auto"/>
              <w:ind w:firstLine="420" w:firstLineChars="200"/>
              <w:jc w:val="left"/>
              <w:textAlignment w:val="center"/>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eastAsia="zh-CN"/>
              </w:rPr>
              <w:t>固定收益类：现金、货币市场基金、银行存款、债券回购、在银行间市场和交易所市场交易的国债、央行票据、各类金融债（含政策性金融债、次级债、混合资本债、二级资本债、证券公司债、证券公司次级债券、非银行金融机构债等）、方政府债、企业债、公司债（包括在证券交易所及机构间私募产品报价与服务系统发行的非公开发行公司债等）、项目收益债、可转换债券、可交换债券、可分离交易债券、短期融资券、超短期融资券、中期票据、资产支持证券优先级（底层资产非产品）、永续债、同业存单以及非公开定向债务融资工具（PPN）等，该类资产的投资比例为集合计划总资产的80-100%；</w:t>
            </w:r>
          </w:p>
          <w:p>
            <w:pPr>
              <w:widowControl/>
              <w:spacing w:line="276" w:lineRule="auto"/>
              <w:ind w:firstLine="420" w:firstLineChars="200"/>
              <w:jc w:val="left"/>
              <w:textAlignment w:val="center"/>
              <w:rPr>
                <w:rFonts w:hint="default" w:ascii="Times New Roman" w:hAnsi="Times New Roman" w:cs="Times New Roman"/>
                <w:sz w:val="21"/>
                <w:szCs w:val="21"/>
                <w:highlight w:val="yellow"/>
                <w:lang w:eastAsia="zh-CN"/>
              </w:rPr>
            </w:pPr>
            <w:r>
              <w:rPr>
                <w:rFonts w:hint="default" w:ascii="Times New Roman" w:hAnsi="Times New Roman" w:cs="Times New Roman"/>
                <w:sz w:val="21"/>
                <w:szCs w:val="21"/>
                <w:highlight w:val="none"/>
                <w:lang w:eastAsia="zh-CN"/>
              </w:rPr>
              <w:t>其他类产品：公募基金等，该类资产的投资比例为集合计划总资产的0-20%（不含）固定收益类按照该资产的市值占整个资产管理计划总值的比例来计算。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63" w:type="pct"/>
            <w:vAlign w:val="center"/>
          </w:tcPr>
          <w:p>
            <w:pPr>
              <w:widowControl/>
              <w:spacing w:line="276" w:lineRule="auto"/>
              <w:jc w:val="center"/>
              <w:textAlignment w:val="center"/>
              <w:rPr>
                <w:rFonts w:hint="eastAsia" w:ascii="Times New Roman" w:hAnsi="Times New Roman" w:cs="Times New Roman" w:eastAsiaTheme="minorEastAsia"/>
                <w:b/>
                <w:color w:val="000000"/>
                <w:kern w:val="0"/>
                <w:sz w:val="21"/>
                <w:szCs w:val="21"/>
                <w:lang w:val="en-US" w:eastAsia="zh-CN" w:bidi="ar"/>
              </w:rPr>
            </w:pPr>
            <w:r>
              <w:rPr>
                <w:rFonts w:hint="eastAsia" w:eastAsiaTheme="minorEastAsia"/>
                <w:b/>
                <w:color w:val="000000"/>
                <w:kern w:val="0"/>
                <w:szCs w:val="21"/>
                <w:lang w:eastAsia="zh-CN" w:bidi="ar"/>
              </w:rPr>
              <w:t>产品费用</w:t>
            </w:r>
          </w:p>
        </w:tc>
        <w:tc>
          <w:tcPr>
            <w:tcW w:w="3636" w:type="pct"/>
            <w:vAlign w:val="center"/>
          </w:tcPr>
          <w:p>
            <w:pPr>
              <w:widowControl/>
              <w:spacing w:line="276" w:lineRule="auto"/>
              <w:jc w:val="both"/>
              <w:textAlignment w:val="center"/>
              <w:rPr>
                <w:rFonts w:hint="default" w:ascii="Times New Roman" w:hAnsi="Times New Roman" w:cs="Times New Roman"/>
                <w:sz w:val="21"/>
                <w:szCs w:val="21"/>
                <w:highlight w:val="none"/>
                <w:lang w:eastAsia="zh-CN"/>
              </w:rPr>
            </w:pPr>
            <w:r>
              <w:rPr>
                <w:rFonts w:hint="eastAsia" w:ascii="Times New Roman" w:hAnsi="Times New Roman" w:cs="Times New Roman"/>
                <w:sz w:val="21"/>
                <w:szCs w:val="21"/>
                <w:highlight w:val="none"/>
                <w:lang w:eastAsia="zh-CN"/>
              </w:rPr>
              <w:t>（</w:t>
            </w:r>
            <w:r>
              <w:rPr>
                <w:rFonts w:hint="eastAsia" w:ascii="Times New Roman" w:hAnsi="Times New Roman" w:cs="Times New Roman"/>
                <w:sz w:val="21"/>
                <w:szCs w:val="21"/>
                <w:highlight w:val="none"/>
                <w:lang w:val="en-US" w:eastAsia="zh-CN"/>
              </w:rPr>
              <w:t>1</w:t>
            </w:r>
            <w:r>
              <w:rPr>
                <w:rFonts w:hint="eastAsia" w:ascii="Times New Roman" w:hAnsi="Times New Roman" w:cs="Times New Roman"/>
                <w:sz w:val="21"/>
                <w:szCs w:val="21"/>
                <w:highlight w:val="none"/>
                <w:lang w:eastAsia="zh-CN"/>
              </w:rPr>
              <w:t>）</w:t>
            </w:r>
            <w:r>
              <w:rPr>
                <w:rFonts w:hint="default" w:ascii="Times New Roman" w:hAnsi="Times New Roman" w:cs="Times New Roman"/>
                <w:sz w:val="21"/>
                <w:szCs w:val="21"/>
                <w:highlight w:val="none"/>
                <w:lang w:eastAsia="zh-CN"/>
              </w:rPr>
              <w:t>固定管理费率为0.80%/年</w:t>
            </w:r>
            <w:r>
              <w:rPr>
                <w:rFonts w:hint="eastAsia" w:cs="Times New Roman"/>
                <w:sz w:val="21"/>
                <w:szCs w:val="21"/>
                <w:highlight w:val="none"/>
                <w:lang w:eastAsia="zh-CN"/>
              </w:rPr>
              <w:t>；</w:t>
            </w:r>
          </w:p>
          <w:p>
            <w:pPr>
              <w:widowControl/>
              <w:spacing w:line="276" w:lineRule="auto"/>
              <w:jc w:val="both"/>
              <w:textAlignment w:val="center"/>
              <w:rPr>
                <w:rFonts w:hint="default" w:ascii="Times New Roman" w:hAnsi="Times New Roman" w:eastAsia="宋体" w:cs="Times New Roman"/>
                <w:b w:val="0"/>
                <w:bCs w:val="0"/>
                <w:color w:val="000000"/>
                <w:spacing w:val="0"/>
                <w:w w:val="100"/>
                <w:kern w:val="2"/>
                <w:position w:val="0"/>
                <w:sz w:val="21"/>
                <w:lang w:val="en-US" w:eastAsia="zh-CN" w:bidi="ar-SA"/>
              </w:rPr>
            </w:pPr>
            <w:r>
              <w:rPr>
                <w:rFonts w:hint="eastAsia" w:ascii="Times New Roman" w:hAnsi="Times New Roman" w:cs="Times New Roman"/>
                <w:sz w:val="21"/>
                <w:szCs w:val="21"/>
                <w:highlight w:val="none"/>
                <w:lang w:eastAsia="zh-CN"/>
              </w:rPr>
              <w:t>（</w:t>
            </w:r>
            <w:r>
              <w:rPr>
                <w:rFonts w:hint="eastAsia" w:ascii="Times New Roman" w:hAnsi="Times New Roman" w:cs="Times New Roman"/>
                <w:sz w:val="21"/>
                <w:szCs w:val="21"/>
                <w:highlight w:val="none"/>
                <w:lang w:val="en-US" w:eastAsia="zh-CN"/>
              </w:rPr>
              <w:t>2</w:t>
            </w:r>
            <w:r>
              <w:rPr>
                <w:rFonts w:hint="eastAsia" w:ascii="Times New Roman" w:hAnsi="Times New Roman" w:cs="Times New Roman"/>
                <w:sz w:val="21"/>
                <w:szCs w:val="21"/>
                <w:highlight w:val="none"/>
                <w:lang w:eastAsia="zh-CN"/>
              </w:rPr>
              <w:t>）</w:t>
            </w:r>
            <w:r>
              <w:rPr>
                <w:rFonts w:hint="default" w:ascii="Times New Roman" w:hAnsi="Times New Roman" w:cs="Times New Roman"/>
                <w:sz w:val="21"/>
                <w:szCs w:val="21"/>
                <w:highlight w:val="none"/>
                <w:lang w:eastAsia="zh-CN"/>
              </w:rPr>
              <w:t>托管费率：</w:t>
            </w:r>
            <w:r>
              <w:rPr>
                <w:rFonts w:hint="default" w:ascii="Times New Roman" w:hAnsi="Times New Roman" w:cs="Times New Roman"/>
                <w:sz w:val="21"/>
                <w:szCs w:val="21"/>
                <w:highlight w:val="none"/>
                <w:lang w:val="en-US" w:eastAsia="en-US"/>
              </w:rPr>
              <w:t>0.</w:t>
            </w:r>
            <w:r>
              <w:rPr>
                <w:rFonts w:hint="default" w:ascii="Times New Roman" w:hAnsi="Times New Roman" w:cs="Times New Roman"/>
                <w:sz w:val="21"/>
                <w:szCs w:val="21"/>
                <w:highlight w:val="none"/>
                <w:lang w:eastAsia="zh-CN"/>
              </w:rPr>
              <w:t>02%/年</w:t>
            </w:r>
            <w:r>
              <w:rPr>
                <w:rFonts w:hint="eastAsia" w:ascii="Times New Roman" w:hAnsi="Times New Roman" w:cs="Times New Roman"/>
                <w:sz w:val="21"/>
                <w:szCs w:val="21"/>
                <w:highlight w:val="none"/>
                <w:lang w:eastAsia="zh-CN"/>
              </w:rPr>
              <w:t>。</w:t>
            </w:r>
          </w:p>
        </w:tc>
      </w:tr>
    </w:tbl>
    <w:p>
      <w:pPr>
        <w:widowControl/>
        <w:spacing w:before="156" w:beforeLines="50" w:after="156" w:afterLines="50" w:line="360" w:lineRule="auto"/>
        <w:ind w:left="0" w:leftChars="0" w:firstLine="0" w:firstLineChars="0"/>
        <w:jc w:val="left"/>
        <w:rPr>
          <w:rFonts w:hint="default" w:ascii="Times New Roman" w:hAnsi="Times New Roman" w:cs="Times New Roman" w:eastAsiaTheme="minorEastAsia"/>
          <w:color w:val="000000"/>
          <w:sz w:val="24"/>
          <w:szCs w:val="24"/>
          <w:highlight w:val="none"/>
          <w:lang w:val="en-US" w:eastAsia="zh-CN"/>
        </w:rPr>
      </w:pPr>
      <w:r>
        <w:rPr>
          <w:rFonts w:hint="eastAsia" w:cs="Times New Roman" w:eastAsiaTheme="minorEastAsia"/>
          <w:color w:val="000000"/>
          <w:sz w:val="24"/>
          <w:szCs w:val="24"/>
          <w:highlight w:val="none"/>
          <w:lang w:val="en-US" w:eastAsia="zh-CN"/>
        </w:rPr>
        <w:t>6</w:t>
      </w:r>
      <w:r>
        <w:rPr>
          <w:rFonts w:hint="default" w:ascii="Times New Roman" w:hAnsi="Times New Roman" w:cs="Times New Roman" w:eastAsiaTheme="minorEastAsia"/>
          <w:color w:val="000000"/>
          <w:sz w:val="24"/>
          <w:szCs w:val="24"/>
          <w:highlight w:val="none"/>
          <w:lang w:val="en-US" w:eastAsia="zh-CN"/>
        </w:rPr>
        <w:t>、</w:t>
      </w:r>
      <w:r>
        <w:rPr>
          <w:rFonts w:hint="default" w:ascii="Times New Roman" w:hAnsi="Times New Roman" w:cs="Times New Roman"/>
          <w:sz w:val="24"/>
          <w:szCs w:val="24"/>
          <w:lang w:val="en-US" w:eastAsia="zh-CN"/>
        </w:rPr>
        <w:t>安顺1号</w:t>
      </w:r>
    </w:p>
    <w:tbl>
      <w:tblPr>
        <w:tblStyle w:val="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3"/>
        <w:gridCol w:w="61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产品名称</w:t>
            </w:r>
          </w:p>
        </w:tc>
        <w:tc>
          <w:tcPr>
            <w:tcW w:w="3636" w:type="pct"/>
            <w:vAlign w:val="center"/>
          </w:tcPr>
          <w:p>
            <w:pPr>
              <w:autoSpaceDE w:val="0"/>
              <w:autoSpaceDN w:val="0"/>
              <w:adjustRightInd w:val="0"/>
              <w:spacing w:line="276" w:lineRule="auto"/>
              <w:ind w:left="0" w:leftChars="0" w:firstLine="0" w:firstLineChars="0"/>
              <w:jc w:val="center"/>
              <w:rPr>
                <w:rFonts w:hint="eastAsia" w:eastAsiaTheme="minorEastAsia"/>
                <w:bCs/>
                <w:color w:val="000000"/>
                <w:kern w:val="0"/>
                <w:szCs w:val="21"/>
              </w:rPr>
            </w:pPr>
            <w:r>
              <w:rPr>
                <w:rFonts w:hint="eastAsia" w:eastAsiaTheme="minorEastAsia"/>
                <w:bCs/>
                <w:color w:val="000000"/>
                <w:kern w:val="0"/>
                <w:szCs w:val="21"/>
                <w:lang w:eastAsia="zh-CN"/>
              </w:rPr>
              <w:t>国融证券国融安顺</w:t>
            </w:r>
            <w:r>
              <w:rPr>
                <w:rFonts w:hint="eastAsia" w:eastAsiaTheme="minorEastAsia"/>
                <w:bCs/>
                <w:color w:val="000000"/>
                <w:kern w:val="0"/>
                <w:szCs w:val="21"/>
                <w:lang w:val="en-US" w:eastAsia="zh-CN"/>
              </w:rPr>
              <w:t>1号集合资产管理计划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bidi="ar"/>
              </w:rPr>
            </w:pPr>
            <w:r>
              <w:rPr>
                <w:rFonts w:hint="eastAsia" w:eastAsiaTheme="minorEastAsia"/>
                <w:b/>
                <w:color w:val="000000"/>
                <w:kern w:val="0"/>
                <w:szCs w:val="21"/>
                <w:lang w:eastAsia="zh-CN" w:bidi="ar"/>
              </w:rPr>
              <w:t>产品代码</w:t>
            </w:r>
          </w:p>
        </w:tc>
        <w:tc>
          <w:tcPr>
            <w:tcW w:w="3636" w:type="pct"/>
            <w:vAlign w:val="center"/>
          </w:tcPr>
          <w:p>
            <w:pPr>
              <w:autoSpaceDE w:val="0"/>
              <w:autoSpaceDN w:val="0"/>
              <w:adjustRightInd w:val="0"/>
              <w:spacing w:line="276" w:lineRule="auto"/>
              <w:ind w:left="0" w:leftChars="0" w:firstLine="0" w:firstLineChars="0"/>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SAT582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产品类型</w:t>
            </w:r>
          </w:p>
        </w:tc>
        <w:tc>
          <w:tcPr>
            <w:tcW w:w="3636" w:type="pct"/>
            <w:vAlign w:val="center"/>
          </w:tcPr>
          <w:p>
            <w:pPr>
              <w:autoSpaceDE w:val="0"/>
              <w:autoSpaceDN w:val="0"/>
              <w:adjustRightInd w:val="0"/>
              <w:spacing w:line="276" w:lineRule="auto"/>
              <w:ind w:left="0" w:leftChars="0" w:firstLine="0" w:firstLineChars="0"/>
              <w:jc w:val="center"/>
              <w:rPr>
                <w:rFonts w:hint="eastAsia" w:eastAsiaTheme="minorEastAsia"/>
                <w:bCs/>
                <w:color w:val="000000"/>
                <w:kern w:val="0"/>
                <w:szCs w:val="21"/>
                <w:lang w:eastAsia="zh-CN"/>
              </w:rPr>
            </w:pPr>
            <w:r>
              <w:rPr>
                <w:rFonts w:hint="eastAsia" w:eastAsiaTheme="minorEastAsia"/>
                <w:bCs/>
                <w:color w:val="000000"/>
                <w:kern w:val="0"/>
                <w:szCs w:val="21"/>
                <w:lang w:eastAsia="zh-CN"/>
              </w:rPr>
              <w:t>券商理财产品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rPr>
            </w:pPr>
            <w:r>
              <w:rPr>
                <w:rFonts w:hint="eastAsia" w:eastAsiaTheme="minorEastAsia"/>
                <w:b/>
                <w:color w:val="000000"/>
                <w:kern w:val="0"/>
                <w:szCs w:val="21"/>
                <w:lang w:eastAsia="zh-CN" w:bidi="ar"/>
              </w:rPr>
              <w:t>产品期限</w:t>
            </w:r>
          </w:p>
        </w:tc>
        <w:tc>
          <w:tcPr>
            <w:tcW w:w="3636" w:type="pct"/>
            <w:vAlign w:val="center"/>
          </w:tcPr>
          <w:p>
            <w:pPr>
              <w:widowControl/>
              <w:spacing w:line="276" w:lineRule="auto"/>
              <w:ind w:left="0" w:leftChars="0" w:firstLine="0" w:firstLineChars="0"/>
              <w:jc w:val="center"/>
              <w:textAlignment w:val="center"/>
              <w:rPr>
                <w:rFonts w:eastAsiaTheme="minorEastAsia"/>
                <w:bCs/>
                <w:color w:val="000000"/>
                <w:kern w:val="0"/>
                <w:szCs w:val="21"/>
                <w:highlight w:val="none"/>
              </w:rPr>
            </w:pPr>
            <w:r>
              <w:rPr>
                <w:rFonts w:hint="eastAsia" w:eastAsiaTheme="minorEastAsia"/>
                <w:color w:val="000000"/>
                <w:kern w:val="0"/>
                <w:szCs w:val="21"/>
                <w:highlight w:val="none"/>
                <w:lang w:val="en-US" w:eastAsia="zh-CN" w:bidi="ar"/>
              </w:rPr>
              <w:t>7</w:t>
            </w:r>
            <w:r>
              <w:rPr>
                <w:rFonts w:eastAsiaTheme="minorEastAsia"/>
                <w:color w:val="000000"/>
                <w:kern w:val="0"/>
                <w:szCs w:val="21"/>
                <w:highlight w:val="none"/>
                <w:lang w:bidi="ar"/>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本金（万元）</w:t>
            </w:r>
          </w:p>
        </w:tc>
        <w:tc>
          <w:tcPr>
            <w:tcW w:w="3636" w:type="pct"/>
            <w:vAlign w:val="center"/>
          </w:tcPr>
          <w:p>
            <w:pPr>
              <w:widowControl/>
              <w:spacing w:line="276" w:lineRule="auto"/>
              <w:jc w:val="center"/>
              <w:textAlignment w:val="center"/>
              <w:rPr>
                <w:rFonts w:hint="default" w:eastAsiaTheme="minorEastAsia"/>
                <w:bCs/>
                <w:color w:val="000000"/>
                <w:kern w:val="0"/>
                <w:szCs w:val="21"/>
                <w:highlight w:val="none"/>
                <w:lang w:val="en-US" w:eastAsia="zh-CN"/>
              </w:rPr>
            </w:pPr>
            <w:r>
              <w:rPr>
                <w:rFonts w:hint="eastAsia" w:eastAsiaTheme="minorEastAsia"/>
                <w:color w:val="000000"/>
                <w:kern w:val="0"/>
                <w:szCs w:val="21"/>
                <w:highlight w:val="none"/>
                <w:lang w:val="en-US" w:eastAsia="zh-CN" w:bidi="ar"/>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收益类型</w:t>
            </w:r>
          </w:p>
        </w:tc>
        <w:tc>
          <w:tcPr>
            <w:tcW w:w="3636" w:type="pct"/>
            <w:vAlign w:val="center"/>
          </w:tcPr>
          <w:p>
            <w:pPr>
              <w:widowControl/>
              <w:spacing w:line="276" w:lineRule="auto"/>
              <w:jc w:val="center"/>
              <w:textAlignment w:val="center"/>
              <w:rPr>
                <w:rFonts w:eastAsiaTheme="minorEastAsia"/>
                <w:bCs/>
                <w:color w:val="000000"/>
                <w:kern w:val="0"/>
                <w:szCs w:val="21"/>
                <w:highlight w:val="none"/>
              </w:rPr>
            </w:pPr>
            <w:r>
              <w:rPr>
                <w:rFonts w:hint="eastAsia" w:eastAsiaTheme="minorEastAsia"/>
                <w:color w:val="000000"/>
                <w:kern w:val="0"/>
                <w:szCs w:val="21"/>
                <w:highlight w:val="none"/>
                <w:lang w:eastAsia="zh-CN" w:bidi="ar"/>
              </w:rPr>
              <w:t>非</w:t>
            </w:r>
            <w:r>
              <w:rPr>
                <w:rFonts w:eastAsiaTheme="minorEastAsia"/>
                <w:color w:val="000000"/>
                <w:kern w:val="0"/>
                <w:szCs w:val="21"/>
                <w:highlight w:val="none"/>
                <w:lang w:bidi="ar"/>
              </w:rPr>
              <w:t>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产品起息日期</w:t>
            </w:r>
          </w:p>
        </w:tc>
        <w:tc>
          <w:tcPr>
            <w:tcW w:w="3636" w:type="pct"/>
            <w:vAlign w:val="center"/>
          </w:tcPr>
          <w:p>
            <w:pPr>
              <w:widowControl/>
              <w:spacing w:line="276" w:lineRule="auto"/>
              <w:jc w:val="center"/>
              <w:textAlignment w:val="center"/>
              <w:rPr>
                <w:rFonts w:eastAsiaTheme="minorEastAsia"/>
                <w:bCs/>
                <w:color w:val="000000"/>
                <w:kern w:val="0"/>
                <w:szCs w:val="21"/>
                <w:highlight w:val="none"/>
              </w:rPr>
            </w:pPr>
            <w:r>
              <w:rPr>
                <w:rFonts w:eastAsiaTheme="minorEastAsia"/>
                <w:color w:val="000000"/>
                <w:kern w:val="0"/>
                <w:szCs w:val="21"/>
                <w:highlight w:val="none"/>
                <w:lang w:bidi="ar"/>
              </w:rPr>
              <w:t>202</w:t>
            </w:r>
            <w:r>
              <w:rPr>
                <w:rFonts w:hint="eastAsia" w:eastAsiaTheme="minorEastAsia"/>
                <w:color w:val="000000"/>
                <w:kern w:val="0"/>
                <w:szCs w:val="21"/>
                <w:highlight w:val="none"/>
                <w:lang w:val="en-US" w:eastAsia="zh-CN" w:bidi="ar"/>
              </w:rPr>
              <w:t>2</w:t>
            </w:r>
            <w:r>
              <w:rPr>
                <w:rFonts w:eastAsiaTheme="minorEastAsia"/>
                <w:color w:val="000000"/>
                <w:kern w:val="0"/>
                <w:szCs w:val="21"/>
                <w:highlight w:val="none"/>
                <w:lang w:bidi="ar"/>
              </w:rPr>
              <w:t>年</w:t>
            </w:r>
            <w:r>
              <w:rPr>
                <w:rFonts w:hint="eastAsia" w:eastAsiaTheme="minorEastAsia"/>
                <w:color w:val="000000"/>
                <w:kern w:val="0"/>
                <w:szCs w:val="21"/>
                <w:highlight w:val="none"/>
                <w:lang w:val="en-US" w:eastAsia="zh-CN" w:bidi="ar"/>
              </w:rPr>
              <w:t>1</w:t>
            </w:r>
            <w:r>
              <w:rPr>
                <w:rFonts w:eastAsiaTheme="minorEastAsia"/>
                <w:color w:val="000000"/>
                <w:kern w:val="0"/>
                <w:szCs w:val="21"/>
                <w:highlight w:val="none"/>
                <w:lang w:bidi="ar"/>
              </w:rPr>
              <w:t>月</w:t>
            </w:r>
            <w:r>
              <w:rPr>
                <w:rFonts w:hint="eastAsia" w:eastAsiaTheme="minorEastAsia"/>
                <w:color w:val="000000"/>
                <w:kern w:val="0"/>
                <w:szCs w:val="21"/>
                <w:highlight w:val="none"/>
                <w:lang w:val="en-US" w:eastAsia="zh-CN" w:bidi="ar"/>
              </w:rPr>
              <w:t>12</w:t>
            </w:r>
            <w:r>
              <w:rPr>
                <w:rFonts w:eastAsiaTheme="minorEastAsia"/>
                <w:color w:val="000000"/>
                <w:kern w:val="0"/>
                <w:szCs w:val="21"/>
                <w:highlight w:val="none"/>
                <w:lang w:bidi="ar"/>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rPr>
            </w:pPr>
            <w:r>
              <w:rPr>
                <w:rFonts w:hint="eastAsia" w:eastAsiaTheme="minorEastAsia"/>
                <w:b/>
                <w:color w:val="000000"/>
                <w:kern w:val="0"/>
                <w:szCs w:val="21"/>
                <w:lang w:val="en-US" w:eastAsia="zh-CN"/>
              </w:rPr>
              <w:t>首个滚存到期日</w:t>
            </w:r>
          </w:p>
        </w:tc>
        <w:tc>
          <w:tcPr>
            <w:tcW w:w="3636" w:type="pct"/>
            <w:vAlign w:val="center"/>
          </w:tcPr>
          <w:p>
            <w:pPr>
              <w:widowControl/>
              <w:spacing w:line="276" w:lineRule="auto"/>
              <w:jc w:val="center"/>
              <w:textAlignment w:val="center"/>
              <w:rPr>
                <w:rFonts w:eastAsiaTheme="minorEastAsia"/>
                <w:bCs/>
                <w:color w:val="000000"/>
                <w:kern w:val="0"/>
                <w:szCs w:val="21"/>
                <w:highlight w:val="none"/>
              </w:rPr>
            </w:pPr>
            <w:r>
              <w:rPr>
                <w:rFonts w:eastAsiaTheme="minorEastAsia"/>
                <w:color w:val="000000"/>
                <w:kern w:val="0"/>
                <w:szCs w:val="21"/>
                <w:highlight w:val="none"/>
                <w:lang w:bidi="ar"/>
              </w:rPr>
              <w:t>202</w:t>
            </w:r>
            <w:r>
              <w:rPr>
                <w:rFonts w:hint="eastAsia" w:eastAsiaTheme="minorEastAsia"/>
                <w:color w:val="000000"/>
                <w:kern w:val="0"/>
                <w:szCs w:val="21"/>
                <w:highlight w:val="none"/>
                <w:lang w:val="en-US" w:eastAsia="zh-CN" w:bidi="ar"/>
              </w:rPr>
              <w:t>2</w:t>
            </w:r>
            <w:r>
              <w:rPr>
                <w:rFonts w:eastAsiaTheme="minorEastAsia"/>
                <w:color w:val="000000"/>
                <w:kern w:val="0"/>
                <w:szCs w:val="21"/>
                <w:highlight w:val="none"/>
                <w:lang w:bidi="ar"/>
              </w:rPr>
              <w:t>年</w:t>
            </w:r>
            <w:r>
              <w:rPr>
                <w:rFonts w:hint="eastAsia" w:eastAsiaTheme="minorEastAsia"/>
                <w:color w:val="000000"/>
                <w:kern w:val="0"/>
                <w:szCs w:val="21"/>
                <w:highlight w:val="none"/>
                <w:lang w:val="en-US" w:eastAsia="zh-CN" w:bidi="ar"/>
              </w:rPr>
              <w:t>1</w:t>
            </w:r>
            <w:r>
              <w:rPr>
                <w:rFonts w:eastAsiaTheme="minorEastAsia"/>
                <w:color w:val="000000"/>
                <w:kern w:val="0"/>
                <w:szCs w:val="21"/>
                <w:highlight w:val="none"/>
                <w:lang w:bidi="ar"/>
              </w:rPr>
              <w:t>月</w:t>
            </w:r>
            <w:r>
              <w:rPr>
                <w:rFonts w:hint="eastAsia" w:eastAsiaTheme="minorEastAsia"/>
                <w:color w:val="000000"/>
                <w:kern w:val="0"/>
                <w:szCs w:val="21"/>
                <w:highlight w:val="none"/>
                <w:lang w:val="en-US" w:eastAsia="zh-CN" w:bidi="ar"/>
              </w:rPr>
              <w:t>19</w:t>
            </w:r>
            <w:r>
              <w:rPr>
                <w:rFonts w:eastAsiaTheme="minorEastAsia"/>
                <w:color w:val="000000"/>
                <w:kern w:val="0"/>
                <w:szCs w:val="21"/>
                <w:highlight w:val="none"/>
                <w:lang w:bidi="ar"/>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highlight w:val="none"/>
              </w:rPr>
            </w:pPr>
            <w:r>
              <w:rPr>
                <w:rFonts w:hint="eastAsia" w:eastAsiaTheme="minorEastAsia"/>
                <w:b/>
                <w:color w:val="000000"/>
                <w:kern w:val="0"/>
                <w:szCs w:val="21"/>
                <w:lang w:eastAsia="zh-CN"/>
              </w:rPr>
              <w:t>产品预期年化收益率</w:t>
            </w:r>
          </w:p>
        </w:tc>
        <w:tc>
          <w:tcPr>
            <w:tcW w:w="3636" w:type="pct"/>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cs="Times New Roman"/>
                <w:color w:val="000000"/>
                <w:sz w:val="21"/>
                <w:szCs w:val="21"/>
                <w:highlight w:val="none"/>
                <w:vertAlign w:val="baseline"/>
                <w:lang w:val="en-US" w:eastAsia="zh-CN"/>
              </w:rPr>
              <w:t>净值型（</w:t>
            </w:r>
            <w:r>
              <w:rPr>
                <w:rFonts w:hint="eastAsia" w:eastAsiaTheme="minorEastAsia"/>
                <w:bCs/>
                <w:color w:val="000000"/>
                <w:kern w:val="0"/>
                <w:szCs w:val="21"/>
                <w:highlight w:val="none"/>
                <w:lang w:val="en-US" w:eastAsia="zh-CN"/>
              </w:rPr>
              <w:t>本集合资产管理计划为净值型产品，其业绩表现将随市场波动。本资产管理计划业绩计提标准为4.5%/年）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bidi="ar"/>
              </w:rPr>
            </w:pPr>
            <w:r>
              <w:rPr>
                <w:rFonts w:hint="eastAsia" w:eastAsiaTheme="minorEastAsia"/>
                <w:b/>
                <w:color w:val="000000"/>
                <w:kern w:val="0"/>
                <w:szCs w:val="21"/>
                <w:lang w:eastAsia="zh-CN"/>
              </w:rPr>
              <w:t>开放期</w:t>
            </w:r>
          </w:p>
        </w:tc>
        <w:tc>
          <w:tcPr>
            <w:tcW w:w="3636" w:type="pct"/>
            <w:vAlign w:val="center"/>
          </w:tcPr>
          <w:p>
            <w:pPr>
              <w:widowControl/>
              <w:spacing w:line="276" w:lineRule="auto"/>
              <w:ind w:firstLine="420" w:firstLineChars="200"/>
              <w:jc w:val="left"/>
              <w:textAlignment w:val="center"/>
              <w:rPr>
                <w:rFonts w:hint="default" w:ascii="Times New Roman" w:hAnsi="Times New Roman" w:cs="Times New Roman"/>
                <w:sz w:val="21"/>
                <w:szCs w:val="21"/>
                <w:highlight w:val="yellow"/>
                <w:lang w:eastAsia="zh-CN"/>
              </w:rPr>
            </w:pPr>
            <w:r>
              <w:rPr>
                <w:color w:val="000000"/>
                <w:spacing w:val="0"/>
                <w:w w:val="100"/>
                <w:position w:val="0"/>
              </w:rPr>
              <w:t>本集合计划采用定期开放，每周三开放一次，如果周三为节假日，则顺延至下一周周三。因展期、合同的补充、修改或者变更需要，管理人</w:t>
            </w:r>
            <w:r>
              <w:rPr>
                <w:color w:val="000000"/>
                <w:spacing w:val="0"/>
                <w:w w:val="100"/>
                <w:position w:val="0"/>
                <w:highlight w:val="none"/>
              </w:rPr>
              <w:t>有权设置临时开放期并予以公告</w:t>
            </w:r>
            <w:r>
              <w:rPr>
                <w:color w:val="000000"/>
                <w:spacing w:val="0"/>
                <w:w w:val="100"/>
                <w:position w:val="0"/>
              </w:rPr>
              <w:t>生效。临时开放期只接受投资者的退出申请。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bidi="ar"/>
              </w:rPr>
            </w:pPr>
            <w:r>
              <w:rPr>
                <w:rFonts w:hint="eastAsia" w:eastAsiaTheme="minorEastAsia"/>
                <w:b/>
                <w:color w:val="000000"/>
                <w:kern w:val="0"/>
                <w:szCs w:val="21"/>
                <w:lang w:eastAsia="zh-CN" w:bidi="ar"/>
              </w:rPr>
              <w:t>资金投向</w:t>
            </w:r>
          </w:p>
        </w:tc>
        <w:tc>
          <w:tcPr>
            <w:tcW w:w="3636" w:type="pct"/>
            <w:vAlign w:val="center"/>
          </w:tcPr>
          <w:p>
            <w:pPr>
              <w:widowControl/>
              <w:spacing w:line="276" w:lineRule="auto"/>
              <w:ind w:firstLine="420" w:firstLineChars="200"/>
              <w:jc w:val="left"/>
              <w:textAlignment w:val="center"/>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eastAsia="zh-CN"/>
              </w:rPr>
              <w:t>本集合计划将主要投资于债券、公开募集的基金及现金类资产等以及法律法规或中国证监会认可的其他投资品种。其中投资于存款、债券等债权类资产的比例不低于80%,具体为：</w:t>
            </w:r>
          </w:p>
          <w:p>
            <w:pPr>
              <w:widowControl/>
              <w:spacing w:line="276" w:lineRule="auto"/>
              <w:ind w:firstLine="420" w:firstLineChars="200"/>
              <w:jc w:val="left"/>
              <w:textAlignment w:val="center"/>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eastAsia="zh-CN"/>
              </w:rPr>
              <w:t>固定收益类：现金、货币市场基金、银行存款、债券回购、在银行间市场和交易所市场交易的国债、央行票据、各类金融债（含政策性金融债、次级债、混合资本债、二级资本债、证券公司债、证券公司次级债券、非银行金融机构债等）、方政府债、企业债、公司债（包括在证券交易所及机构间私募产品报价与服务系统发行的非公开发行公司债等）、项目收益债、可转换债券、可交换债券、可分离交易债券、短期融资券、超短期融资券、中期票据、资产支持证券优先级（底层资产非产品）、永续债、同业存单以及非公开定向债务融资工具（PPN）等，该类资产的投资比例为集合计划总资产的80-100%；</w:t>
            </w:r>
          </w:p>
          <w:p>
            <w:pPr>
              <w:widowControl/>
              <w:spacing w:line="276" w:lineRule="auto"/>
              <w:ind w:firstLine="420" w:firstLineChars="200"/>
              <w:jc w:val="left"/>
              <w:textAlignment w:val="center"/>
              <w:rPr>
                <w:rFonts w:hint="default" w:ascii="Times New Roman" w:hAnsi="Times New Roman" w:cs="Times New Roman"/>
                <w:sz w:val="21"/>
                <w:szCs w:val="21"/>
                <w:highlight w:val="yellow"/>
                <w:lang w:eastAsia="zh-CN"/>
              </w:rPr>
            </w:pPr>
            <w:r>
              <w:rPr>
                <w:rFonts w:hint="default" w:ascii="Times New Roman" w:hAnsi="Times New Roman" w:cs="Times New Roman"/>
                <w:sz w:val="21"/>
                <w:szCs w:val="21"/>
                <w:highlight w:val="none"/>
                <w:lang w:eastAsia="zh-CN"/>
              </w:rPr>
              <w:t>其他类产品：公募基金等，该类资产的投资比例为集合计划总资产的0-20%（不含）固定收益类按照该资产的市值占整个资产管理计划总值的比例来计算。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63" w:type="pct"/>
            <w:vAlign w:val="center"/>
          </w:tcPr>
          <w:p>
            <w:pPr>
              <w:widowControl/>
              <w:spacing w:line="276" w:lineRule="auto"/>
              <w:jc w:val="center"/>
              <w:textAlignment w:val="center"/>
              <w:rPr>
                <w:rFonts w:hint="eastAsia" w:ascii="Times New Roman" w:hAnsi="Times New Roman" w:cs="Times New Roman" w:eastAsiaTheme="minorEastAsia"/>
                <w:b/>
                <w:color w:val="000000"/>
                <w:kern w:val="0"/>
                <w:sz w:val="21"/>
                <w:szCs w:val="21"/>
                <w:lang w:val="en-US" w:eastAsia="zh-CN" w:bidi="ar"/>
              </w:rPr>
            </w:pPr>
            <w:r>
              <w:rPr>
                <w:rFonts w:hint="eastAsia" w:eastAsiaTheme="minorEastAsia"/>
                <w:b/>
                <w:color w:val="000000"/>
                <w:kern w:val="0"/>
                <w:szCs w:val="21"/>
                <w:lang w:eastAsia="zh-CN" w:bidi="ar"/>
              </w:rPr>
              <w:t>产品费用</w:t>
            </w:r>
          </w:p>
        </w:tc>
        <w:tc>
          <w:tcPr>
            <w:tcW w:w="3636" w:type="pct"/>
            <w:vAlign w:val="center"/>
          </w:tcPr>
          <w:p>
            <w:pPr>
              <w:widowControl/>
              <w:spacing w:line="276" w:lineRule="auto"/>
              <w:jc w:val="both"/>
              <w:textAlignment w:val="center"/>
              <w:rPr>
                <w:rFonts w:hint="default" w:ascii="Times New Roman" w:hAnsi="Times New Roman" w:cs="Times New Roman"/>
                <w:sz w:val="21"/>
                <w:szCs w:val="21"/>
                <w:highlight w:val="none"/>
                <w:lang w:eastAsia="zh-CN"/>
              </w:rPr>
            </w:pPr>
            <w:r>
              <w:rPr>
                <w:rFonts w:hint="eastAsia" w:ascii="Times New Roman" w:hAnsi="Times New Roman" w:cs="Times New Roman"/>
                <w:sz w:val="21"/>
                <w:szCs w:val="21"/>
                <w:highlight w:val="none"/>
                <w:lang w:eastAsia="zh-CN"/>
              </w:rPr>
              <w:t>（</w:t>
            </w:r>
            <w:r>
              <w:rPr>
                <w:rFonts w:hint="eastAsia" w:ascii="Times New Roman" w:hAnsi="Times New Roman" w:cs="Times New Roman"/>
                <w:sz w:val="21"/>
                <w:szCs w:val="21"/>
                <w:highlight w:val="none"/>
                <w:lang w:val="en-US" w:eastAsia="zh-CN"/>
              </w:rPr>
              <w:t>1</w:t>
            </w:r>
            <w:r>
              <w:rPr>
                <w:rFonts w:hint="eastAsia" w:ascii="Times New Roman" w:hAnsi="Times New Roman" w:cs="Times New Roman"/>
                <w:sz w:val="21"/>
                <w:szCs w:val="21"/>
                <w:highlight w:val="none"/>
                <w:lang w:eastAsia="zh-CN"/>
              </w:rPr>
              <w:t>）</w:t>
            </w:r>
            <w:r>
              <w:rPr>
                <w:rFonts w:hint="default" w:ascii="Times New Roman" w:hAnsi="Times New Roman" w:cs="Times New Roman"/>
                <w:sz w:val="21"/>
                <w:szCs w:val="21"/>
                <w:highlight w:val="none"/>
                <w:lang w:eastAsia="zh-CN"/>
              </w:rPr>
              <w:t>固定管理费率为0.80%/年</w:t>
            </w:r>
            <w:r>
              <w:rPr>
                <w:rFonts w:hint="eastAsia" w:cs="Times New Roman"/>
                <w:sz w:val="21"/>
                <w:szCs w:val="21"/>
                <w:highlight w:val="none"/>
                <w:lang w:eastAsia="zh-CN"/>
              </w:rPr>
              <w:t>；</w:t>
            </w:r>
          </w:p>
          <w:p>
            <w:pPr>
              <w:widowControl/>
              <w:spacing w:line="276" w:lineRule="auto"/>
              <w:jc w:val="both"/>
              <w:textAlignment w:val="center"/>
              <w:rPr>
                <w:rFonts w:hint="default" w:ascii="Times New Roman" w:hAnsi="Times New Roman" w:eastAsia="宋体" w:cs="Times New Roman"/>
                <w:b w:val="0"/>
                <w:bCs w:val="0"/>
                <w:color w:val="000000"/>
                <w:spacing w:val="0"/>
                <w:w w:val="100"/>
                <w:kern w:val="2"/>
                <w:position w:val="0"/>
                <w:sz w:val="21"/>
                <w:lang w:val="en-US" w:eastAsia="zh-CN" w:bidi="ar-SA"/>
              </w:rPr>
            </w:pPr>
            <w:r>
              <w:rPr>
                <w:rFonts w:hint="eastAsia" w:ascii="Times New Roman" w:hAnsi="Times New Roman" w:cs="Times New Roman"/>
                <w:sz w:val="21"/>
                <w:szCs w:val="21"/>
                <w:highlight w:val="none"/>
                <w:lang w:eastAsia="zh-CN"/>
              </w:rPr>
              <w:t>（</w:t>
            </w:r>
            <w:r>
              <w:rPr>
                <w:rFonts w:hint="eastAsia" w:ascii="Times New Roman" w:hAnsi="Times New Roman" w:cs="Times New Roman"/>
                <w:sz w:val="21"/>
                <w:szCs w:val="21"/>
                <w:highlight w:val="none"/>
                <w:lang w:val="en-US" w:eastAsia="zh-CN"/>
              </w:rPr>
              <w:t>2</w:t>
            </w:r>
            <w:r>
              <w:rPr>
                <w:rFonts w:hint="eastAsia" w:ascii="Times New Roman" w:hAnsi="Times New Roman" w:cs="Times New Roman"/>
                <w:sz w:val="21"/>
                <w:szCs w:val="21"/>
                <w:highlight w:val="none"/>
                <w:lang w:eastAsia="zh-CN"/>
              </w:rPr>
              <w:t>）</w:t>
            </w:r>
            <w:r>
              <w:rPr>
                <w:rFonts w:hint="default" w:ascii="Times New Roman" w:hAnsi="Times New Roman" w:cs="Times New Roman"/>
                <w:sz w:val="21"/>
                <w:szCs w:val="21"/>
                <w:highlight w:val="none"/>
                <w:lang w:eastAsia="zh-CN"/>
              </w:rPr>
              <w:t>托管费率：</w:t>
            </w:r>
            <w:r>
              <w:rPr>
                <w:rFonts w:hint="default" w:ascii="Times New Roman" w:hAnsi="Times New Roman" w:cs="Times New Roman"/>
                <w:sz w:val="21"/>
                <w:szCs w:val="21"/>
                <w:highlight w:val="none"/>
                <w:lang w:val="en-US" w:eastAsia="en-US"/>
              </w:rPr>
              <w:t>0.</w:t>
            </w:r>
            <w:r>
              <w:rPr>
                <w:rFonts w:hint="default" w:ascii="Times New Roman" w:hAnsi="Times New Roman" w:cs="Times New Roman"/>
                <w:sz w:val="21"/>
                <w:szCs w:val="21"/>
                <w:highlight w:val="none"/>
                <w:lang w:eastAsia="zh-CN"/>
              </w:rPr>
              <w:t>02%/年</w:t>
            </w:r>
            <w:r>
              <w:rPr>
                <w:rFonts w:hint="eastAsia" w:ascii="Times New Roman" w:hAnsi="Times New Roman" w:cs="Times New Roman"/>
                <w:sz w:val="21"/>
                <w:szCs w:val="21"/>
                <w:highlight w:val="none"/>
                <w:lang w:eastAsia="zh-CN"/>
              </w:rPr>
              <w:t>。</w:t>
            </w:r>
          </w:p>
        </w:tc>
      </w:tr>
    </w:tbl>
    <w:p>
      <w:pPr>
        <w:widowControl/>
        <w:shd w:val="clear"/>
        <w:spacing w:before="156" w:beforeLines="50" w:after="156" w:afterLines="50" w:line="360" w:lineRule="auto"/>
        <w:ind w:left="0" w:leftChars="0" w:firstLine="0" w:firstLineChars="0"/>
        <w:jc w:val="left"/>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7、交银日开2号</w:t>
      </w:r>
    </w:p>
    <w:tbl>
      <w:tblPr>
        <w:tblStyle w:val="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3"/>
        <w:gridCol w:w="62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22"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产品名称</w:t>
            </w:r>
          </w:p>
        </w:tc>
        <w:tc>
          <w:tcPr>
            <w:tcW w:w="3677" w:type="pct"/>
            <w:vAlign w:val="center"/>
          </w:tcPr>
          <w:p>
            <w:pPr>
              <w:autoSpaceDE w:val="0"/>
              <w:autoSpaceDN w:val="0"/>
              <w:adjustRightInd w:val="0"/>
              <w:spacing w:line="276" w:lineRule="auto"/>
              <w:jc w:val="center"/>
              <w:rPr>
                <w:rFonts w:eastAsiaTheme="minorEastAsia"/>
                <w:bCs/>
                <w:color w:val="000000"/>
                <w:kern w:val="0"/>
                <w:szCs w:val="21"/>
              </w:rPr>
            </w:pPr>
            <w:r>
              <w:rPr>
                <w:rFonts w:hint="eastAsia" w:eastAsiaTheme="minorEastAsia"/>
                <w:bCs/>
                <w:color w:val="000000"/>
                <w:kern w:val="0"/>
                <w:szCs w:val="21"/>
              </w:rPr>
              <w:t>交银理财稳享固收增强日开2号（30天持有期）理财产品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2" w:type="pct"/>
            <w:vAlign w:val="center"/>
          </w:tcPr>
          <w:p>
            <w:pPr>
              <w:autoSpaceDE w:val="0"/>
              <w:autoSpaceDN w:val="0"/>
              <w:adjustRightInd w:val="0"/>
              <w:spacing w:line="276" w:lineRule="auto"/>
              <w:jc w:val="center"/>
              <w:rPr>
                <w:rFonts w:hint="default" w:eastAsiaTheme="minorEastAsia"/>
                <w:b/>
                <w:color w:val="000000"/>
                <w:kern w:val="0"/>
                <w:szCs w:val="21"/>
                <w:lang w:val="en-US" w:eastAsia="zh-CN"/>
              </w:rPr>
            </w:pPr>
            <w:r>
              <w:rPr>
                <w:rFonts w:hint="eastAsia" w:eastAsiaTheme="minorEastAsia"/>
                <w:b/>
                <w:color w:val="000000"/>
                <w:kern w:val="0"/>
                <w:szCs w:val="21"/>
                <w:lang w:val="en-US" w:eastAsia="zh-CN"/>
              </w:rPr>
              <w:t>登记编码</w:t>
            </w:r>
          </w:p>
        </w:tc>
        <w:tc>
          <w:tcPr>
            <w:tcW w:w="3677"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Z7000921000088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2"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产品代码</w:t>
            </w:r>
          </w:p>
        </w:tc>
        <w:tc>
          <w:tcPr>
            <w:tcW w:w="3677"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5811221081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322"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产品类型</w:t>
            </w:r>
          </w:p>
        </w:tc>
        <w:tc>
          <w:tcPr>
            <w:tcW w:w="3677" w:type="pct"/>
            <w:vAlign w:val="center"/>
          </w:tcPr>
          <w:p>
            <w:pPr>
              <w:autoSpaceDE w:val="0"/>
              <w:autoSpaceDN w:val="0"/>
              <w:adjustRightInd w:val="0"/>
              <w:spacing w:line="276" w:lineRule="auto"/>
              <w:jc w:val="center"/>
              <w:rPr>
                <w:rFonts w:eastAsiaTheme="minorEastAsia"/>
                <w:bCs/>
                <w:color w:val="000000"/>
                <w:kern w:val="0"/>
                <w:szCs w:val="21"/>
              </w:rPr>
            </w:pPr>
            <w:r>
              <w:rPr>
                <w:rFonts w:eastAsiaTheme="minorEastAsia"/>
                <w:bCs/>
                <w:color w:val="000000"/>
                <w:kern w:val="0"/>
                <w:szCs w:val="21"/>
              </w:rPr>
              <w:t>银行理财产品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22"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产品期限</w:t>
            </w:r>
          </w:p>
        </w:tc>
        <w:tc>
          <w:tcPr>
            <w:tcW w:w="3677"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无固定期限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2"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本金（万元）</w:t>
            </w:r>
          </w:p>
        </w:tc>
        <w:tc>
          <w:tcPr>
            <w:tcW w:w="3677"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2"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收益类型</w:t>
            </w:r>
          </w:p>
        </w:tc>
        <w:tc>
          <w:tcPr>
            <w:tcW w:w="3677" w:type="pct"/>
            <w:vAlign w:val="center"/>
          </w:tcPr>
          <w:p>
            <w:pPr>
              <w:autoSpaceDE w:val="0"/>
              <w:autoSpaceDN w:val="0"/>
              <w:adjustRightInd w:val="0"/>
              <w:spacing w:line="276" w:lineRule="auto"/>
              <w:jc w:val="center"/>
              <w:rPr>
                <w:rFonts w:eastAsiaTheme="minorEastAsia"/>
                <w:bCs/>
                <w:color w:val="000000"/>
                <w:kern w:val="0"/>
                <w:szCs w:val="21"/>
              </w:rPr>
            </w:pPr>
            <w:r>
              <w:rPr>
                <w:rFonts w:eastAsiaTheme="minorEastAsia"/>
                <w:bCs/>
                <w:color w:val="000000"/>
                <w:kern w:val="0"/>
                <w:szCs w:val="21"/>
              </w:rPr>
              <w:t>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2"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产品起息日期</w:t>
            </w:r>
          </w:p>
        </w:tc>
        <w:tc>
          <w:tcPr>
            <w:tcW w:w="3677" w:type="pct"/>
            <w:vAlign w:val="center"/>
          </w:tcPr>
          <w:p>
            <w:pPr>
              <w:autoSpaceDE w:val="0"/>
              <w:autoSpaceDN w:val="0"/>
              <w:adjustRightInd w:val="0"/>
              <w:spacing w:line="276" w:lineRule="auto"/>
              <w:jc w:val="center"/>
              <w:rPr>
                <w:rFonts w:hint="default"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2022年1月17日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2" w:type="pct"/>
            <w:vAlign w:val="center"/>
          </w:tcPr>
          <w:p>
            <w:pPr>
              <w:autoSpaceDE w:val="0"/>
              <w:autoSpaceDN w:val="0"/>
              <w:adjustRightInd w:val="0"/>
              <w:spacing w:line="276" w:lineRule="auto"/>
              <w:jc w:val="center"/>
              <w:rPr>
                <w:rFonts w:hint="eastAsia" w:eastAsiaTheme="minorEastAsia"/>
                <w:b/>
                <w:color w:val="000000"/>
                <w:kern w:val="0"/>
                <w:szCs w:val="21"/>
                <w:lang w:val="en-US" w:eastAsia="zh-CN"/>
              </w:rPr>
            </w:pPr>
            <w:r>
              <w:rPr>
                <w:rFonts w:hint="eastAsia" w:eastAsiaTheme="minorEastAsia"/>
                <w:b/>
                <w:color w:val="000000"/>
                <w:kern w:val="0"/>
                <w:szCs w:val="21"/>
                <w:lang w:val="en-US" w:eastAsia="zh-CN"/>
              </w:rPr>
              <w:t>产品封闭期截止日</w:t>
            </w:r>
          </w:p>
        </w:tc>
        <w:tc>
          <w:tcPr>
            <w:tcW w:w="3677" w:type="pct"/>
            <w:vAlign w:val="center"/>
          </w:tcPr>
          <w:p>
            <w:pPr>
              <w:autoSpaceDE w:val="0"/>
              <w:autoSpaceDN w:val="0"/>
              <w:adjustRightInd w:val="0"/>
              <w:spacing w:line="276" w:lineRule="auto"/>
              <w:jc w:val="center"/>
              <w:rPr>
                <w:rFonts w:hint="default"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2022年2月15日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2"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产品预期年化收益率</w:t>
            </w:r>
          </w:p>
        </w:tc>
        <w:tc>
          <w:tcPr>
            <w:tcW w:w="3677" w:type="pct"/>
            <w:vAlign w:val="center"/>
          </w:tcPr>
          <w:p>
            <w:pPr>
              <w:keepNext w:val="0"/>
              <w:keepLines w:val="0"/>
              <w:widowControl/>
              <w:suppressLineNumbers w:val="0"/>
              <w:jc w:val="center"/>
              <w:rPr>
                <w:rFonts w:hint="default" w:eastAsiaTheme="minorEastAsia"/>
                <w:bCs/>
                <w:color w:val="000000"/>
                <w:kern w:val="0"/>
                <w:szCs w:val="21"/>
                <w:lang w:val="en-US" w:eastAsia="zh-CN"/>
              </w:rPr>
            </w:pPr>
            <w:r>
              <w:rPr>
                <w:rFonts w:hint="eastAsia" w:eastAsiaTheme="minorEastAsia"/>
                <w:bCs/>
                <w:color w:val="000000"/>
                <w:kern w:val="0"/>
                <w:szCs w:val="21"/>
                <w:highlight w:val="none"/>
                <w:lang w:val="en-US" w:eastAsia="zh-CN"/>
              </w:rPr>
              <w:t>净值型（业绩比较基准3.40%）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2"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资金投向</w:t>
            </w:r>
          </w:p>
        </w:tc>
        <w:tc>
          <w:tcPr>
            <w:tcW w:w="3677" w:type="pct"/>
            <w:vAlign w:val="center"/>
          </w:tcPr>
          <w:p>
            <w:pPr>
              <w:keepNext w:val="0"/>
              <w:keepLines w:val="0"/>
              <w:pageBreakBefore w:val="0"/>
              <w:widowControl w:val="0"/>
              <w:kinsoku/>
              <w:wordWrap/>
              <w:overflowPunct/>
              <w:topLinePunct w:val="0"/>
              <w:autoSpaceDE w:val="0"/>
              <w:autoSpaceDN w:val="0"/>
              <w:bidi w:val="0"/>
              <w:adjustRightInd w:val="0"/>
              <w:snapToGrid/>
              <w:spacing w:line="276" w:lineRule="auto"/>
              <w:jc w:val="left"/>
              <w:textAlignment w:val="auto"/>
              <w:rPr>
                <w:rFonts w:hint="eastAsia" w:eastAsiaTheme="minorEastAsia"/>
                <w:bCs/>
                <w:color w:val="000000"/>
                <w:kern w:val="0"/>
                <w:szCs w:val="21"/>
                <w:lang w:val="en-US" w:eastAsia="zh-CN"/>
              </w:rPr>
            </w:pPr>
            <w:r>
              <w:rPr>
                <w:rFonts w:hint="eastAsia" w:eastAsiaTheme="minorEastAsia"/>
                <w:bCs/>
                <w:color w:val="000000"/>
                <w:kern w:val="0"/>
                <w:szCs w:val="21"/>
                <w:lang w:val="en-US" w:eastAsia="zh-CN"/>
              </w:rPr>
              <w:t>本产品投资于符合监管要求的资产，主要投资范围包括但不限于（以下比</w:t>
            </w:r>
            <w:r>
              <w:rPr>
                <w:rFonts w:hint="default" w:eastAsiaTheme="minorEastAsia"/>
                <w:bCs/>
                <w:color w:val="000000"/>
                <w:kern w:val="0"/>
                <w:szCs w:val="21"/>
                <w:lang w:val="en-US" w:eastAsia="zh-CN"/>
              </w:rPr>
              <w:t>例若无特别说明，均包含本数）：</w:t>
            </w:r>
          </w:p>
          <w:p>
            <w:pPr>
              <w:keepNext w:val="0"/>
              <w:keepLines w:val="0"/>
              <w:pageBreakBefore w:val="0"/>
              <w:widowControl w:val="0"/>
              <w:kinsoku/>
              <w:wordWrap/>
              <w:overflowPunct/>
              <w:topLinePunct w:val="0"/>
              <w:autoSpaceDE w:val="0"/>
              <w:autoSpaceDN w:val="0"/>
              <w:bidi w:val="0"/>
              <w:adjustRightInd w:val="0"/>
              <w:snapToGrid/>
              <w:spacing w:line="276" w:lineRule="auto"/>
              <w:ind w:firstLine="420" w:firstLineChars="200"/>
              <w:jc w:val="left"/>
              <w:textAlignment w:val="auto"/>
              <w:rPr>
                <w:rFonts w:hint="eastAsia" w:eastAsiaTheme="minorEastAsia"/>
                <w:bCs/>
                <w:color w:val="000000"/>
                <w:kern w:val="0"/>
                <w:szCs w:val="21"/>
                <w:lang w:val="en-US" w:eastAsia="zh-CN"/>
              </w:rPr>
            </w:pPr>
            <w:r>
              <w:rPr>
                <w:rFonts w:hint="default" w:eastAsiaTheme="minorEastAsia"/>
                <w:bCs/>
                <w:color w:val="000000"/>
                <w:kern w:val="0"/>
                <w:szCs w:val="21"/>
                <w:lang w:val="en-US" w:eastAsia="zh-CN"/>
              </w:rPr>
              <w:t>直接或通过资产管理产品投资债权类资产，包括但不限于银行存款、同业存款、债券回购等货币市场工具；同业存单、国债、政策性金融债、地方政府债、短期融资券、超短期融资券、中期票据（包括永续中票）、企业债、公司债（包含可续期公司债）、非公开定向债务融资工具、资产支持证券、次级债（包括二级资本债）、可转换公司债券和可交换公司债券等银行间市场、证券交易所市场及经国务院同意设立的其他交易市场的债券及债务融资工具；境外发行的货币市场工具、债券、资产支持证券、票据；境内外发行的货币型公募证券投资基金、债券型公募证券投资基金等。以上债权类资产占产品资产总值的投资比例为80%-100%；</w:t>
            </w:r>
          </w:p>
          <w:p>
            <w:pPr>
              <w:keepNext w:val="0"/>
              <w:keepLines w:val="0"/>
              <w:pageBreakBefore w:val="0"/>
              <w:widowControl w:val="0"/>
              <w:kinsoku/>
              <w:wordWrap/>
              <w:overflowPunct/>
              <w:topLinePunct w:val="0"/>
              <w:autoSpaceDE w:val="0"/>
              <w:autoSpaceDN w:val="0"/>
              <w:bidi w:val="0"/>
              <w:adjustRightInd w:val="0"/>
              <w:snapToGrid/>
              <w:spacing w:line="276" w:lineRule="auto"/>
              <w:ind w:firstLine="420" w:firstLineChars="200"/>
              <w:jc w:val="left"/>
              <w:textAlignment w:val="auto"/>
              <w:rPr>
                <w:rFonts w:eastAsiaTheme="minorEastAsia"/>
                <w:bCs/>
                <w:color w:val="000000"/>
                <w:kern w:val="0"/>
                <w:szCs w:val="21"/>
              </w:rPr>
            </w:pPr>
            <w:r>
              <w:rPr>
                <w:rFonts w:hint="eastAsia" w:eastAsiaTheme="minorEastAsia"/>
                <w:bCs/>
                <w:color w:val="000000"/>
                <w:kern w:val="0"/>
                <w:szCs w:val="21"/>
                <w:lang w:val="en-US" w:eastAsia="zh-CN"/>
              </w:rPr>
              <w:t>直接或通过资产管理产品投资权益类资产和商品及金融衍生品类资产，包括</w:t>
            </w:r>
            <w:r>
              <w:rPr>
                <w:rFonts w:hint="default" w:eastAsiaTheme="minorEastAsia"/>
                <w:bCs/>
                <w:color w:val="000000"/>
                <w:kern w:val="0"/>
                <w:szCs w:val="21"/>
                <w:lang w:val="en-US" w:eastAsia="zh-CN"/>
              </w:rPr>
              <w:t>但不限于境内外发行的上市流通普通股、优先股、股票定向增发；期货、期权、远期、互换、风险缓释工具；境内外证券市场挂牌交易的房地产信托和存托凭证；境内外发行的股票型公募证券投资基金、混合型公募证券投资基金、商品基金等。以上权益类资产和商品及金融衍生品类资产占产品资产总值的投资比例为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2" w:type="pct"/>
            <w:vAlign w:val="center"/>
          </w:tcPr>
          <w:p>
            <w:pPr>
              <w:autoSpaceDE w:val="0"/>
              <w:autoSpaceDN w:val="0"/>
              <w:adjustRightInd w:val="0"/>
              <w:spacing w:line="276" w:lineRule="auto"/>
              <w:jc w:val="center"/>
              <w:rPr>
                <w:rFonts w:hint="eastAsia" w:eastAsiaTheme="minorEastAsia"/>
                <w:b/>
                <w:color w:val="000000"/>
                <w:kern w:val="0"/>
                <w:szCs w:val="21"/>
                <w:lang w:eastAsia="zh-CN"/>
              </w:rPr>
            </w:pPr>
            <w:r>
              <w:rPr>
                <w:rFonts w:hint="eastAsia" w:eastAsiaTheme="minorEastAsia"/>
                <w:b/>
                <w:color w:val="000000"/>
                <w:kern w:val="0"/>
                <w:szCs w:val="21"/>
                <w:lang w:eastAsia="zh-CN"/>
              </w:rPr>
              <w:t>产品费用</w:t>
            </w:r>
          </w:p>
        </w:tc>
        <w:tc>
          <w:tcPr>
            <w:tcW w:w="3677" w:type="pct"/>
            <w:vAlign w:val="center"/>
          </w:tcPr>
          <w:p>
            <w:pPr>
              <w:keepNext w:val="0"/>
              <w:keepLines w:val="0"/>
              <w:pageBreakBefore w:val="0"/>
              <w:widowControl w:val="0"/>
              <w:kinsoku/>
              <w:wordWrap/>
              <w:overflowPunct/>
              <w:topLinePunct w:val="0"/>
              <w:autoSpaceDE w:val="0"/>
              <w:autoSpaceDN w:val="0"/>
              <w:bidi w:val="0"/>
              <w:adjustRightInd w:val="0"/>
              <w:snapToGrid/>
              <w:spacing w:line="276" w:lineRule="auto"/>
              <w:ind w:firstLine="0" w:firstLineChars="0"/>
              <w:jc w:val="both"/>
              <w:textAlignment w:val="auto"/>
              <w:rPr>
                <w:rFonts w:hint="eastAsia" w:eastAsiaTheme="minorEastAsia"/>
                <w:bCs/>
                <w:color w:val="000000"/>
                <w:kern w:val="0"/>
                <w:szCs w:val="21"/>
                <w:lang w:val="en-US" w:eastAsia="zh-CN"/>
              </w:rPr>
            </w:pPr>
            <w:r>
              <w:rPr>
                <w:rFonts w:hint="eastAsia" w:eastAsiaTheme="minorEastAsia"/>
                <w:bCs/>
                <w:color w:val="000000"/>
                <w:kern w:val="0"/>
                <w:szCs w:val="21"/>
                <w:lang w:val="en-US" w:eastAsia="zh-CN"/>
              </w:rPr>
              <w:t>1.销售手续费率：份额0.40%/年；</w:t>
            </w:r>
          </w:p>
          <w:p>
            <w:pPr>
              <w:keepNext w:val="0"/>
              <w:keepLines w:val="0"/>
              <w:pageBreakBefore w:val="0"/>
              <w:widowControl w:val="0"/>
              <w:kinsoku/>
              <w:wordWrap/>
              <w:overflowPunct/>
              <w:topLinePunct w:val="0"/>
              <w:autoSpaceDE w:val="0"/>
              <w:autoSpaceDN w:val="0"/>
              <w:bidi w:val="0"/>
              <w:adjustRightInd w:val="0"/>
              <w:snapToGrid/>
              <w:spacing w:line="276" w:lineRule="auto"/>
              <w:ind w:firstLine="0" w:firstLineChars="0"/>
              <w:jc w:val="both"/>
              <w:textAlignment w:val="auto"/>
              <w:rPr>
                <w:rFonts w:hint="eastAsia" w:eastAsiaTheme="minorEastAsia"/>
                <w:bCs/>
                <w:color w:val="000000"/>
                <w:kern w:val="0"/>
                <w:szCs w:val="21"/>
                <w:lang w:val="en-US" w:eastAsia="zh-CN"/>
              </w:rPr>
            </w:pPr>
            <w:r>
              <w:rPr>
                <w:rFonts w:hint="eastAsia" w:eastAsiaTheme="minorEastAsia"/>
                <w:bCs/>
                <w:color w:val="000000"/>
                <w:kern w:val="0"/>
                <w:szCs w:val="21"/>
                <w:lang w:val="en-US" w:eastAsia="zh-CN"/>
              </w:rPr>
              <w:t>2</w:t>
            </w:r>
            <w:r>
              <w:rPr>
                <w:rFonts w:hint="default" w:eastAsiaTheme="minorEastAsia"/>
                <w:bCs/>
                <w:color w:val="000000"/>
                <w:kern w:val="0"/>
                <w:szCs w:val="21"/>
                <w:lang w:val="en-US" w:eastAsia="zh-CN"/>
              </w:rPr>
              <w:t>.固定管理费率：0.15%/年；</w:t>
            </w:r>
          </w:p>
          <w:p>
            <w:pPr>
              <w:keepNext w:val="0"/>
              <w:keepLines w:val="0"/>
              <w:pageBreakBefore w:val="0"/>
              <w:widowControl w:val="0"/>
              <w:kinsoku/>
              <w:wordWrap/>
              <w:overflowPunct/>
              <w:topLinePunct w:val="0"/>
              <w:autoSpaceDE w:val="0"/>
              <w:autoSpaceDN w:val="0"/>
              <w:bidi w:val="0"/>
              <w:adjustRightInd w:val="0"/>
              <w:snapToGrid/>
              <w:spacing w:line="276" w:lineRule="auto"/>
              <w:ind w:firstLine="0" w:firstLineChars="0"/>
              <w:jc w:val="both"/>
              <w:textAlignment w:val="auto"/>
              <w:rPr>
                <w:rFonts w:hint="eastAsia" w:eastAsiaTheme="minorEastAsia"/>
                <w:bCs/>
                <w:color w:val="000000"/>
                <w:kern w:val="0"/>
                <w:szCs w:val="21"/>
                <w:lang w:val="en-US" w:eastAsia="zh-CN"/>
              </w:rPr>
            </w:pPr>
            <w:r>
              <w:rPr>
                <w:rFonts w:hint="eastAsia" w:eastAsiaTheme="minorEastAsia"/>
                <w:bCs/>
                <w:color w:val="000000"/>
                <w:kern w:val="0"/>
                <w:szCs w:val="21"/>
                <w:lang w:val="en-US" w:eastAsia="zh-CN"/>
              </w:rPr>
              <w:t>3</w:t>
            </w:r>
            <w:r>
              <w:rPr>
                <w:rFonts w:hint="default" w:eastAsiaTheme="minorEastAsia"/>
                <w:bCs/>
                <w:color w:val="000000"/>
                <w:kern w:val="0"/>
                <w:szCs w:val="21"/>
                <w:lang w:val="en-US" w:eastAsia="zh-CN"/>
              </w:rPr>
              <w:t>.托管费率：0.02%/年；</w:t>
            </w:r>
          </w:p>
          <w:p>
            <w:pPr>
              <w:keepNext w:val="0"/>
              <w:keepLines w:val="0"/>
              <w:pageBreakBefore w:val="0"/>
              <w:widowControl w:val="0"/>
              <w:kinsoku/>
              <w:wordWrap/>
              <w:overflowPunct/>
              <w:topLinePunct w:val="0"/>
              <w:autoSpaceDE w:val="0"/>
              <w:autoSpaceDN w:val="0"/>
              <w:bidi w:val="0"/>
              <w:adjustRightInd w:val="0"/>
              <w:snapToGrid/>
              <w:spacing w:line="276" w:lineRule="auto"/>
              <w:ind w:firstLine="0" w:firstLineChars="0"/>
              <w:jc w:val="both"/>
              <w:textAlignment w:val="auto"/>
              <w:rPr>
                <w:rFonts w:hint="eastAsia" w:eastAsiaTheme="minorEastAsia"/>
                <w:bCs/>
                <w:color w:val="000000"/>
                <w:kern w:val="0"/>
                <w:szCs w:val="21"/>
                <w:lang w:val="en-US" w:eastAsia="zh-CN"/>
              </w:rPr>
            </w:pPr>
            <w:r>
              <w:rPr>
                <w:rFonts w:hint="eastAsia" w:eastAsiaTheme="minorEastAsia"/>
                <w:bCs/>
                <w:color w:val="000000"/>
                <w:kern w:val="0"/>
                <w:szCs w:val="21"/>
                <w:lang w:val="en-US" w:eastAsia="zh-CN"/>
              </w:rPr>
              <w:t>4</w:t>
            </w:r>
            <w:r>
              <w:rPr>
                <w:rFonts w:hint="default" w:eastAsiaTheme="minorEastAsia"/>
                <w:bCs/>
                <w:color w:val="000000"/>
                <w:kern w:val="0"/>
                <w:szCs w:val="21"/>
                <w:lang w:val="en-US" w:eastAsia="zh-CN"/>
              </w:rPr>
              <w:t>.产品运作和清算中产生的其他资金汇划费、结算费、交易手续费、注册登记费、信息披露费、账户服务费、审计费、律师费等，按照实际发生时从理财产品中列支；</w:t>
            </w:r>
          </w:p>
          <w:p>
            <w:pPr>
              <w:keepNext w:val="0"/>
              <w:keepLines w:val="0"/>
              <w:pageBreakBefore w:val="0"/>
              <w:widowControl w:val="0"/>
              <w:kinsoku/>
              <w:wordWrap/>
              <w:overflowPunct/>
              <w:topLinePunct w:val="0"/>
              <w:autoSpaceDE w:val="0"/>
              <w:autoSpaceDN w:val="0"/>
              <w:bidi w:val="0"/>
              <w:adjustRightInd w:val="0"/>
              <w:snapToGrid/>
              <w:spacing w:line="276" w:lineRule="auto"/>
              <w:ind w:firstLine="0" w:firstLineChars="0"/>
              <w:jc w:val="both"/>
              <w:textAlignment w:val="auto"/>
              <w:rPr>
                <w:rFonts w:hint="default" w:eastAsiaTheme="minorEastAsia"/>
                <w:bCs/>
                <w:color w:val="000000"/>
                <w:kern w:val="0"/>
                <w:sz w:val="21"/>
                <w:szCs w:val="21"/>
                <w:lang w:val="en-US" w:eastAsia="zh-CN"/>
              </w:rPr>
            </w:pPr>
            <w:r>
              <w:rPr>
                <w:rFonts w:hint="eastAsia" w:eastAsiaTheme="minorEastAsia"/>
                <w:bCs/>
                <w:color w:val="000000"/>
                <w:kern w:val="0"/>
                <w:szCs w:val="21"/>
                <w:lang w:val="en-US" w:eastAsia="zh-CN"/>
              </w:rPr>
              <w:t>5</w:t>
            </w:r>
            <w:r>
              <w:rPr>
                <w:rFonts w:hint="default" w:eastAsiaTheme="minorEastAsia"/>
                <w:bCs/>
                <w:color w:val="000000"/>
                <w:kern w:val="0"/>
                <w:szCs w:val="21"/>
                <w:lang w:val="en-US" w:eastAsia="zh-CN"/>
              </w:rPr>
              <w:t>.产品承担的费用还包括投后管理费、项目推荐费、财务顾问费等，按照实际发生时列支</w:t>
            </w:r>
            <w:r>
              <w:rPr>
                <w:rFonts w:hint="eastAsia" w:eastAsiaTheme="minorEastAsia"/>
                <w:bCs/>
                <w:color w:val="000000"/>
                <w:kern w:val="0"/>
                <w:szCs w:val="21"/>
                <w:lang w:val="en-US" w:eastAsia="zh-CN"/>
              </w:rPr>
              <w:t>。</w:t>
            </w:r>
          </w:p>
        </w:tc>
      </w:tr>
    </w:tbl>
    <w:p>
      <w:pPr>
        <w:widowControl/>
        <w:spacing w:before="156" w:beforeLines="50" w:after="156" w:afterLines="50" w:line="360" w:lineRule="auto"/>
        <w:ind w:firstLine="422" w:firstLineChars="175"/>
        <w:jc w:val="left"/>
        <w:rPr>
          <w:rFonts w:hint="default" w:eastAsiaTheme="minorEastAsia"/>
          <w:b/>
          <w:color w:val="000000"/>
          <w:sz w:val="24"/>
          <w:szCs w:val="24"/>
          <w:lang w:val="en-US" w:eastAsia="zh-CN"/>
        </w:rPr>
      </w:pPr>
    </w:p>
    <w:p>
      <w:pPr>
        <w:widowControl/>
        <w:spacing w:before="156" w:beforeLines="50" w:after="156" w:afterLines="50"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（二）风险控制分析</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both"/>
        <w:textAlignment w:val="auto"/>
        <w:rPr>
          <w:rFonts w:eastAsiaTheme="minorEastAsia"/>
          <w:color w:val="000000"/>
          <w:sz w:val="24"/>
          <w:szCs w:val="24"/>
        </w:rPr>
      </w:pPr>
      <w:r>
        <w:rPr>
          <w:rFonts w:eastAsiaTheme="minorEastAsia"/>
          <w:color w:val="000000"/>
          <w:sz w:val="24"/>
          <w:szCs w:val="24"/>
        </w:rPr>
        <w:t>金融市场受宏观经济的影响较大，公司将根据经济形势以及金融市场的变化适时适量的介入，但该项投资仍会受到市场波动的影响。针对可能发生的投资风险，公司拟定如下风险控制措施：</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both"/>
        <w:textAlignment w:val="auto"/>
        <w:rPr>
          <w:rFonts w:eastAsiaTheme="minorEastAsia"/>
          <w:color w:val="000000"/>
          <w:sz w:val="24"/>
          <w:szCs w:val="24"/>
        </w:rPr>
      </w:pPr>
      <w:r>
        <w:rPr>
          <w:rFonts w:eastAsiaTheme="minorEastAsia"/>
          <w:color w:val="000000"/>
          <w:sz w:val="24"/>
          <w:szCs w:val="24"/>
        </w:rPr>
        <w:t>1、公司财务部门将及时分析和跟踪理财产品投向、项目进展情况，一旦发现或判断有不利因素，将及时采取相应的保全措施，控制投资风险；</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both"/>
        <w:textAlignment w:val="auto"/>
        <w:rPr>
          <w:rFonts w:eastAsiaTheme="minorEastAsia"/>
          <w:color w:val="000000"/>
          <w:sz w:val="24"/>
          <w:szCs w:val="24"/>
        </w:rPr>
      </w:pPr>
      <w:r>
        <w:rPr>
          <w:rFonts w:eastAsiaTheme="minorEastAsia"/>
          <w:color w:val="000000"/>
          <w:sz w:val="24"/>
          <w:szCs w:val="24"/>
        </w:rPr>
        <w:t>2、公司审计部门负责对低风险投资理财资金使用与保管情况的审计与监督，每个季度末应对所有理财产品投资项目进行全面检查，并根据谨慎性原则，合理的预计各项投资可能发生的收益和损失，并向审计委员会报告；</w:t>
      </w:r>
    </w:p>
    <w:p>
      <w:pPr>
        <w:keepNext w:val="0"/>
        <w:keepLines w:val="0"/>
        <w:pageBreakBefore w:val="0"/>
        <w:widowControl/>
        <w:kinsoku/>
        <w:wordWrap/>
        <w:overflowPunct/>
        <w:topLinePunct w:val="0"/>
        <w:autoSpaceDE/>
        <w:autoSpaceDN/>
        <w:bidi w:val="0"/>
        <w:adjustRightInd/>
        <w:snapToGrid/>
        <w:spacing w:line="360" w:lineRule="auto"/>
        <w:ind w:left="0" w:leftChars="0" w:firstLine="420" w:firstLineChars="175"/>
        <w:jc w:val="left"/>
        <w:textAlignment w:val="auto"/>
        <w:rPr>
          <w:rFonts w:hint="eastAsia" w:eastAsiaTheme="minorEastAsia"/>
          <w:color w:val="000000"/>
          <w:sz w:val="24"/>
          <w:szCs w:val="24"/>
          <w:highlight w:val="none"/>
          <w:lang w:eastAsia="zh-CN"/>
        </w:rPr>
      </w:pPr>
      <w:r>
        <w:rPr>
          <w:rFonts w:eastAsiaTheme="minorEastAsia"/>
          <w:color w:val="000000"/>
          <w:sz w:val="24"/>
          <w:szCs w:val="24"/>
          <w:highlight w:val="none"/>
        </w:rPr>
        <w:t>3、公司将根据上海证券交易所的有关规定，及时履行信息披露义务</w:t>
      </w:r>
      <w:r>
        <w:rPr>
          <w:rFonts w:hint="eastAsia" w:eastAsiaTheme="minorEastAsia"/>
          <w:color w:val="000000"/>
          <w:sz w:val="24"/>
          <w:szCs w:val="24"/>
          <w:highlight w:val="none"/>
          <w:lang w:eastAsia="zh-CN"/>
        </w:rPr>
        <w:t>。</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lang w:val="en-US" w:eastAsia="zh-CN"/>
        </w:rPr>
        <w:t>四</w:t>
      </w:r>
      <w:r>
        <w:rPr>
          <w:rFonts w:hint="eastAsia" w:asciiTheme="minorEastAsia" w:hAnsiTheme="minorEastAsia" w:eastAsiaTheme="minorEastAsia" w:cstheme="minorEastAsia"/>
          <w:b/>
          <w:color w:val="000000"/>
          <w:sz w:val="24"/>
          <w:szCs w:val="24"/>
        </w:rPr>
        <w:t>、</w:t>
      </w:r>
      <w:r>
        <w:rPr>
          <w:rFonts w:hint="eastAsia" w:asciiTheme="minorEastAsia" w:hAnsiTheme="minorEastAsia" w:eastAsiaTheme="minorEastAsia" w:cstheme="minorEastAsia"/>
          <w:b/>
          <w:bCs/>
          <w:color w:val="000000"/>
          <w:sz w:val="24"/>
          <w:szCs w:val="24"/>
        </w:rPr>
        <w:t>委托理财受托方的情况</w:t>
      </w:r>
    </w:p>
    <w:p>
      <w:pPr>
        <w:widowControl/>
        <w:spacing w:before="156" w:beforeLines="50" w:after="156" w:afterLines="50" w:line="360" w:lineRule="auto"/>
        <w:ind w:left="0" w:leftChars="0" w:firstLine="420" w:firstLineChars="175"/>
        <w:jc w:val="both"/>
        <w:rPr>
          <w:rFonts w:eastAsiaTheme="minorEastAsia"/>
          <w:color w:val="000000"/>
          <w:sz w:val="24"/>
          <w:szCs w:val="24"/>
          <w:highlight w:val="none"/>
        </w:rPr>
      </w:pPr>
      <w:r>
        <w:rPr>
          <w:rFonts w:eastAsiaTheme="minorEastAsia"/>
          <w:color w:val="000000"/>
          <w:sz w:val="24"/>
          <w:szCs w:val="24"/>
          <w:highlight w:val="none"/>
        </w:rPr>
        <w:t>本次购买理财产品的受托方</w:t>
      </w:r>
      <w:r>
        <w:rPr>
          <w:rFonts w:hint="eastAsia" w:eastAsiaTheme="minorEastAsia"/>
          <w:color w:val="000000"/>
          <w:sz w:val="24"/>
          <w:szCs w:val="24"/>
          <w:highlight w:val="none"/>
          <w:lang w:eastAsia="zh-CN"/>
        </w:rPr>
        <w:t>：</w:t>
      </w:r>
      <w:r>
        <w:rPr>
          <w:rFonts w:hint="eastAsia" w:eastAsiaTheme="minorEastAsia"/>
          <w:color w:val="000000"/>
          <w:sz w:val="24"/>
          <w:szCs w:val="24"/>
          <w:highlight w:val="none"/>
          <w:lang w:val="en-US" w:eastAsia="zh-CN"/>
        </w:rPr>
        <w:t>上海农商行为上海证券交易所上市公司（公司代码：601825）</w:t>
      </w:r>
      <w:r>
        <w:rPr>
          <w:rFonts w:hint="eastAsia" w:eastAsiaTheme="minorEastAsia"/>
          <w:color w:val="000000"/>
          <w:sz w:val="24"/>
          <w:szCs w:val="24"/>
          <w:highlight w:val="none"/>
          <w:lang w:eastAsia="zh-CN"/>
        </w:rPr>
        <w:t>、招商银行</w:t>
      </w:r>
      <w:r>
        <w:rPr>
          <w:rFonts w:hint="eastAsia" w:eastAsiaTheme="minorEastAsia"/>
          <w:color w:val="000000"/>
          <w:sz w:val="24"/>
          <w:szCs w:val="24"/>
          <w:highlight w:val="none"/>
          <w:lang w:val="en-US" w:eastAsia="zh-CN"/>
        </w:rPr>
        <w:t>为上海证券交易所上市公司（公司代码：600036）、交通银行为上海证券交易所上市公司（公司代码：601328）</w:t>
      </w:r>
      <w:r>
        <w:rPr>
          <w:rFonts w:eastAsiaTheme="minorEastAsia"/>
          <w:color w:val="000000"/>
          <w:sz w:val="24"/>
          <w:szCs w:val="24"/>
          <w:highlight w:val="none"/>
        </w:rPr>
        <w:t>与公司控股股东及其一致行动人、实际控制人之间不存在产权、业务、资产、债权债务、人员等关联关系。</w:t>
      </w:r>
    </w:p>
    <w:p>
      <w:pPr>
        <w:keepNext w:val="0"/>
        <w:keepLines w:val="0"/>
        <w:widowControl/>
        <w:numPr>
          <w:ilvl w:val="0"/>
          <w:numId w:val="0"/>
        </w:numPr>
        <w:suppressLineNumbers w:val="0"/>
        <w:spacing w:line="360" w:lineRule="auto"/>
        <w:ind w:left="0" w:leftChars="0" w:firstLine="420" w:firstLineChars="175"/>
        <w:jc w:val="left"/>
        <w:rPr>
          <w:rFonts w:hint="default" w:asciiTheme="minorEastAsia" w:hAnsiTheme="minorEastAsia" w:eastAsiaTheme="minorEastAsia" w:cstheme="minorEastAsia"/>
          <w:b w:val="0"/>
          <w:bCs w:val="0"/>
          <w:color w:val="000000"/>
          <w:sz w:val="24"/>
          <w:szCs w:val="24"/>
          <w:lang w:val="en-US" w:eastAsia="zh-CN"/>
        </w:rPr>
      </w:pPr>
      <w:r>
        <w:rPr>
          <w:rFonts w:hint="eastAsia" w:asciiTheme="minorEastAsia" w:hAnsiTheme="minorEastAsia" w:eastAsiaTheme="minorEastAsia" w:cstheme="minorEastAsia"/>
          <w:b w:val="0"/>
          <w:bCs w:val="0"/>
          <w:color w:val="000000"/>
          <w:sz w:val="24"/>
          <w:szCs w:val="24"/>
          <w:lang w:val="en-US" w:eastAsia="zh-CN"/>
        </w:rPr>
        <w:t>国融证券为</w:t>
      </w:r>
      <w:r>
        <w:rPr>
          <w:rFonts w:hint="eastAsia" w:asciiTheme="minorEastAsia" w:hAnsiTheme="minorEastAsia" w:eastAsiaTheme="minorEastAsia" w:cstheme="minorEastAsia"/>
          <w:b w:val="0"/>
          <w:bCs w:val="0"/>
          <w:color w:val="000000"/>
          <w:sz w:val="24"/>
          <w:szCs w:val="24"/>
          <w:highlight w:val="none"/>
          <w:lang w:val="en-US" w:eastAsia="zh-CN"/>
        </w:rPr>
        <w:t>非上市金融机构，具体情况如下：</w:t>
      </w:r>
    </w:p>
    <w:p>
      <w:pPr>
        <w:keepNext w:val="0"/>
        <w:keepLines w:val="0"/>
        <w:widowControl/>
        <w:numPr>
          <w:ilvl w:val="0"/>
          <w:numId w:val="0"/>
        </w:numPr>
        <w:suppressLineNumbers w:val="0"/>
        <w:spacing w:line="360" w:lineRule="auto"/>
        <w:ind w:left="0" w:leftChars="0" w:firstLine="420" w:firstLineChars="175"/>
        <w:jc w:val="left"/>
        <w:rPr>
          <w:rFonts w:hint="default" w:ascii="Times New Roman" w:hAnsi="Times New Roman" w:cs="Times New Roman" w:eastAsiaTheme="minorEastAsia"/>
          <w:b w:val="0"/>
          <w:bCs w:val="0"/>
          <w:color w:val="000000"/>
          <w:sz w:val="24"/>
          <w:szCs w:val="24"/>
          <w:lang w:val="en-US" w:eastAsia="zh-CN"/>
        </w:rPr>
      </w:pPr>
      <w:r>
        <w:rPr>
          <w:rFonts w:hint="default" w:ascii="Times New Roman" w:hAnsi="Times New Roman" w:cs="Times New Roman" w:eastAsiaTheme="minorEastAsia"/>
          <w:b w:val="0"/>
          <w:bCs w:val="0"/>
          <w:color w:val="000000"/>
          <w:sz w:val="24"/>
          <w:szCs w:val="24"/>
          <w:lang w:val="en-US" w:eastAsia="zh-CN"/>
        </w:rPr>
        <w:t>1、基本情况</w:t>
      </w:r>
    </w:p>
    <w:tbl>
      <w:tblPr>
        <w:tblStyle w:val="2"/>
        <w:tblW w:w="8314" w:type="dxa"/>
        <w:jc w:val="center"/>
        <w:tblLayout w:type="autofit"/>
        <w:tblCellMar>
          <w:top w:w="0" w:type="dxa"/>
          <w:left w:w="108" w:type="dxa"/>
          <w:bottom w:w="0" w:type="dxa"/>
          <w:right w:w="108" w:type="dxa"/>
        </w:tblCellMar>
      </w:tblPr>
      <w:tblGrid>
        <w:gridCol w:w="1664"/>
        <w:gridCol w:w="1668"/>
        <w:gridCol w:w="960"/>
        <w:gridCol w:w="1380"/>
        <w:gridCol w:w="1560"/>
        <w:gridCol w:w="1082"/>
      </w:tblGrid>
      <w:tr>
        <w:tblPrEx>
          <w:tblCellMar>
            <w:top w:w="0" w:type="dxa"/>
            <w:left w:w="108" w:type="dxa"/>
            <w:bottom w:w="0" w:type="dxa"/>
            <w:right w:w="108" w:type="dxa"/>
          </w:tblCellMar>
        </w:tblPrEx>
        <w:trPr>
          <w:trHeight w:val="576" w:hRule="atLeast"/>
          <w:jc w:val="center"/>
        </w:trPr>
        <w:tc>
          <w:tcPr>
            <w:tcW w:w="166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名称</w:t>
            </w:r>
          </w:p>
        </w:tc>
        <w:tc>
          <w:tcPr>
            <w:tcW w:w="166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成立时间</w:t>
            </w:r>
          </w:p>
        </w:tc>
        <w:tc>
          <w:tcPr>
            <w:tcW w:w="9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法定代表人</w:t>
            </w:r>
          </w:p>
        </w:tc>
        <w:tc>
          <w:tcPr>
            <w:tcW w:w="138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注册资本</w:t>
            </w:r>
          </w:p>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（万元）</w:t>
            </w:r>
          </w:p>
        </w:tc>
        <w:tc>
          <w:tcPr>
            <w:tcW w:w="15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主营业务</w:t>
            </w:r>
          </w:p>
        </w:tc>
        <w:tc>
          <w:tcPr>
            <w:tcW w:w="1082" w:type="dxa"/>
            <w:tcBorders>
              <w:top w:val="single" w:color="auto" w:sz="4" w:space="0"/>
              <w:left w:val="nil"/>
              <w:bottom w:val="single" w:color="auto" w:sz="4" w:space="0"/>
              <w:right w:val="single" w:color="auto" w:sz="4" w:space="0"/>
            </w:tcBorders>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是否为本次交易专设</w:t>
            </w:r>
          </w:p>
        </w:tc>
      </w:tr>
      <w:tr>
        <w:tblPrEx>
          <w:tblCellMar>
            <w:top w:w="0" w:type="dxa"/>
            <w:left w:w="108" w:type="dxa"/>
            <w:bottom w:w="0" w:type="dxa"/>
            <w:right w:w="108" w:type="dxa"/>
          </w:tblCellMar>
        </w:tblPrEx>
        <w:trPr>
          <w:trHeight w:val="936" w:hRule="atLeast"/>
          <w:jc w:val="center"/>
        </w:trPr>
        <w:tc>
          <w:tcPr>
            <w:tcW w:w="166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eastAsia="zh-CN"/>
              </w:rPr>
            </w:pPr>
            <w:r>
              <w:rPr>
                <w:rFonts w:hint="default" w:ascii="Times New Roman" w:hAnsi="Times New Roman" w:cs="Times New Roman" w:eastAsiaTheme="minorEastAsia"/>
                <w:color w:val="000000"/>
                <w:kern w:val="0"/>
                <w:szCs w:val="21"/>
                <w:lang w:val="en-US" w:eastAsia="zh-CN"/>
              </w:rPr>
              <w:t>国融证券股份有限公司</w:t>
            </w:r>
          </w:p>
        </w:tc>
        <w:tc>
          <w:tcPr>
            <w:tcW w:w="166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2002年4月24日</w:t>
            </w:r>
          </w:p>
        </w:tc>
        <w:tc>
          <w:tcPr>
            <w:tcW w:w="9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eastAsia="zh-CN"/>
              </w:rPr>
            </w:pPr>
            <w:r>
              <w:rPr>
                <w:rFonts w:hint="default" w:ascii="Times New Roman" w:hAnsi="Times New Roman" w:cs="Times New Roman" w:eastAsiaTheme="minorEastAsia"/>
                <w:color w:val="000000"/>
                <w:kern w:val="0"/>
                <w:szCs w:val="21"/>
                <w:lang w:val="en-US" w:eastAsia="zh-CN"/>
              </w:rPr>
              <w:t>张智河</w:t>
            </w:r>
          </w:p>
        </w:tc>
        <w:tc>
          <w:tcPr>
            <w:tcW w:w="138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178,251.1536</w:t>
            </w:r>
          </w:p>
        </w:tc>
        <w:tc>
          <w:tcPr>
            <w:tcW w:w="15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eastAsia="zh-CN"/>
              </w:rPr>
            </w:pPr>
            <w:r>
              <w:rPr>
                <w:rFonts w:hint="default" w:ascii="Times New Roman" w:hAnsi="Times New Roman" w:cs="Times New Roman" w:eastAsiaTheme="minorEastAsia"/>
                <w:color w:val="000000"/>
                <w:kern w:val="0"/>
                <w:szCs w:val="21"/>
                <w:lang w:eastAsia="zh-CN"/>
              </w:rPr>
              <w:t>金融服务业务</w:t>
            </w:r>
          </w:p>
        </w:tc>
        <w:tc>
          <w:tcPr>
            <w:tcW w:w="1082" w:type="dxa"/>
            <w:tcBorders>
              <w:top w:val="single" w:color="auto" w:sz="4" w:space="0"/>
              <w:left w:val="nil"/>
              <w:bottom w:val="single" w:color="auto" w:sz="4" w:space="0"/>
              <w:right w:val="single" w:color="auto" w:sz="4" w:space="0"/>
            </w:tcBorders>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否</w:t>
            </w:r>
          </w:p>
        </w:tc>
      </w:tr>
    </w:tbl>
    <w:p>
      <w:pPr>
        <w:keepNext w:val="0"/>
        <w:keepLines w:val="0"/>
        <w:widowControl/>
        <w:numPr>
          <w:ilvl w:val="0"/>
          <w:numId w:val="2"/>
        </w:numPr>
        <w:suppressLineNumbers w:val="0"/>
        <w:spacing w:line="360" w:lineRule="auto"/>
        <w:ind w:left="0" w:leftChars="0" w:firstLine="420" w:firstLineChars="175"/>
        <w:jc w:val="left"/>
        <w:rPr>
          <w:rFonts w:hint="default" w:ascii="Times New Roman" w:hAnsi="Times New Roman" w:cs="Times New Roman" w:eastAsiaTheme="minorEastAsia"/>
          <w:color w:val="000000"/>
          <w:sz w:val="24"/>
          <w:szCs w:val="24"/>
          <w:highlight w:val="none"/>
          <w:lang w:val="en-US" w:eastAsia="zh-CN"/>
        </w:rPr>
      </w:pPr>
      <w:r>
        <w:rPr>
          <w:rFonts w:hint="default" w:ascii="Times New Roman" w:hAnsi="Times New Roman" w:cs="Times New Roman" w:eastAsiaTheme="minorEastAsia"/>
          <w:color w:val="000000"/>
          <w:sz w:val="24"/>
          <w:szCs w:val="24"/>
          <w:highlight w:val="none"/>
          <w:lang w:val="en-US" w:eastAsia="zh-CN"/>
        </w:rPr>
        <w:t>主要股东持股情况</w:t>
      </w:r>
    </w:p>
    <w:tbl>
      <w:tblPr>
        <w:tblStyle w:val="2"/>
        <w:tblW w:w="8306" w:type="dxa"/>
        <w:jc w:val="center"/>
        <w:tblLayout w:type="autofit"/>
        <w:tblCellMar>
          <w:top w:w="0" w:type="dxa"/>
          <w:left w:w="108" w:type="dxa"/>
          <w:bottom w:w="0" w:type="dxa"/>
          <w:right w:w="108" w:type="dxa"/>
        </w:tblCellMar>
      </w:tblPr>
      <w:tblGrid>
        <w:gridCol w:w="863"/>
        <w:gridCol w:w="4650"/>
        <w:gridCol w:w="2793"/>
      </w:tblGrid>
      <w:tr>
        <w:tblPrEx>
          <w:tblCellMar>
            <w:top w:w="0" w:type="dxa"/>
            <w:left w:w="108" w:type="dxa"/>
            <w:bottom w:w="0" w:type="dxa"/>
            <w:right w:w="108" w:type="dxa"/>
          </w:tblCellMar>
        </w:tblPrEx>
        <w:trPr>
          <w:trHeight w:val="476"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lang w:eastAsia="zh-CN"/>
              </w:rPr>
              <w:t>序号</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b/>
                <w:color w:val="000000"/>
                <w:kern w:val="0"/>
                <w:szCs w:val="21"/>
                <w:lang w:eastAsia="zh-CN"/>
              </w:rPr>
            </w:pPr>
            <w:r>
              <w:rPr>
                <w:rFonts w:hint="eastAsia" w:asciiTheme="minorEastAsia" w:hAnsiTheme="minorEastAsia" w:eastAsiaTheme="minorEastAsia" w:cstheme="minorEastAsia"/>
                <w:b/>
                <w:color w:val="000000"/>
                <w:kern w:val="0"/>
                <w:szCs w:val="21"/>
                <w:lang w:eastAsia="zh-CN"/>
              </w:rPr>
              <w:t>股东</w:t>
            </w:r>
            <w:r>
              <w:rPr>
                <w:rFonts w:hint="eastAsia" w:asciiTheme="minorEastAsia" w:hAnsiTheme="minorEastAsia" w:eastAsiaTheme="minorEastAsia" w:cstheme="minorEastAsia"/>
                <w:b/>
                <w:color w:val="000000"/>
                <w:kern w:val="0"/>
                <w:szCs w:val="21"/>
              </w:rPr>
              <w:t>名称</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b/>
                <w:color w:val="000000"/>
                <w:kern w:val="0"/>
                <w:szCs w:val="21"/>
                <w:lang w:eastAsia="zh-CN"/>
              </w:rPr>
            </w:pPr>
            <w:r>
              <w:rPr>
                <w:rFonts w:hint="eastAsia" w:asciiTheme="minorEastAsia" w:hAnsiTheme="minorEastAsia" w:eastAsiaTheme="minorEastAsia" w:cstheme="minorEastAsia"/>
                <w:b/>
                <w:color w:val="000000"/>
                <w:kern w:val="0"/>
                <w:szCs w:val="21"/>
                <w:lang w:eastAsia="zh-CN"/>
              </w:rPr>
              <w:t>持股比例</w:t>
            </w:r>
          </w:p>
        </w:tc>
      </w:tr>
      <w:tr>
        <w:tblPrEx>
          <w:tblCellMar>
            <w:top w:w="0" w:type="dxa"/>
            <w:left w:w="108" w:type="dxa"/>
            <w:bottom w:w="0" w:type="dxa"/>
            <w:right w:w="108" w:type="dxa"/>
          </w:tblCellMar>
        </w:tblPrEx>
        <w:trPr>
          <w:trHeight w:val="90"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1</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color w:val="000000"/>
                <w:kern w:val="0"/>
                <w:szCs w:val="21"/>
                <w:lang w:eastAsia="zh-CN"/>
              </w:rPr>
            </w:pPr>
            <w:r>
              <w:rPr>
                <w:rFonts w:hint="eastAsia" w:asciiTheme="minorEastAsia" w:hAnsiTheme="minorEastAsia" w:eastAsiaTheme="minorEastAsia" w:cstheme="minorEastAsia"/>
                <w:color w:val="000000"/>
                <w:kern w:val="0"/>
                <w:szCs w:val="21"/>
                <w:lang w:val="en-US" w:eastAsia="zh-CN"/>
              </w:rPr>
              <w:t>北京长安投资集团有限公司</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70.61%</w:t>
            </w:r>
          </w:p>
        </w:tc>
      </w:tr>
      <w:tr>
        <w:tblPrEx>
          <w:tblCellMar>
            <w:top w:w="0" w:type="dxa"/>
            <w:left w:w="108" w:type="dxa"/>
            <w:bottom w:w="0" w:type="dxa"/>
            <w:right w:w="108" w:type="dxa"/>
          </w:tblCellMar>
        </w:tblPrEx>
        <w:trPr>
          <w:trHeight w:val="309"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2</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color w:val="000000"/>
                <w:kern w:val="0"/>
                <w:szCs w:val="21"/>
                <w:lang w:eastAsia="zh-CN"/>
              </w:rPr>
            </w:pPr>
            <w:r>
              <w:rPr>
                <w:rFonts w:hint="eastAsia" w:asciiTheme="minorEastAsia" w:hAnsiTheme="minorEastAsia" w:eastAsiaTheme="minorEastAsia" w:cstheme="minorEastAsia"/>
                <w:color w:val="000000"/>
                <w:kern w:val="0"/>
                <w:szCs w:val="21"/>
                <w:lang w:val="en-US" w:eastAsia="zh-CN"/>
              </w:rPr>
              <w:t>杭州普润星融股权投资合伙企业（有限合伙）</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14.03%</w:t>
            </w:r>
          </w:p>
        </w:tc>
      </w:tr>
      <w:tr>
        <w:tblPrEx>
          <w:tblCellMar>
            <w:top w:w="0" w:type="dxa"/>
            <w:left w:w="108" w:type="dxa"/>
            <w:bottom w:w="0" w:type="dxa"/>
            <w:right w:w="108" w:type="dxa"/>
          </w:tblCellMar>
        </w:tblPrEx>
        <w:trPr>
          <w:trHeight w:val="90"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3</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color w:val="000000"/>
                <w:kern w:val="0"/>
                <w:szCs w:val="21"/>
                <w:lang w:eastAsia="zh-CN"/>
              </w:rPr>
            </w:pPr>
            <w:r>
              <w:rPr>
                <w:rFonts w:hint="eastAsia" w:asciiTheme="minorEastAsia" w:hAnsiTheme="minorEastAsia" w:eastAsiaTheme="minorEastAsia" w:cstheme="minorEastAsia"/>
                <w:color w:val="000000"/>
                <w:kern w:val="0"/>
                <w:szCs w:val="21"/>
                <w:lang w:val="en-US" w:eastAsia="zh-CN"/>
              </w:rPr>
              <w:t>内蒙古日信担保投资（集团）有限责任公司</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4.13%</w:t>
            </w:r>
          </w:p>
        </w:tc>
      </w:tr>
    </w:tbl>
    <w:p>
      <w:pPr>
        <w:keepNext w:val="0"/>
        <w:keepLines w:val="0"/>
        <w:widowControl/>
        <w:numPr>
          <w:ilvl w:val="0"/>
          <w:numId w:val="3"/>
        </w:numPr>
        <w:suppressLineNumbers w:val="0"/>
        <w:spacing w:line="360" w:lineRule="auto"/>
        <w:ind w:leftChars="175"/>
        <w:jc w:val="left"/>
        <w:rPr>
          <w:rFonts w:hint="default" w:ascii="Times New Roman" w:hAnsi="Times New Roman" w:cs="Times New Roman" w:eastAsiaTheme="minorEastAsia"/>
          <w:b w:val="0"/>
          <w:bCs w:val="0"/>
          <w:color w:val="000000"/>
          <w:sz w:val="24"/>
          <w:szCs w:val="24"/>
          <w:lang w:val="en-US" w:eastAsia="zh-CN"/>
        </w:rPr>
      </w:pPr>
      <w:r>
        <w:rPr>
          <w:rFonts w:hint="default" w:ascii="Times New Roman" w:hAnsi="Times New Roman" w:cs="Times New Roman" w:eastAsiaTheme="minorEastAsia"/>
          <w:b w:val="0"/>
          <w:bCs w:val="0"/>
          <w:color w:val="000000"/>
          <w:sz w:val="24"/>
          <w:szCs w:val="24"/>
          <w:lang w:val="en-US" w:eastAsia="zh-CN"/>
        </w:rPr>
        <w:t>主要财务指标</w:t>
      </w:r>
    </w:p>
    <w:p>
      <w:pPr>
        <w:keepNext w:val="0"/>
        <w:keepLines w:val="0"/>
        <w:widowControl/>
        <w:numPr>
          <w:ilvl w:val="0"/>
          <w:numId w:val="0"/>
        </w:numPr>
        <w:suppressLineNumbers w:val="0"/>
        <w:spacing w:line="360" w:lineRule="auto"/>
        <w:jc w:val="right"/>
        <w:rPr>
          <w:rFonts w:hint="default" w:ascii="Times New Roman" w:hAnsi="Times New Roman" w:cs="Times New Roman" w:eastAsiaTheme="minorEastAsia"/>
          <w:b w:val="0"/>
          <w:bCs w:val="0"/>
          <w:color w:val="000000"/>
          <w:sz w:val="21"/>
          <w:szCs w:val="21"/>
          <w:lang w:val="en-US" w:eastAsia="zh-CN"/>
        </w:rPr>
      </w:pPr>
      <w:r>
        <w:rPr>
          <w:rFonts w:hint="default" w:ascii="Times New Roman" w:hAnsi="Times New Roman" w:cs="Times New Roman" w:eastAsiaTheme="minorEastAsia"/>
          <w:b w:val="0"/>
          <w:bCs w:val="0"/>
          <w:color w:val="000000"/>
          <w:sz w:val="21"/>
          <w:szCs w:val="21"/>
          <w:lang w:val="en-US" w:eastAsia="zh-CN"/>
        </w:rPr>
        <w:t>单位：元</w:t>
      </w:r>
    </w:p>
    <w:tbl>
      <w:tblPr>
        <w:tblStyle w:val="2"/>
        <w:tblW w:w="8281" w:type="dxa"/>
        <w:jc w:val="center"/>
        <w:tblLayout w:type="autofit"/>
        <w:tblCellMar>
          <w:top w:w="0" w:type="dxa"/>
          <w:left w:w="108" w:type="dxa"/>
          <w:bottom w:w="0" w:type="dxa"/>
          <w:right w:w="108" w:type="dxa"/>
        </w:tblCellMar>
      </w:tblPr>
      <w:tblGrid>
        <w:gridCol w:w="4003"/>
        <w:gridCol w:w="4278"/>
      </w:tblGrid>
      <w:tr>
        <w:tblPrEx>
          <w:tblCellMar>
            <w:top w:w="0" w:type="dxa"/>
            <w:left w:w="108" w:type="dxa"/>
            <w:bottom w:w="0" w:type="dxa"/>
            <w:right w:w="108" w:type="dxa"/>
          </w:tblCellMar>
        </w:tblPrEx>
        <w:trPr>
          <w:trHeight w:val="308"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bCs w:val="0"/>
                <w:color w:val="000000"/>
                <w:kern w:val="0"/>
                <w:szCs w:val="21"/>
                <w:lang w:eastAsia="zh-CN"/>
              </w:rPr>
            </w:pPr>
            <w:r>
              <w:rPr>
                <w:rFonts w:hint="default" w:ascii="Times New Roman" w:hAnsi="Times New Roman" w:cs="Times New Roman" w:eastAsiaTheme="minorEastAsia"/>
                <w:b/>
                <w:bCs w:val="0"/>
                <w:color w:val="000000"/>
                <w:kern w:val="0"/>
                <w:szCs w:val="21"/>
                <w:lang w:eastAsia="zh-CN"/>
              </w:rPr>
              <w:t>项目</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bCs w:val="0"/>
                <w:color w:val="000000"/>
                <w:kern w:val="0"/>
                <w:szCs w:val="21"/>
                <w:lang w:val="en-US" w:eastAsia="zh-CN"/>
              </w:rPr>
            </w:pPr>
            <w:r>
              <w:rPr>
                <w:rFonts w:hint="eastAsia" w:cs="Times New Roman" w:eastAsiaTheme="minorEastAsia"/>
                <w:b/>
                <w:bCs w:val="0"/>
                <w:color w:val="000000"/>
                <w:kern w:val="0"/>
                <w:szCs w:val="21"/>
                <w:lang w:val="en-US" w:eastAsia="zh-CN"/>
              </w:rPr>
              <w:t>2020</w:t>
            </w:r>
            <w:r>
              <w:rPr>
                <w:rFonts w:hint="default" w:ascii="Times New Roman" w:hAnsi="Times New Roman" w:cs="Times New Roman" w:eastAsiaTheme="minorEastAsia"/>
                <w:b/>
                <w:bCs w:val="0"/>
                <w:color w:val="000000"/>
                <w:kern w:val="0"/>
                <w:szCs w:val="21"/>
                <w:lang w:val="en-US" w:eastAsia="zh-CN"/>
              </w:rPr>
              <w:t>年度</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Cs w:val="21"/>
                <w:lang w:eastAsia="zh-CN"/>
              </w:rPr>
            </w:pPr>
            <w:r>
              <w:rPr>
                <w:rFonts w:hint="default" w:ascii="Times New Roman" w:hAnsi="Times New Roman" w:cs="Times New Roman" w:eastAsiaTheme="minorEastAsia"/>
                <w:b w:val="0"/>
                <w:bCs/>
                <w:color w:val="000000"/>
                <w:kern w:val="0"/>
                <w:szCs w:val="21"/>
                <w:lang w:eastAsia="zh-CN"/>
              </w:rPr>
              <w:t>资产总额</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 w:val="21"/>
                <w:szCs w:val="21"/>
                <w:lang w:val="en-US" w:eastAsia="zh-CN" w:bidi="ar-SA"/>
              </w:rPr>
            </w:pPr>
            <w:r>
              <w:rPr>
                <w:rFonts w:hint="eastAsia" w:cs="Times New Roman" w:eastAsiaTheme="minorEastAsia"/>
                <w:b w:val="0"/>
                <w:bCs/>
                <w:color w:val="000000"/>
                <w:kern w:val="0"/>
                <w:sz w:val="21"/>
                <w:szCs w:val="21"/>
                <w:lang w:val="en-US" w:eastAsia="zh-CN" w:bidi="ar-SA"/>
              </w:rPr>
              <w:t>15,078,934,087.90</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Cs w:val="21"/>
                <w:lang w:eastAsia="zh-CN"/>
              </w:rPr>
            </w:pPr>
            <w:r>
              <w:rPr>
                <w:rFonts w:hint="default" w:ascii="Times New Roman" w:hAnsi="Times New Roman" w:cs="Times New Roman" w:eastAsiaTheme="minorEastAsia"/>
                <w:b w:val="0"/>
                <w:bCs/>
                <w:color w:val="000000"/>
                <w:kern w:val="0"/>
                <w:szCs w:val="21"/>
                <w:lang w:eastAsia="zh-CN"/>
              </w:rPr>
              <w:t>资产净额</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 w:val="21"/>
                <w:szCs w:val="21"/>
                <w:lang w:val="en-US" w:eastAsia="zh-CN" w:bidi="ar-SA"/>
              </w:rPr>
            </w:pPr>
            <w:r>
              <w:rPr>
                <w:rFonts w:hint="eastAsia" w:cs="Times New Roman" w:eastAsiaTheme="minorEastAsia"/>
                <w:b w:val="0"/>
                <w:bCs/>
                <w:color w:val="000000"/>
                <w:kern w:val="0"/>
                <w:sz w:val="21"/>
                <w:szCs w:val="21"/>
                <w:lang w:val="en-US" w:eastAsia="zh-CN" w:bidi="ar-SA"/>
              </w:rPr>
              <w:t>4,080,854,233.27</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Cs w:val="21"/>
                <w:lang w:eastAsia="zh-CN"/>
              </w:rPr>
            </w:pPr>
            <w:r>
              <w:rPr>
                <w:rFonts w:hint="default" w:ascii="Times New Roman" w:hAnsi="Times New Roman" w:cs="Times New Roman" w:eastAsiaTheme="minorEastAsia"/>
                <w:b w:val="0"/>
                <w:bCs/>
                <w:color w:val="000000"/>
                <w:kern w:val="0"/>
                <w:szCs w:val="21"/>
                <w:lang w:eastAsia="zh-CN"/>
              </w:rPr>
              <w:t>营业收入</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 w:val="21"/>
                <w:szCs w:val="21"/>
                <w:lang w:val="en-US" w:eastAsia="zh-CN" w:bidi="ar-SA"/>
              </w:rPr>
            </w:pPr>
            <w:r>
              <w:rPr>
                <w:rFonts w:hint="eastAsia" w:cs="Times New Roman" w:eastAsiaTheme="minorEastAsia"/>
                <w:b w:val="0"/>
                <w:bCs/>
                <w:color w:val="000000"/>
                <w:kern w:val="0"/>
                <w:sz w:val="21"/>
                <w:szCs w:val="21"/>
                <w:lang w:val="en-US" w:eastAsia="zh-CN" w:bidi="ar-SA"/>
              </w:rPr>
              <w:t>1,045,895,451.01</w:t>
            </w:r>
          </w:p>
        </w:tc>
      </w:tr>
      <w:tr>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lang w:eastAsia="zh-CN"/>
              </w:rPr>
            </w:pPr>
            <w:r>
              <w:rPr>
                <w:rFonts w:hint="default" w:ascii="Times New Roman" w:hAnsi="Times New Roman" w:cs="Times New Roman" w:eastAsiaTheme="minorEastAsia"/>
                <w:b w:val="0"/>
                <w:bCs/>
                <w:color w:val="000000"/>
                <w:kern w:val="0"/>
                <w:szCs w:val="21"/>
                <w:lang w:eastAsia="zh-CN"/>
              </w:rPr>
              <w:t>净利润</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 w:val="21"/>
                <w:szCs w:val="21"/>
                <w:lang w:val="en-US" w:eastAsia="zh-CN" w:bidi="ar-SA"/>
              </w:rPr>
            </w:pPr>
            <w:r>
              <w:rPr>
                <w:rFonts w:hint="eastAsia" w:cs="Times New Roman" w:eastAsiaTheme="minorEastAsia"/>
                <w:b w:val="0"/>
                <w:bCs/>
                <w:color w:val="000000"/>
                <w:kern w:val="0"/>
                <w:sz w:val="21"/>
                <w:szCs w:val="21"/>
                <w:lang w:val="en-US" w:eastAsia="zh-CN" w:bidi="ar-SA"/>
              </w:rPr>
              <w:t>100,427,140.73</w:t>
            </w:r>
          </w:p>
        </w:tc>
      </w:tr>
    </w:tbl>
    <w:p>
      <w:pPr>
        <w:keepNext w:val="0"/>
        <w:keepLines w:val="0"/>
        <w:widowControl/>
        <w:numPr>
          <w:ilvl w:val="0"/>
          <w:numId w:val="0"/>
        </w:numPr>
        <w:suppressLineNumbers w:val="0"/>
        <w:spacing w:line="360" w:lineRule="auto"/>
        <w:jc w:val="left"/>
        <w:rPr>
          <w:rFonts w:eastAsiaTheme="minorEastAsia"/>
          <w:color w:val="000000"/>
          <w:sz w:val="24"/>
          <w:szCs w:val="24"/>
          <w:highlight w:val="none"/>
        </w:rPr>
      </w:pPr>
      <w:r>
        <w:rPr>
          <w:rFonts w:hint="default" w:ascii="Times New Roman" w:hAnsi="Times New Roman" w:cs="Times New Roman" w:eastAsiaTheme="minorEastAsia"/>
          <w:b w:val="0"/>
          <w:bCs w:val="0"/>
          <w:color w:val="000000"/>
          <w:sz w:val="24"/>
          <w:szCs w:val="24"/>
          <w:lang w:val="en-US" w:eastAsia="zh-CN"/>
        </w:rPr>
        <w:t>（注：国融证券基本情况、主要股东持股情况及主要财务指标相关数据摘自《国融证券</w:t>
      </w:r>
      <w:r>
        <w:rPr>
          <w:rFonts w:hint="eastAsia" w:cs="Times New Roman" w:eastAsiaTheme="minorEastAsia"/>
          <w:b w:val="0"/>
          <w:bCs w:val="0"/>
          <w:color w:val="000000"/>
          <w:sz w:val="24"/>
          <w:szCs w:val="24"/>
          <w:lang w:val="en-US" w:eastAsia="zh-CN"/>
        </w:rPr>
        <w:t>2020</w:t>
      </w:r>
      <w:r>
        <w:rPr>
          <w:rFonts w:hint="default" w:ascii="Times New Roman" w:hAnsi="Times New Roman" w:cs="Times New Roman" w:eastAsiaTheme="minorEastAsia"/>
          <w:b w:val="0"/>
          <w:bCs w:val="0"/>
          <w:color w:val="000000"/>
          <w:sz w:val="24"/>
          <w:szCs w:val="24"/>
          <w:lang w:val="en-US" w:eastAsia="zh-CN"/>
        </w:rPr>
        <w:t>年度财务报告披露》）</w:t>
      </w:r>
    </w:p>
    <w:p>
      <w:pPr>
        <w:keepNext w:val="0"/>
        <w:keepLines w:val="0"/>
        <w:widowControl/>
        <w:numPr>
          <w:ilvl w:val="0"/>
          <w:numId w:val="3"/>
        </w:numPr>
        <w:suppressLineNumbers w:val="0"/>
        <w:spacing w:line="360" w:lineRule="auto"/>
        <w:ind w:leftChars="175"/>
        <w:jc w:val="left"/>
        <w:rPr>
          <w:rFonts w:hint="eastAsia" w:asciiTheme="minorEastAsia" w:hAnsiTheme="minorEastAsia" w:eastAsiaTheme="minorEastAsia" w:cstheme="minorEastAsia"/>
          <w:b w:val="0"/>
          <w:bCs w:val="0"/>
          <w:color w:val="000000"/>
          <w:sz w:val="24"/>
          <w:szCs w:val="24"/>
          <w:lang w:val="en-US" w:eastAsia="zh-CN"/>
        </w:rPr>
      </w:pPr>
      <w:r>
        <w:rPr>
          <w:rFonts w:hint="eastAsia" w:asciiTheme="minorEastAsia" w:hAnsiTheme="minorEastAsia" w:eastAsiaTheme="minorEastAsia" w:cstheme="minorEastAsia"/>
          <w:b w:val="0"/>
          <w:bCs w:val="0"/>
          <w:color w:val="000000"/>
          <w:sz w:val="24"/>
          <w:szCs w:val="24"/>
          <w:lang w:val="en-US" w:eastAsia="zh-CN"/>
        </w:rPr>
        <w:t>与公司的关系</w:t>
      </w:r>
    </w:p>
    <w:p>
      <w:pPr>
        <w:keepNext w:val="0"/>
        <w:keepLines w:val="0"/>
        <w:widowControl/>
        <w:numPr>
          <w:ilvl w:val="0"/>
          <w:numId w:val="0"/>
        </w:numPr>
        <w:suppressLineNumbers w:val="0"/>
        <w:spacing w:line="360" w:lineRule="auto"/>
        <w:ind w:firstLine="420" w:firstLineChar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受托方</w:t>
      </w:r>
      <w:r>
        <w:rPr>
          <w:rFonts w:hint="default" w:asciiTheme="minorEastAsia" w:hAnsiTheme="minorEastAsia" w:eastAsiaTheme="minorEastAsia" w:cstheme="minorEastAsia"/>
          <w:color w:val="000000"/>
          <w:sz w:val="24"/>
          <w:szCs w:val="24"/>
          <w:lang w:val="en-US" w:eastAsia="zh-CN"/>
        </w:rPr>
        <w:t>与公司、公司控股股东及其一致行动人、实际控制人之间不存在产权、业务、资产、债权债务、人员等关联关系。</w:t>
      </w:r>
    </w:p>
    <w:p>
      <w:pPr>
        <w:keepNext w:val="0"/>
        <w:keepLines w:val="0"/>
        <w:widowControl/>
        <w:numPr>
          <w:ilvl w:val="0"/>
          <w:numId w:val="3"/>
        </w:numPr>
        <w:suppressLineNumbers w:val="0"/>
        <w:spacing w:line="360" w:lineRule="auto"/>
        <w:ind w:left="368" w:leftChars="175" w:firstLine="0" w:firstLineChars="0"/>
        <w:jc w:val="left"/>
        <w:rPr>
          <w:rFonts w:hint="default" w:asciiTheme="minorEastAsia" w:hAnsiTheme="minorEastAsia" w:eastAsiaTheme="minorEastAsia" w:cstheme="minorEastAsia"/>
          <w:color w:val="000000"/>
          <w:sz w:val="24"/>
          <w:szCs w:val="24"/>
          <w:lang w:val="en-US" w:eastAsia="zh-CN"/>
        </w:rPr>
      </w:pPr>
      <w:r>
        <w:rPr>
          <w:rFonts w:hint="default" w:asciiTheme="minorEastAsia" w:hAnsiTheme="minorEastAsia" w:eastAsiaTheme="minorEastAsia" w:cstheme="minorEastAsia"/>
          <w:color w:val="000000"/>
          <w:sz w:val="24"/>
          <w:szCs w:val="24"/>
          <w:lang w:val="en-US" w:eastAsia="zh-CN"/>
        </w:rPr>
        <w:t>公司董事会尽职调查情况</w:t>
      </w:r>
    </w:p>
    <w:p>
      <w:pPr>
        <w:keepNext w:val="0"/>
        <w:keepLines w:val="0"/>
        <w:widowControl/>
        <w:numPr>
          <w:ilvl w:val="0"/>
          <w:numId w:val="0"/>
        </w:numPr>
        <w:suppressLineNumbers w:val="0"/>
        <w:spacing w:line="360" w:lineRule="auto"/>
        <w:ind w:left="0" w:leftChars="0" w:firstLine="420" w:firstLineChars="175"/>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公司股东大会授权公司董事长在额度范围和时效内行使该项投资决策权并签署相关合同文件，并由公司管理层组织相关部门实施。公司</w:t>
      </w:r>
      <w:r>
        <w:rPr>
          <w:rFonts w:hint="default" w:asciiTheme="minorEastAsia" w:hAnsiTheme="minorEastAsia" w:eastAsiaTheme="minorEastAsia" w:cstheme="minorEastAsia"/>
          <w:color w:val="000000"/>
          <w:sz w:val="24"/>
          <w:szCs w:val="24"/>
          <w:lang w:val="en-US" w:eastAsia="zh-CN"/>
        </w:rPr>
        <w:t>管理层对受托方、资金使用方等交易各方当事人的基本情况、信用情况及其交易履约能力等进行了必要的尽职调查，未发现存在损害公司理财业务开展的具体情况。</w:t>
      </w:r>
    </w:p>
    <w:p>
      <w:pPr>
        <w:widowControl/>
        <w:spacing w:line="360" w:lineRule="auto"/>
        <w:jc w:val="left"/>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lang w:val="en-US" w:eastAsia="zh-CN"/>
        </w:rPr>
        <w:t>五</w:t>
      </w:r>
      <w:r>
        <w:rPr>
          <w:rFonts w:hint="eastAsia" w:asciiTheme="minorEastAsia" w:hAnsiTheme="minorEastAsia" w:eastAsiaTheme="minorEastAsia" w:cstheme="minorEastAsia"/>
          <w:b/>
          <w:color w:val="000000"/>
          <w:sz w:val="24"/>
          <w:szCs w:val="24"/>
        </w:rPr>
        <w:t>、</w:t>
      </w:r>
      <w:r>
        <w:rPr>
          <w:rFonts w:hint="eastAsia" w:asciiTheme="minorEastAsia" w:hAnsiTheme="minorEastAsia" w:eastAsiaTheme="minorEastAsia" w:cstheme="minorEastAsia"/>
          <w:b/>
          <w:bCs/>
          <w:color w:val="000000"/>
          <w:sz w:val="24"/>
          <w:szCs w:val="24"/>
        </w:rPr>
        <w:t>对公司的影响</w:t>
      </w:r>
    </w:p>
    <w:p>
      <w:pPr>
        <w:widowControl/>
        <w:spacing w:before="156" w:beforeLines="50" w:after="156" w:afterLines="50" w:line="360" w:lineRule="auto"/>
        <w:ind w:firstLine="420" w:firstLineChars="175"/>
        <w:rPr>
          <w:rFonts w:eastAsiaTheme="minorEastAsia"/>
          <w:color w:val="000000"/>
          <w:sz w:val="24"/>
          <w:szCs w:val="24"/>
        </w:rPr>
      </w:pPr>
      <w:r>
        <w:rPr>
          <w:rFonts w:hint="eastAsia" w:eastAsiaTheme="minorEastAsia"/>
          <w:color w:val="000000"/>
          <w:sz w:val="24"/>
          <w:szCs w:val="24"/>
        </w:rPr>
        <w:t>公司最近一年一期的主要财务指标如下：</w:t>
      </w:r>
    </w:p>
    <w:p>
      <w:pPr>
        <w:widowControl/>
        <w:ind w:left="368" w:leftChars="175"/>
        <w:jc w:val="righ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单位：元</w:t>
      </w:r>
    </w:p>
    <w:tbl>
      <w:tblPr>
        <w:tblStyle w:val="2"/>
        <w:tblW w:w="7981" w:type="dxa"/>
        <w:jc w:val="center"/>
        <w:tblLayout w:type="autofit"/>
        <w:tblCellMar>
          <w:top w:w="0" w:type="dxa"/>
          <w:left w:w="108" w:type="dxa"/>
          <w:bottom w:w="0" w:type="dxa"/>
          <w:right w:w="108" w:type="dxa"/>
        </w:tblCellMar>
      </w:tblPr>
      <w:tblGrid>
        <w:gridCol w:w="2955"/>
        <w:gridCol w:w="2395"/>
        <w:gridCol w:w="2631"/>
      </w:tblGrid>
      <w:tr>
        <w:tblPrEx>
          <w:tblCellMar>
            <w:top w:w="0" w:type="dxa"/>
            <w:left w:w="108" w:type="dxa"/>
            <w:bottom w:w="0" w:type="dxa"/>
            <w:right w:w="108" w:type="dxa"/>
          </w:tblCellMar>
        </w:tblPrEx>
        <w:trPr>
          <w:trHeight w:val="397" w:hRule="atLeast"/>
          <w:jc w:val="center"/>
        </w:trPr>
        <w:tc>
          <w:tcPr>
            <w:tcW w:w="295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hint="default" w:ascii="Times New Roman" w:hAnsi="Times New Roman" w:eastAsia="仿宋_GB2312" w:cs="Times New Roman"/>
                <w:b/>
                <w:color w:val="000000"/>
                <w:kern w:val="0"/>
                <w:szCs w:val="21"/>
              </w:rPr>
            </w:pPr>
            <w:r>
              <w:rPr>
                <w:rFonts w:hint="default" w:ascii="Times New Roman" w:hAnsi="Times New Roman" w:cs="Times New Roman" w:eastAsiaTheme="minorEastAsia"/>
                <w:b/>
                <w:color w:val="000000"/>
                <w:kern w:val="0"/>
                <w:szCs w:val="21"/>
              </w:rPr>
              <w:t>项</w:t>
            </w:r>
            <w:r>
              <w:rPr>
                <w:rFonts w:hint="eastAsia" w:cs="Times New Roman" w:eastAsiaTheme="minorEastAsia"/>
                <w:b/>
                <w:color w:val="000000"/>
                <w:kern w:val="0"/>
                <w:szCs w:val="21"/>
                <w:lang w:val="en-US" w:eastAsia="zh-CN"/>
              </w:rPr>
              <w:t xml:space="preserve">  </w:t>
            </w:r>
            <w:r>
              <w:rPr>
                <w:rFonts w:hint="default" w:ascii="Times New Roman" w:hAnsi="Times New Roman" w:cs="Times New Roman" w:eastAsiaTheme="minorEastAsia"/>
                <w:b/>
                <w:color w:val="000000"/>
                <w:kern w:val="0"/>
                <w:szCs w:val="21"/>
              </w:rPr>
              <w:t>目</w:t>
            </w:r>
          </w:p>
        </w:tc>
        <w:tc>
          <w:tcPr>
            <w:tcW w:w="239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hint="default" w:ascii="Times New Roman" w:hAnsi="Times New Roman" w:eastAsia="仿宋_GB2312" w:cs="Times New Roman"/>
                <w:b/>
                <w:color w:val="000000"/>
                <w:kern w:val="0"/>
                <w:szCs w:val="21"/>
              </w:rPr>
            </w:pPr>
            <w:r>
              <w:rPr>
                <w:rFonts w:hint="default" w:ascii="Times New Roman" w:hAnsi="Times New Roman" w:cs="Times New Roman" w:eastAsiaTheme="minorEastAsia"/>
                <w:b/>
                <w:color w:val="000000"/>
                <w:kern w:val="0"/>
                <w:szCs w:val="21"/>
              </w:rPr>
              <w:t>20</w:t>
            </w:r>
            <w:r>
              <w:rPr>
                <w:rFonts w:hint="default" w:ascii="Times New Roman" w:hAnsi="Times New Roman" w:cs="Times New Roman" w:eastAsiaTheme="minorEastAsia"/>
                <w:b/>
                <w:color w:val="000000"/>
                <w:kern w:val="0"/>
                <w:szCs w:val="21"/>
                <w:lang w:val="en-US" w:eastAsia="zh-CN"/>
              </w:rPr>
              <w:t>20</w:t>
            </w:r>
            <w:r>
              <w:rPr>
                <w:rFonts w:hint="default" w:ascii="Times New Roman" w:hAnsi="Times New Roman" w:cs="Times New Roman" w:eastAsiaTheme="minorEastAsia"/>
                <w:b/>
                <w:color w:val="000000"/>
                <w:kern w:val="0"/>
                <w:szCs w:val="21"/>
              </w:rPr>
              <w:t>年12月31日</w:t>
            </w:r>
          </w:p>
        </w:tc>
        <w:tc>
          <w:tcPr>
            <w:tcW w:w="2631"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center"/>
              <w:rPr>
                <w:rFonts w:hint="default" w:ascii="Times New Roman" w:hAnsi="Times New Roman" w:eastAsia="仿宋_GB2312" w:cs="Times New Roman"/>
                <w:b/>
                <w:color w:val="000000"/>
                <w:kern w:val="0"/>
                <w:szCs w:val="21"/>
              </w:rPr>
            </w:pPr>
            <w:r>
              <w:rPr>
                <w:rFonts w:hint="default" w:ascii="Times New Roman" w:hAnsi="Times New Roman" w:cs="Times New Roman" w:eastAsiaTheme="minorEastAsia"/>
                <w:b/>
                <w:color w:val="000000"/>
                <w:kern w:val="0"/>
                <w:szCs w:val="21"/>
              </w:rPr>
              <w:t>202</w:t>
            </w:r>
            <w:r>
              <w:rPr>
                <w:rFonts w:hint="default" w:ascii="Times New Roman" w:hAnsi="Times New Roman" w:cs="Times New Roman" w:eastAsiaTheme="minorEastAsia"/>
                <w:b/>
                <w:color w:val="000000"/>
                <w:kern w:val="0"/>
                <w:szCs w:val="21"/>
                <w:lang w:val="en-US" w:eastAsia="zh-CN"/>
              </w:rPr>
              <w:t>1</w:t>
            </w:r>
            <w:r>
              <w:rPr>
                <w:rFonts w:hint="default" w:ascii="Times New Roman" w:hAnsi="Times New Roman" w:cs="Times New Roman" w:eastAsiaTheme="minorEastAsia"/>
                <w:b/>
                <w:color w:val="000000"/>
                <w:kern w:val="0"/>
                <w:szCs w:val="21"/>
              </w:rPr>
              <w:t>年</w:t>
            </w:r>
            <w:r>
              <w:rPr>
                <w:rFonts w:hint="eastAsia" w:cs="Times New Roman" w:eastAsiaTheme="minorEastAsia"/>
                <w:b/>
                <w:color w:val="000000"/>
                <w:kern w:val="0"/>
                <w:szCs w:val="21"/>
                <w:lang w:val="en-US" w:eastAsia="zh-CN"/>
              </w:rPr>
              <w:t>9</w:t>
            </w:r>
            <w:r>
              <w:rPr>
                <w:rFonts w:hint="default" w:ascii="Times New Roman" w:hAnsi="Times New Roman" w:cs="Times New Roman" w:eastAsiaTheme="minorEastAsia"/>
                <w:b/>
                <w:color w:val="000000"/>
                <w:kern w:val="0"/>
                <w:szCs w:val="21"/>
              </w:rPr>
              <w:t>月3</w:t>
            </w:r>
            <w:r>
              <w:rPr>
                <w:rFonts w:hint="eastAsia" w:cs="Times New Roman" w:eastAsiaTheme="minorEastAsia"/>
                <w:b/>
                <w:color w:val="000000"/>
                <w:kern w:val="0"/>
                <w:szCs w:val="21"/>
                <w:lang w:val="en-US" w:eastAsia="zh-CN"/>
              </w:rPr>
              <w:t>0</w:t>
            </w:r>
            <w:r>
              <w:rPr>
                <w:rFonts w:hint="default" w:ascii="Times New Roman" w:hAnsi="Times New Roman" w:cs="Times New Roman" w:eastAsiaTheme="minorEastAsia"/>
                <w:b/>
                <w:color w:val="000000"/>
                <w:kern w:val="0"/>
                <w:szCs w:val="21"/>
              </w:rPr>
              <w:t>日</w:t>
            </w:r>
          </w:p>
        </w:tc>
      </w:tr>
      <w:tr>
        <w:tblPrEx>
          <w:tblCellMar>
            <w:top w:w="0" w:type="dxa"/>
            <w:left w:w="108" w:type="dxa"/>
            <w:bottom w:w="0" w:type="dxa"/>
            <w:right w:w="108" w:type="dxa"/>
          </w:tblCellMar>
        </w:tblPrEx>
        <w:trPr>
          <w:trHeight w:val="397" w:hRule="atLeast"/>
          <w:jc w:val="center"/>
        </w:trPr>
        <w:tc>
          <w:tcPr>
            <w:tcW w:w="295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hint="default" w:ascii="Times New Roman" w:hAnsi="Times New Roman" w:cs="Times New Roman" w:eastAsiaTheme="minorEastAsia"/>
                <w:bCs/>
                <w:color w:val="000000"/>
                <w:kern w:val="0"/>
                <w:szCs w:val="21"/>
              </w:rPr>
            </w:pPr>
            <w:r>
              <w:rPr>
                <w:rFonts w:hint="default" w:ascii="Times New Roman" w:hAnsi="Times New Roman" w:cs="Times New Roman" w:eastAsiaTheme="minorEastAsia"/>
                <w:bCs/>
                <w:color w:val="000000"/>
                <w:kern w:val="0"/>
                <w:szCs w:val="21"/>
              </w:rPr>
              <w:t>资产总额</w:t>
            </w:r>
          </w:p>
        </w:tc>
        <w:tc>
          <w:tcPr>
            <w:tcW w:w="239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hint="default" w:ascii="Times New Roman" w:hAnsi="Times New Roman" w:cs="Times New Roman" w:eastAsiaTheme="minorEastAsia"/>
                <w:bCs/>
                <w:color w:val="000000"/>
                <w:kern w:val="0"/>
                <w:szCs w:val="21"/>
              </w:rPr>
            </w:pPr>
            <w:r>
              <w:rPr>
                <w:rFonts w:hint="default" w:ascii="Times New Roman" w:hAnsi="Times New Roman" w:cs="Times New Roman" w:eastAsiaTheme="minorEastAsia"/>
                <w:bCs/>
                <w:color w:val="000000"/>
                <w:kern w:val="0"/>
                <w:szCs w:val="21"/>
              </w:rPr>
              <w:t>1,624,238,738.80</w:t>
            </w:r>
          </w:p>
        </w:tc>
        <w:tc>
          <w:tcPr>
            <w:tcW w:w="2631"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hint="default" w:ascii="Times New Roman" w:hAnsi="Times New Roman" w:cs="Times New Roman" w:eastAsiaTheme="minorEastAsia"/>
                <w:bCs/>
                <w:color w:val="000000"/>
                <w:kern w:val="0"/>
                <w:szCs w:val="21"/>
              </w:rPr>
            </w:pPr>
            <w:r>
              <w:t>1,733,726,082.73</w:t>
            </w:r>
          </w:p>
        </w:tc>
      </w:tr>
      <w:tr>
        <w:tblPrEx>
          <w:tblCellMar>
            <w:top w:w="0" w:type="dxa"/>
            <w:left w:w="108" w:type="dxa"/>
            <w:bottom w:w="0" w:type="dxa"/>
            <w:right w:w="108" w:type="dxa"/>
          </w:tblCellMar>
        </w:tblPrEx>
        <w:trPr>
          <w:trHeight w:val="90" w:hRule="atLeast"/>
          <w:jc w:val="center"/>
        </w:trPr>
        <w:tc>
          <w:tcPr>
            <w:tcW w:w="295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hint="default" w:ascii="Times New Roman" w:hAnsi="Times New Roman" w:cs="Times New Roman" w:eastAsiaTheme="minorEastAsia"/>
                <w:bCs/>
                <w:color w:val="000000"/>
                <w:kern w:val="0"/>
                <w:szCs w:val="21"/>
              </w:rPr>
            </w:pPr>
            <w:r>
              <w:rPr>
                <w:rFonts w:hint="default" w:ascii="Times New Roman" w:hAnsi="Times New Roman" w:cs="Times New Roman" w:eastAsiaTheme="minorEastAsia"/>
                <w:bCs/>
                <w:color w:val="000000"/>
                <w:kern w:val="0"/>
                <w:szCs w:val="21"/>
              </w:rPr>
              <w:t>负债总额</w:t>
            </w:r>
          </w:p>
        </w:tc>
        <w:tc>
          <w:tcPr>
            <w:tcW w:w="239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hint="default" w:ascii="Times New Roman" w:hAnsi="Times New Roman" w:cs="Times New Roman" w:eastAsiaTheme="minorEastAsia"/>
                <w:bCs/>
                <w:color w:val="000000"/>
                <w:kern w:val="0"/>
                <w:szCs w:val="21"/>
              </w:rPr>
            </w:pPr>
            <w:r>
              <w:rPr>
                <w:rFonts w:hint="default" w:ascii="Times New Roman" w:hAnsi="Times New Roman" w:cs="Times New Roman" w:eastAsiaTheme="minorEastAsia"/>
                <w:bCs/>
                <w:color w:val="000000"/>
                <w:kern w:val="0"/>
                <w:szCs w:val="21"/>
              </w:rPr>
              <w:t>294,316,496.83</w:t>
            </w:r>
          </w:p>
        </w:tc>
        <w:tc>
          <w:tcPr>
            <w:tcW w:w="2631"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hint="default" w:ascii="Times New Roman" w:hAnsi="Times New Roman" w:cs="Times New Roman" w:eastAsiaTheme="minorEastAsia"/>
                <w:bCs/>
                <w:color w:val="000000"/>
                <w:kern w:val="0"/>
                <w:szCs w:val="21"/>
              </w:rPr>
            </w:pPr>
            <w:r>
              <w:t>453,384,499.55</w:t>
            </w:r>
          </w:p>
        </w:tc>
      </w:tr>
      <w:tr>
        <w:tblPrEx>
          <w:tblCellMar>
            <w:top w:w="0" w:type="dxa"/>
            <w:left w:w="108" w:type="dxa"/>
            <w:bottom w:w="0" w:type="dxa"/>
            <w:right w:w="108" w:type="dxa"/>
          </w:tblCellMar>
        </w:tblPrEx>
        <w:trPr>
          <w:trHeight w:val="397" w:hRule="atLeast"/>
          <w:jc w:val="center"/>
        </w:trPr>
        <w:tc>
          <w:tcPr>
            <w:tcW w:w="295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hint="default" w:ascii="Times New Roman" w:hAnsi="Times New Roman" w:cs="Times New Roman" w:eastAsiaTheme="minorEastAsia"/>
                <w:bCs/>
                <w:color w:val="000000"/>
                <w:kern w:val="0"/>
                <w:szCs w:val="21"/>
              </w:rPr>
            </w:pPr>
            <w:r>
              <w:rPr>
                <w:rFonts w:hint="default" w:ascii="Times New Roman" w:hAnsi="Times New Roman" w:cs="Times New Roman" w:eastAsiaTheme="minorEastAsia"/>
                <w:bCs/>
                <w:color w:val="000000"/>
                <w:kern w:val="0"/>
                <w:szCs w:val="21"/>
              </w:rPr>
              <w:t>所有者权益合计</w:t>
            </w:r>
          </w:p>
        </w:tc>
        <w:tc>
          <w:tcPr>
            <w:tcW w:w="239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hint="default" w:ascii="Times New Roman" w:hAnsi="Times New Roman" w:cs="Times New Roman" w:eastAsiaTheme="minorEastAsia"/>
                <w:bCs/>
                <w:color w:val="000000"/>
                <w:kern w:val="0"/>
                <w:szCs w:val="21"/>
              </w:rPr>
            </w:pPr>
            <w:r>
              <w:rPr>
                <w:rFonts w:hint="default" w:ascii="Times New Roman" w:hAnsi="Times New Roman" w:cs="Times New Roman" w:eastAsiaTheme="minorEastAsia"/>
                <w:bCs/>
                <w:color w:val="000000"/>
                <w:kern w:val="0"/>
                <w:szCs w:val="21"/>
              </w:rPr>
              <w:t>1,329,922,241.97</w:t>
            </w:r>
          </w:p>
        </w:tc>
        <w:tc>
          <w:tcPr>
            <w:tcW w:w="2631"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hint="default" w:ascii="Times New Roman" w:hAnsi="Times New Roman" w:cs="Times New Roman" w:eastAsiaTheme="minorEastAsia"/>
                <w:bCs/>
                <w:color w:val="000000"/>
                <w:kern w:val="0"/>
                <w:szCs w:val="21"/>
                <w:lang w:val="en-US" w:eastAsia="zh-CN"/>
              </w:rPr>
            </w:pPr>
            <w:r>
              <w:rPr>
                <w:rFonts w:hint="eastAsia" w:eastAsiaTheme="minorEastAsia"/>
                <w:lang w:val="en-US" w:eastAsia="zh-CN"/>
              </w:rPr>
              <w:t>1,280,341,583.18</w:t>
            </w:r>
          </w:p>
        </w:tc>
      </w:tr>
      <w:tr>
        <w:tblPrEx>
          <w:tblCellMar>
            <w:top w:w="0" w:type="dxa"/>
            <w:left w:w="108" w:type="dxa"/>
            <w:bottom w:w="0" w:type="dxa"/>
            <w:right w:w="108" w:type="dxa"/>
          </w:tblCellMar>
        </w:tblPrEx>
        <w:trPr>
          <w:trHeight w:val="397" w:hRule="atLeast"/>
          <w:jc w:val="center"/>
        </w:trPr>
        <w:tc>
          <w:tcPr>
            <w:tcW w:w="295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Cs/>
                <w:color w:val="000000"/>
                <w:kern w:val="0"/>
                <w:szCs w:val="21"/>
              </w:rPr>
              <w:t>经营活动产生的现金</w:t>
            </w:r>
            <w:r>
              <w:rPr>
                <w:rFonts w:hint="default" w:ascii="Times New Roman" w:hAnsi="Times New Roman" w:cs="Times New Roman" w:eastAsiaTheme="minorEastAsia"/>
                <w:bCs/>
                <w:color w:val="000000"/>
                <w:kern w:val="0"/>
                <w:szCs w:val="21"/>
                <w:lang w:val="en-US" w:eastAsia="zh-CN"/>
              </w:rPr>
              <w:t>流量</w:t>
            </w:r>
            <w:r>
              <w:rPr>
                <w:rFonts w:hint="default" w:ascii="Times New Roman" w:hAnsi="Times New Roman" w:cs="Times New Roman" w:eastAsiaTheme="minorEastAsia"/>
                <w:bCs/>
                <w:color w:val="000000"/>
                <w:kern w:val="0"/>
                <w:szCs w:val="21"/>
              </w:rPr>
              <w:t>净额</w:t>
            </w:r>
          </w:p>
        </w:tc>
        <w:tc>
          <w:tcPr>
            <w:tcW w:w="239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Cs/>
                <w:color w:val="000000"/>
                <w:kern w:val="0"/>
                <w:szCs w:val="21"/>
              </w:rPr>
              <w:t>145,981,400.36</w:t>
            </w:r>
          </w:p>
        </w:tc>
        <w:tc>
          <w:tcPr>
            <w:tcW w:w="2631"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hint="default" w:ascii="Times New Roman" w:hAnsi="Times New Roman" w:cs="Times New Roman" w:eastAsiaTheme="minorEastAsia"/>
                <w:b/>
                <w:color w:val="000000"/>
                <w:kern w:val="0"/>
                <w:szCs w:val="21"/>
              </w:rPr>
            </w:pPr>
            <w:r>
              <w:t>-215,304,234.86</w:t>
            </w:r>
          </w:p>
        </w:tc>
      </w:tr>
    </w:tbl>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hint="default" w:ascii="Times New Roman" w:hAnsi="Times New Roman" w:cs="Times New Roman" w:eastAsiaTheme="minorEastAsia"/>
          <w:color w:val="000000"/>
          <w:sz w:val="24"/>
          <w:szCs w:val="24"/>
          <w:highlight w:val="none"/>
        </w:rPr>
      </w:pPr>
      <w:r>
        <w:rPr>
          <w:rFonts w:eastAsiaTheme="minorEastAsia"/>
          <w:color w:val="000000"/>
          <w:sz w:val="24"/>
          <w:szCs w:val="24"/>
          <w:highlight w:val="none"/>
        </w:rPr>
        <w:t>在符合国家法律法规，确保不影响公司正常运营、公司</w:t>
      </w:r>
      <w:r>
        <w:rPr>
          <w:rFonts w:hint="eastAsia" w:eastAsiaTheme="minorEastAsia"/>
          <w:color w:val="000000"/>
          <w:sz w:val="24"/>
          <w:szCs w:val="24"/>
          <w:highlight w:val="none"/>
          <w:lang w:eastAsia="zh-CN"/>
        </w:rPr>
        <w:t>自有资金</w:t>
      </w:r>
      <w:r>
        <w:rPr>
          <w:rFonts w:eastAsiaTheme="minorEastAsia"/>
          <w:color w:val="000000"/>
          <w:sz w:val="24"/>
          <w:szCs w:val="24"/>
          <w:highlight w:val="none"/>
        </w:rPr>
        <w:t>投资计划正常进行和</w:t>
      </w:r>
      <w:r>
        <w:rPr>
          <w:rFonts w:hint="eastAsia" w:eastAsiaTheme="minorEastAsia"/>
          <w:color w:val="000000"/>
          <w:sz w:val="24"/>
          <w:szCs w:val="24"/>
          <w:highlight w:val="none"/>
          <w:lang w:eastAsia="zh-CN"/>
        </w:rPr>
        <w:t>自有资金</w:t>
      </w:r>
      <w:r>
        <w:rPr>
          <w:rFonts w:eastAsiaTheme="minorEastAsia"/>
          <w:color w:val="000000"/>
          <w:sz w:val="24"/>
          <w:szCs w:val="24"/>
          <w:highlight w:val="none"/>
        </w:rPr>
        <w:t>安全的前提下，公司使用部分闲置</w:t>
      </w:r>
      <w:r>
        <w:rPr>
          <w:rFonts w:hint="eastAsia" w:eastAsiaTheme="minorEastAsia"/>
          <w:color w:val="000000"/>
          <w:sz w:val="24"/>
          <w:szCs w:val="24"/>
          <w:highlight w:val="none"/>
          <w:lang w:eastAsia="zh-CN"/>
        </w:rPr>
        <w:t>自有资金</w:t>
      </w:r>
      <w:r>
        <w:rPr>
          <w:rFonts w:eastAsiaTheme="minorEastAsia"/>
          <w:color w:val="000000"/>
          <w:sz w:val="24"/>
          <w:szCs w:val="24"/>
          <w:highlight w:val="none"/>
        </w:rPr>
        <w:t>进行现金管理购买期限不超过一</w:t>
      </w:r>
      <w:r>
        <w:rPr>
          <w:rFonts w:hint="default" w:ascii="Times New Roman" w:hAnsi="Times New Roman" w:cs="Times New Roman" w:eastAsiaTheme="minorEastAsia"/>
          <w:color w:val="000000"/>
          <w:sz w:val="24"/>
          <w:szCs w:val="24"/>
          <w:highlight w:val="none"/>
        </w:rPr>
        <w:t>年的理财产品，可以提高公司资金使用效率，增加存储收益，符合公司和全体股东的利益。</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hint="default" w:ascii="Times New Roman" w:hAnsi="Times New Roman" w:cs="Times New Roman" w:eastAsiaTheme="minorEastAsia"/>
          <w:color w:val="000000"/>
          <w:sz w:val="24"/>
          <w:szCs w:val="24"/>
          <w:highlight w:val="none"/>
        </w:rPr>
      </w:pPr>
      <w:r>
        <w:rPr>
          <w:rFonts w:hint="default" w:ascii="Times New Roman" w:hAnsi="Times New Roman" w:cs="Times New Roman" w:eastAsiaTheme="minorEastAsia"/>
          <w:color w:val="000000"/>
          <w:sz w:val="24"/>
          <w:szCs w:val="24"/>
          <w:highlight w:val="none"/>
        </w:rPr>
        <w:t>截止20</w:t>
      </w:r>
      <w:r>
        <w:rPr>
          <w:rFonts w:hint="default" w:ascii="Times New Roman" w:hAnsi="Times New Roman" w:cs="Times New Roman" w:eastAsiaTheme="minorEastAsia"/>
          <w:color w:val="000000"/>
          <w:sz w:val="24"/>
          <w:szCs w:val="24"/>
          <w:highlight w:val="none"/>
          <w:lang w:val="en-US" w:eastAsia="zh-CN"/>
        </w:rPr>
        <w:t>21</w:t>
      </w:r>
      <w:r>
        <w:rPr>
          <w:rFonts w:hint="default" w:ascii="Times New Roman" w:hAnsi="Times New Roman" w:cs="Times New Roman" w:eastAsiaTheme="minorEastAsia"/>
          <w:color w:val="000000"/>
          <w:sz w:val="24"/>
          <w:szCs w:val="24"/>
          <w:highlight w:val="none"/>
        </w:rPr>
        <w:t>年</w:t>
      </w:r>
      <w:r>
        <w:rPr>
          <w:rFonts w:hint="eastAsia" w:cs="Times New Roman" w:eastAsiaTheme="minorEastAsia"/>
          <w:color w:val="000000"/>
          <w:sz w:val="24"/>
          <w:szCs w:val="24"/>
          <w:highlight w:val="none"/>
          <w:lang w:val="en-US" w:eastAsia="zh-CN"/>
        </w:rPr>
        <w:t>9</w:t>
      </w:r>
      <w:r>
        <w:rPr>
          <w:rFonts w:hint="default" w:ascii="Times New Roman" w:hAnsi="Times New Roman" w:cs="Times New Roman" w:eastAsiaTheme="minorEastAsia"/>
          <w:color w:val="000000"/>
          <w:sz w:val="24"/>
          <w:szCs w:val="24"/>
          <w:highlight w:val="none"/>
        </w:rPr>
        <w:t>月</w:t>
      </w:r>
      <w:r>
        <w:rPr>
          <w:rFonts w:hint="default" w:ascii="Times New Roman" w:hAnsi="Times New Roman" w:cs="Times New Roman" w:eastAsiaTheme="minorEastAsia"/>
          <w:color w:val="000000"/>
          <w:sz w:val="24"/>
          <w:szCs w:val="24"/>
          <w:highlight w:val="none"/>
          <w:lang w:val="en-US" w:eastAsia="zh-CN"/>
        </w:rPr>
        <w:t>3</w:t>
      </w:r>
      <w:r>
        <w:rPr>
          <w:rFonts w:hint="eastAsia" w:cs="Times New Roman" w:eastAsiaTheme="minorEastAsia"/>
          <w:color w:val="000000"/>
          <w:sz w:val="24"/>
          <w:szCs w:val="24"/>
          <w:highlight w:val="none"/>
          <w:lang w:val="en-US" w:eastAsia="zh-CN"/>
        </w:rPr>
        <w:t>0</w:t>
      </w:r>
      <w:r>
        <w:rPr>
          <w:rFonts w:hint="default" w:ascii="Times New Roman" w:hAnsi="Times New Roman" w:cs="Times New Roman" w:eastAsiaTheme="minorEastAsia"/>
          <w:color w:val="000000"/>
          <w:sz w:val="24"/>
          <w:szCs w:val="24"/>
          <w:highlight w:val="none"/>
        </w:rPr>
        <w:t>日，公司资产负债率为</w:t>
      </w:r>
      <w:r>
        <w:rPr>
          <w:rFonts w:hint="default" w:ascii="Times New Roman" w:hAnsi="Times New Roman" w:cs="Times New Roman" w:eastAsiaTheme="minorEastAsia"/>
          <w:color w:val="000000"/>
          <w:sz w:val="24"/>
          <w:szCs w:val="24"/>
          <w:highlight w:val="none"/>
          <w:lang w:val="en-US" w:eastAsia="zh-CN"/>
        </w:rPr>
        <w:t>2</w:t>
      </w:r>
      <w:r>
        <w:rPr>
          <w:rFonts w:hint="eastAsia" w:cs="Times New Roman" w:eastAsiaTheme="minorEastAsia"/>
          <w:color w:val="000000"/>
          <w:sz w:val="24"/>
          <w:szCs w:val="24"/>
          <w:highlight w:val="none"/>
          <w:lang w:val="en-US" w:eastAsia="zh-CN"/>
        </w:rPr>
        <w:t>6</w:t>
      </w:r>
      <w:r>
        <w:rPr>
          <w:rFonts w:hint="default" w:ascii="Times New Roman" w:hAnsi="Times New Roman" w:cs="Times New Roman" w:eastAsiaTheme="minorEastAsia"/>
          <w:color w:val="000000"/>
          <w:sz w:val="24"/>
          <w:szCs w:val="24"/>
          <w:highlight w:val="none"/>
          <w:lang w:val="en-US" w:eastAsia="zh-CN"/>
        </w:rPr>
        <w:t>.</w:t>
      </w:r>
      <w:r>
        <w:rPr>
          <w:rFonts w:hint="eastAsia" w:cs="Times New Roman" w:eastAsiaTheme="minorEastAsia"/>
          <w:color w:val="000000"/>
          <w:sz w:val="24"/>
          <w:szCs w:val="24"/>
          <w:highlight w:val="none"/>
          <w:lang w:val="en-US" w:eastAsia="zh-CN"/>
        </w:rPr>
        <w:t>15</w:t>
      </w:r>
      <w:r>
        <w:rPr>
          <w:rFonts w:hint="default" w:ascii="Times New Roman" w:hAnsi="Times New Roman" w:cs="Times New Roman" w:eastAsiaTheme="minorEastAsia"/>
          <w:color w:val="000000"/>
          <w:sz w:val="24"/>
          <w:szCs w:val="24"/>
          <w:highlight w:val="none"/>
        </w:rPr>
        <w:t>%，不存在负有大额负债的同时购买大额理财产品的情形，不会对公司未来主营业务、财务状况、经营成果和现金流量造成较大影响。本次购买的理财产品计入资产负债表中</w:t>
      </w:r>
      <w:r>
        <w:rPr>
          <w:rFonts w:hint="eastAsia" w:cs="Times New Roman" w:eastAsiaTheme="minorEastAsia"/>
          <w:color w:val="000000"/>
          <w:sz w:val="24"/>
          <w:szCs w:val="24"/>
          <w:highlight w:val="none"/>
          <w:lang w:eastAsia="zh-CN"/>
        </w:rPr>
        <w:t>“</w:t>
      </w:r>
      <w:r>
        <w:rPr>
          <w:rFonts w:hint="default" w:ascii="Times New Roman" w:hAnsi="Times New Roman" w:cs="Times New Roman" w:eastAsiaTheme="minorEastAsia"/>
          <w:color w:val="000000"/>
          <w:sz w:val="24"/>
          <w:szCs w:val="24"/>
          <w:highlight w:val="none"/>
        </w:rPr>
        <w:t>交易性金融资产</w:t>
      </w:r>
      <w:r>
        <w:rPr>
          <w:rFonts w:hint="eastAsia" w:cs="Times New Roman" w:eastAsiaTheme="minorEastAsia"/>
          <w:color w:val="000000"/>
          <w:sz w:val="24"/>
          <w:szCs w:val="24"/>
          <w:highlight w:val="none"/>
          <w:lang w:eastAsia="zh-CN"/>
        </w:rPr>
        <w:t>”</w:t>
      </w:r>
      <w:r>
        <w:rPr>
          <w:rFonts w:hint="default" w:ascii="Times New Roman" w:hAnsi="Times New Roman" w:cs="Times New Roman" w:eastAsiaTheme="minorEastAsia"/>
          <w:color w:val="000000"/>
          <w:sz w:val="24"/>
          <w:szCs w:val="24"/>
          <w:highlight w:val="none"/>
        </w:rPr>
        <w:t>，将产生的利息收益计入利润表中</w:t>
      </w:r>
      <w:r>
        <w:rPr>
          <w:rFonts w:hint="eastAsia" w:asciiTheme="minorEastAsia" w:hAnsiTheme="minorEastAsia" w:eastAsiaTheme="minorEastAsia" w:cstheme="minorEastAsia"/>
          <w:color w:val="000000"/>
          <w:sz w:val="24"/>
          <w:szCs w:val="24"/>
          <w:highlight w:val="none"/>
        </w:rPr>
        <w:t>“投资收益”</w:t>
      </w:r>
      <w:r>
        <w:rPr>
          <w:rFonts w:hint="default" w:ascii="Times New Roman" w:hAnsi="Times New Roman" w:cs="Times New Roman" w:eastAsiaTheme="minorEastAsia"/>
          <w:color w:val="000000"/>
          <w:sz w:val="24"/>
          <w:szCs w:val="24"/>
          <w:highlight w:val="none"/>
        </w:rPr>
        <w:t>。</w:t>
      </w:r>
    </w:p>
    <w:p>
      <w:pPr>
        <w:widowControl/>
        <w:spacing w:before="156" w:beforeLines="50" w:after="156" w:afterLines="50" w:line="360" w:lineRule="auto"/>
        <w:rPr>
          <w:rFonts w:eastAsiaTheme="minorEastAsia"/>
          <w:b/>
          <w:bCs/>
          <w:color w:val="000000"/>
          <w:sz w:val="24"/>
          <w:szCs w:val="24"/>
        </w:rPr>
      </w:pPr>
      <w:r>
        <w:rPr>
          <w:rFonts w:hint="eastAsia" w:eastAsiaTheme="minorEastAsia"/>
          <w:b/>
          <w:bCs/>
          <w:color w:val="000000"/>
          <w:sz w:val="24"/>
          <w:szCs w:val="24"/>
          <w:lang w:val="en-US" w:eastAsia="zh-CN"/>
        </w:rPr>
        <w:t>六</w:t>
      </w:r>
      <w:r>
        <w:rPr>
          <w:rFonts w:hint="eastAsia" w:eastAsiaTheme="minorEastAsia"/>
          <w:b/>
          <w:bCs/>
          <w:color w:val="000000"/>
          <w:sz w:val="24"/>
          <w:szCs w:val="24"/>
        </w:rPr>
        <w:t>、风险提示</w:t>
      </w:r>
    </w:p>
    <w:p>
      <w:pPr>
        <w:widowControl/>
        <w:spacing w:before="156" w:beforeLines="50" w:after="156" w:afterLines="50" w:line="360" w:lineRule="auto"/>
        <w:ind w:firstLine="420" w:firstLineChars="175"/>
        <w:rPr>
          <w:rFonts w:eastAsiaTheme="minorEastAsia"/>
          <w:color w:val="000000"/>
          <w:sz w:val="24"/>
          <w:szCs w:val="24"/>
          <w:highlight w:val="none"/>
        </w:rPr>
      </w:pPr>
      <w:r>
        <w:rPr>
          <w:rFonts w:eastAsiaTheme="minorEastAsia"/>
          <w:color w:val="000000"/>
          <w:sz w:val="24"/>
          <w:szCs w:val="24"/>
          <w:highlight w:val="none"/>
        </w:rPr>
        <w:t>尽管本次公司进行现金管理，</w:t>
      </w:r>
      <w:r>
        <w:rPr>
          <w:rFonts w:hint="eastAsia" w:eastAsiaTheme="minorEastAsia"/>
          <w:color w:val="000000"/>
          <w:sz w:val="24"/>
          <w:szCs w:val="24"/>
          <w:highlight w:val="none"/>
          <w:lang w:eastAsia="zh-CN"/>
        </w:rPr>
        <w:t>主要用于投资</w:t>
      </w:r>
      <w:r>
        <w:rPr>
          <w:rFonts w:ascii="宋体" w:hAnsi="宋体" w:eastAsia="宋体" w:cs="宋体"/>
          <w:sz w:val="24"/>
          <w:szCs w:val="24"/>
          <w:highlight w:val="none"/>
        </w:rPr>
        <w:t>合法金融机构发行的风险可控、流动性好的理财产品</w:t>
      </w:r>
      <w:r>
        <w:rPr>
          <w:rFonts w:hint="eastAsia" w:ascii="宋体" w:hAnsi="宋体" w:cs="宋体"/>
          <w:sz w:val="24"/>
          <w:szCs w:val="24"/>
          <w:highlight w:val="none"/>
          <w:lang w:eastAsia="zh-CN"/>
        </w:rPr>
        <w:t>，</w:t>
      </w:r>
      <w:r>
        <w:rPr>
          <w:rFonts w:ascii="宋体" w:hAnsi="宋体" w:eastAsia="宋体" w:cs="宋体"/>
          <w:sz w:val="24"/>
          <w:szCs w:val="24"/>
          <w:highlight w:val="none"/>
        </w:rPr>
        <w:t>不直接用于其他证券投资，不购买股票及其衍生品、无担保债券</w:t>
      </w:r>
      <w:r>
        <w:rPr>
          <w:rFonts w:hint="eastAsia" w:ascii="宋体" w:hAnsi="宋体" w:cs="宋体"/>
          <w:sz w:val="24"/>
          <w:szCs w:val="24"/>
          <w:highlight w:val="none"/>
          <w:lang w:eastAsia="zh-CN"/>
        </w:rPr>
        <w:t>。</w:t>
      </w:r>
      <w:r>
        <w:rPr>
          <w:rFonts w:eastAsiaTheme="minorEastAsia"/>
          <w:color w:val="000000"/>
          <w:sz w:val="24"/>
          <w:szCs w:val="24"/>
          <w:highlight w:val="none"/>
        </w:rPr>
        <w:t>但金融市场受宏观经济、财政及货币政策的影响较大，该项投资仍会受到市场波动的影响。</w:t>
      </w:r>
      <w:r>
        <w:rPr>
          <w:rFonts w:hint="eastAsia" w:eastAsiaTheme="minorEastAsia"/>
          <w:color w:val="000000"/>
          <w:sz w:val="24"/>
          <w:szCs w:val="24"/>
          <w:highlight w:val="none"/>
        </w:rPr>
        <w:t>敬请广大投资者谨慎决策，注意防范投资风险。</w:t>
      </w:r>
    </w:p>
    <w:p>
      <w:pPr>
        <w:widowControl/>
        <w:spacing w:line="360" w:lineRule="auto"/>
        <w:jc w:val="left"/>
        <w:rPr>
          <w:rFonts w:asciiTheme="minorEastAsia" w:hAnsiTheme="minorEastAsia" w:eastAsiaTheme="minorEastAsia" w:cstheme="minorEastAsia"/>
          <w:b/>
          <w:bCs/>
          <w:color w:val="000000"/>
          <w:sz w:val="24"/>
          <w:szCs w:val="24"/>
        </w:rPr>
      </w:pPr>
      <w:r>
        <w:rPr>
          <w:rFonts w:hint="eastAsia" w:eastAsiaTheme="minorEastAsia"/>
          <w:b/>
          <w:color w:val="000000"/>
          <w:sz w:val="24"/>
          <w:szCs w:val="24"/>
          <w:lang w:val="en-US" w:eastAsia="zh-CN"/>
        </w:rPr>
        <w:t>七</w:t>
      </w:r>
      <w:r>
        <w:rPr>
          <w:rFonts w:hint="eastAsia" w:eastAsiaTheme="minorEastAsia"/>
          <w:b/>
          <w:color w:val="000000"/>
          <w:sz w:val="24"/>
          <w:szCs w:val="24"/>
        </w:rPr>
        <w:t>、</w:t>
      </w:r>
      <w:r>
        <w:rPr>
          <w:rFonts w:asciiTheme="minorEastAsia" w:hAnsiTheme="minorEastAsia" w:eastAsiaTheme="minorEastAsia" w:cstheme="minorEastAsia"/>
          <w:b/>
          <w:bCs/>
          <w:color w:val="000000"/>
          <w:sz w:val="24"/>
          <w:szCs w:val="24"/>
        </w:rPr>
        <w:t>决策程序的履行及监事会、独立董事、保荐机构意见</w:t>
      </w:r>
    </w:p>
    <w:p>
      <w:pPr>
        <w:widowControl/>
        <w:spacing w:before="156" w:beforeLines="50" w:after="156" w:afterLines="50" w:line="360" w:lineRule="auto"/>
        <w:ind w:firstLine="420" w:firstLineChars="175"/>
        <w:rPr>
          <w:rFonts w:hint="eastAsia" w:eastAsiaTheme="minorEastAsia"/>
          <w:color w:val="000000"/>
          <w:sz w:val="24"/>
          <w:szCs w:val="24"/>
          <w:highlight w:val="none"/>
          <w:lang w:val="en-US" w:eastAsia="zh-CN"/>
        </w:rPr>
      </w:pPr>
      <w:r>
        <w:rPr>
          <w:rFonts w:hint="eastAsia" w:asciiTheme="minorEastAsia" w:hAnsiTheme="minorEastAsia" w:eastAsiaTheme="minorEastAsia" w:cstheme="minorEastAsia"/>
          <w:color w:val="000000"/>
          <w:kern w:val="0"/>
          <w:sz w:val="24"/>
          <w:szCs w:val="24"/>
          <w:highlight w:val="none"/>
          <w:lang w:val="en-US" w:eastAsia="zh-CN" w:bidi="ar"/>
        </w:rPr>
        <w:t>公司</w:t>
      </w:r>
      <w:r>
        <w:rPr>
          <w:rFonts w:hint="eastAsia" w:asciiTheme="minorEastAsia" w:hAnsiTheme="minorEastAsia" w:eastAsiaTheme="minorEastAsia" w:cstheme="minorEastAsia"/>
          <w:color w:val="000000"/>
          <w:kern w:val="0"/>
          <w:sz w:val="24"/>
          <w:szCs w:val="24"/>
          <w:highlight w:val="none"/>
          <w:lang w:bidi="ar"/>
        </w:rPr>
        <w:t>分</w:t>
      </w:r>
      <w:r>
        <w:rPr>
          <w:rFonts w:hint="default" w:ascii="Times New Roman" w:hAnsi="Times New Roman" w:cs="Times New Roman" w:eastAsiaTheme="minorEastAsia"/>
          <w:color w:val="000000"/>
          <w:kern w:val="0"/>
          <w:sz w:val="24"/>
          <w:szCs w:val="24"/>
          <w:highlight w:val="none"/>
          <w:lang w:bidi="ar"/>
        </w:rPr>
        <w:t>别于202</w:t>
      </w:r>
      <w:r>
        <w:rPr>
          <w:rFonts w:hint="eastAsia" w:cs="Times New Roman" w:eastAsiaTheme="minorEastAsia"/>
          <w:color w:val="000000"/>
          <w:kern w:val="0"/>
          <w:sz w:val="24"/>
          <w:szCs w:val="24"/>
          <w:highlight w:val="none"/>
          <w:lang w:val="en-US" w:eastAsia="zh-CN" w:bidi="ar"/>
        </w:rPr>
        <w:t>1</w:t>
      </w:r>
      <w:r>
        <w:rPr>
          <w:rFonts w:hint="default" w:ascii="Times New Roman" w:hAnsi="Times New Roman" w:cs="Times New Roman" w:eastAsiaTheme="minorEastAsia"/>
          <w:color w:val="000000"/>
          <w:kern w:val="0"/>
          <w:sz w:val="24"/>
          <w:szCs w:val="24"/>
          <w:highlight w:val="none"/>
          <w:lang w:bidi="ar"/>
        </w:rPr>
        <w:t>年</w:t>
      </w:r>
      <w:r>
        <w:rPr>
          <w:rFonts w:hint="eastAsia" w:cs="Times New Roman" w:eastAsiaTheme="minorEastAsia"/>
          <w:color w:val="000000"/>
          <w:kern w:val="0"/>
          <w:sz w:val="24"/>
          <w:szCs w:val="24"/>
          <w:highlight w:val="none"/>
          <w:lang w:val="en-US" w:eastAsia="zh-CN" w:bidi="ar"/>
        </w:rPr>
        <w:t>4</w:t>
      </w:r>
      <w:r>
        <w:rPr>
          <w:rFonts w:hint="default" w:ascii="Times New Roman" w:hAnsi="Times New Roman" w:cs="Times New Roman" w:eastAsiaTheme="minorEastAsia"/>
          <w:color w:val="000000"/>
          <w:kern w:val="0"/>
          <w:sz w:val="24"/>
          <w:szCs w:val="24"/>
          <w:highlight w:val="none"/>
          <w:lang w:bidi="ar"/>
        </w:rPr>
        <w:t>月</w:t>
      </w:r>
      <w:r>
        <w:rPr>
          <w:rFonts w:hint="eastAsia" w:cs="Times New Roman" w:eastAsiaTheme="minorEastAsia"/>
          <w:color w:val="000000"/>
          <w:kern w:val="0"/>
          <w:sz w:val="24"/>
          <w:szCs w:val="24"/>
          <w:highlight w:val="none"/>
          <w:lang w:val="en-US" w:eastAsia="zh-CN" w:bidi="ar"/>
        </w:rPr>
        <w:t>22</w:t>
      </w:r>
      <w:r>
        <w:rPr>
          <w:rFonts w:hint="default" w:ascii="Times New Roman" w:hAnsi="Times New Roman" w:cs="Times New Roman" w:eastAsiaTheme="minorEastAsia"/>
          <w:color w:val="000000"/>
          <w:kern w:val="0"/>
          <w:sz w:val="24"/>
          <w:szCs w:val="24"/>
          <w:highlight w:val="none"/>
          <w:lang w:bidi="ar"/>
        </w:rPr>
        <w:t>日、202</w:t>
      </w:r>
      <w:r>
        <w:rPr>
          <w:rFonts w:hint="eastAsia" w:cs="Times New Roman" w:eastAsiaTheme="minorEastAsia"/>
          <w:color w:val="000000"/>
          <w:kern w:val="0"/>
          <w:sz w:val="24"/>
          <w:szCs w:val="24"/>
          <w:highlight w:val="none"/>
          <w:lang w:val="en-US" w:eastAsia="zh-CN" w:bidi="ar"/>
        </w:rPr>
        <w:t>1</w:t>
      </w:r>
      <w:r>
        <w:rPr>
          <w:rFonts w:hint="default" w:ascii="Times New Roman" w:hAnsi="Times New Roman" w:cs="Times New Roman" w:eastAsiaTheme="minorEastAsia"/>
          <w:color w:val="000000"/>
          <w:kern w:val="0"/>
          <w:sz w:val="24"/>
          <w:szCs w:val="24"/>
          <w:highlight w:val="none"/>
          <w:lang w:bidi="ar"/>
        </w:rPr>
        <w:t>年</w:t>
      </w:r>
      <w:r>
        <w:rPr>
          <w:rFonts w:hint="eastAsia" w:cs="Times New Roman" w:eastAsiaTheme="minorEastAsia"/>
          <w:color w:val="000000"/>
          <w:kern w:val="0"/>
          <w:sz w:val="24"/>
          <w:szCs w:val="24"/>
          <w:highlight w:val="none"/>
          <w:lang w:val="en-US" w:eastAsia="zh-CN" w:bidi="ar"/>
        </w:rPr>
        <w:t>5</w:t>
      </w:r>
      <w:r>
        <w:rPr>
          <w:rFonts w:hint="default" w:ascii="Times New Roman" w:hAnsi="Times New Roman" w:cs="Times New Roman" w:eastAsiaTheme="minorEastAsia"/>
          <w:color w:val="000000"/>
          <w:kern w:val="0"/>
          <w:sz w:val="24"/>
          <w:szCs w:val="24"/>
          <w:highlight w:val="none"/>
          <w:lang w:bidi="ar"/>
        </w:rPr>
        <w:t>月</w:t>
      </w:r>
      <w:r>
        <w:rPr>
          <w:rFonts w:hint="eastAsia" w:cs="Times New Roman" w:eastAsiaTheme="minorEastAsia"/>
          <w:color w:val="000000"/>
          <w:kern w:val="0"/>
          <w:sz w:val="24"/>
          <w:szCs w:val="24"/>
          <w:highlight w:val="none"/>
          <w:lang w:val="en-US" w:eastAsia="zh-CN" w:bidi="ar"/>
        </w:rPr>
        <w:t>13</w:t>
      </w:r>
      <w:r>
        <w:rPr>
          <w:rFonts w:hint="default" w:ascii="Times New Roman" w:hAnsi="Times New Roman" w:cs="Times New Roman" w:eastAsiaTheme="minorEastAsia"/>
          <w:color w:val="000000"/>
          <w:kern w:val="0"/>
          <w:sz w:val="24"/>
          <w:szCs w:val="24"/>
          <w:highlight w:val="none"/>
          <w:lang w:bidi="ar"/>
        </w:rPr>
        <w:t>日召开了公司第七届董事会第十</w:t>
      </w:r>
      <w:r>
        <w:rPr>
          <w:rFonts w:hint="eastAsia" w:cs="Times New Roman" w:eastAsiaTheme="minorEastAsia"/>
          <w:color w:val="000000"/>
          <w:kern w:val="0"/>
          <w:sz w:val="24"/>
          <w:szCs w:val="24"/>
          <w:highlight w:val="none"/>
          <w:lang w:val="en-US" w:eastAsia="zh-CN" w:bidi="ar"/>
        </w:rPr>
        <w:t>六</w:t>
      </w:r>
      <w:r>
        <w:rPr>
          <w:rFonts w:hint="default" w:ascii="Times New Roman" w:hAnsi="Times New Roman" w:cs="Times New Roman" w:eastAsiaTheme="minorEastAsia"/>
          <w:color w:val="000000"/>
          <w:kern w:val="0"/>
          <w:sz w:val="24"/>
          <w:szCs w:val="24"/>
          <w:highlight w:val="none"/>
          <w:lang w:bidi="ar"/>
        </w:rPr>
        <w:t>次会议、第七届监事会第</w:t>
      </w:r>
      <w:r>
        <w:rPr>
          <w:rFonts w:hint="eastAsia" w:cs="Times New Roman" w:eastAsiaTheme="minorEastAsia"/>
          <w:color w:val="000000"/>
          <w:kern w:val="0"/>
          <w:sz w:val="24"/>
          <w:szCs w:val="24"/>
          <w:highlight w:val="none"/>
          <w:lang w:val="en-US" w:eastAsia="zh-CN" w:bidi="ar"/>
        </w:rPr>
        <w:t>十二</w:t>
      </w:r>
      <w:r>
        <w:rPr>
          <w:rFonts w:hint="default" w:ascii="Times New Roman" w:hAnsi="Times New Roman" w:cs="Times New Roman" w:eastAsiaTheme="minorEastAsia"/>
          <w:color w:val="000000"/>
          <w:kern w:val="0"/>
          <w:sz w:val="24"/>
          <w:szCs w:val="24"/>
          <w:highlight w:val="none"/>
          <w:lang w:bidi="ar"/>
        </w:rPr>
        <w:t>次会议及公司202</w:t>
      </w:r>
      <w:r>
        <w:rPr>
          <w:rFonts w:hint="eastAsia" w:cs="Times New Roman" w:eastAsiaTheme="minorEastAsia"/>
          <w:color w:val="000000"/>
          <w:kern w:val="0"/>
          <w:sz w:val="24"/>
          <w:szCs w:val="24"/>
          <w:highlight w:val="none"/>
          <w:lang w:val="en-US" w:eastAsia="zh-CN" w:bidi="ar"/>
        </w:rPr>
        <w:t>0</w:t>
      </w:r>
      <w:r>
        <w:rPr>
          <w:rFonts w:hint="default" w:ascii="Times New Roman" w:hAnsi="Times New Roman" w:cs="Times New Roman" w:eastAsiaTheme="minorEastAsia"/>
          <w:color w:val="000000"/>
          <w:kern w:val="0"/>
          <w:sz w:val="24"/>
          <w:szCs w:val="24"/>
          <w:highlight w:val="none"/>
          <w:lang w:bidi="ar"/>
        </w:rPr>
        <w:t>年</w:t>
      </w:r>
      <w:r>
        <w:rPr>
          <w:rFonts w:hint="eastAsia" w:cs="Times New Roman" w:eastAsiaTheme="minorEastAsia"/>
          <w:color w:val="000000"/>
          <w:kern w:val="0"/>
          <w:sz w:val="24"/>
          <w:szCs w:val="24"/>
          <w:highlight w:val="none"/>
          <w:lang w:val="en-US" w:eastAsia="zh-CN" w:bidi="ar"/>
        </w:rPr>
        <w:t>年度</w:t>
      </w:r>
      <w:r>
        <w:rPr>
          <w:rFonts w:hint="default" w:ascii="Times New Roman" w:hAnsi="Times New Roman" w:cs="Times New Roman" w:eastAsiaTheme="minorEastAsia"/>
          <w:color w:val="000000"/>
          <w:kern w:val="0"/>
          <w:sz w:val="24"/>
          <w:szCs w:val="24"/>
          <w:highlight w:val="none"/>
          <w:lang w:bidi="ar"/>
        </w:rPr>
        <w:t>股东大会，</w:t>
      </w:r>
      <w:r>
        <w:rPr>
          <w:rFonts w:hint="default" w:ascii="Times New Roman" w:hAnsi="Times New Roman" w:cs="Times New Roman" w:eastAsiaTheme="minorEastAsia"/>
          <w:color w:val="000000"/>
          <w:sz w:val="24"/>
          <w:szCs w:val="24"/>
          <w:highlight w:val="none"/>
        </w:rPr>
        <w:t>审议通过了《关于使用部分闲置自有资金进行现金管理的议案》，同意公司使用总额不超过人民币8亿元（含8亿元）的闲置自有资金进行现金管理，同时在二年内（含二年）该资金额度可滚动使用。自获得公司2020年</w:t>
      </w:r>
      <w:r>
        <w:rPr>
          <w:rFonts w:hint="eastAsia" w:cs="Times New Roman" w:eastAsiaTheme="minorEastAsia"/>
          <w:color w:val="000000"/>
          <w:sz w:val="24"/>
          <w:szCs w:val="24"/>
          <w:highlight w:val="none"/>
          <w:lang w:val="en-US" w:eastAsia="zh-CN"/>
        </w:rPr>
        <w:t>年度</w:t>
      </w:r>
      <w:r>
        <w:rPr>
          <w:rFonts w:hint="default" w:ascii="Times New Roman" w:hAnsi="Times New Roman" w:cs="Times New Roman" w:eastAsiaTheme="minorEastAsia"/>
          <w:color w:val="000000"/>
          <w:sz w:val="24"/>
          <w:szCs w:val="24"/>
          <w:highlight w:val="none"/>
        </w:rPr>
        <w:t>股东大会审议通过之日起二年内有效。公司独立董事、监事会及保荐机构已分别对此发表了同意的意见。具体详情详见公司分别于202</w:t>
      </w:r>
      <w:r>
        <w:rPr>
          <w:rFonts w:hint="eastAsia" w:cs="Times New Roman" w:eastAsiaTheme="minorEastAsia"/>
          <w:color w:val="000000"/>
          <w:sz w:val="24"/>
          <w:szCs w:val="24"/>
          <w:highlight w:val="none"/>
          <w:lang w:val="en-US" w:eastAsia="zh-CN"/>
        </w:rPr>
        <w:t>1</w:t>
      </w:r>
      <w:r>
        <w:rPr>
          <w:rFonts w:hint="default" w:ascii="Times New Roman" w:hAnsi="Times New Roman" w:cs="Times New Roman" w:eastAsiaTheme="minorEastAsia"/>
          <w:color w:val="000000"/>
          <w:sz w:val="24"/>
          <w:szCs w:val="24"/>
          <w:highlight w:val="none"/>
        </w:rPr>
        <w:t>年</w:t>
      </w:r>
      <w:r>
        <w:rPr>
          <w:rFonts w:hint="eastAsia" w:cs="Times New Roman" w:eastAsiaTheme="minorEastAsia"/>
          <w:color w:val="000000"/>
          <w:sz w:val="24"/>
          <w:szCs w:val="24"/>
          <w:highlight w:val="none"/>
          <w:lang w:val="en-US" w:eastAsia="zh-CN"/>
        </w:rPr>
        <w:t>4</w:t>
      </w:r>
      <w:r>
        <w:rPr>
          <w:rFonts w:hint="default" w:ascii="Times New Roman" w:hAnsi="Times New Roman" w:cs="Times New Roman" w:eastAsiaTheme="minorEastAsia"/>
          <w:color w:val="000000"/>
          <w:sz w:val="24"/>
          <w:szCs w:val="24"/>
          <w:highlight w:val="none"/>
        </w:rPr>
        <w:t>月</w:t>
      </w:r>
      <w:r>
        <w:rPr>
          <w:rFonts w:hint="eastAsia" w:cs="Times New Roman" w:eastAsiaTheme="minorEastAsia"/>
          <w:color w:val="000000"/>
          <w:sz w:val="24"/>
          <w:szCs w:val="24"/>
          <w:highlight w:val="none"/>
          <w:lang w:val="en-US" w:eastAsia="zh-CN"/>
        </w:rPr>
        <w:t>23</w:t>
      </w:r>
      <w:r>
        <w:rPr>
          <w:rFonts w:hint="default" w:ascii="Times New Roman" w:hAnsi="Times New Roman" w:cs="Times New Roman" w:eastAsiaTheme="minorEastAsia"/>
          <w:color w:val="000000"/>
          <w:sz w:val="24"/>
          <w:szCs w:val="24"/>
          <w:highlight w:val="none"/>
        </w:rPr>
        <w:t>日、202</w:t>
      </w:r>
      <w:r>
        <w:rPr>
          <w:rFonts w:hint="eastAsia" w:cs="Times New Roman" w:eastAsiaTheme="minorEastAsia"/>
          <w:color w:val="000000"/>
          <w:sz w:val="24"/>
          <w:szCs w:val="24"/>
          <w:highlight w:val="none"/>
          <w:lang w:val="en-US" w:eastAsia="zh-CN"/>
        </w:rPr>
        <w:t>1</w:t>
      </w:r>
      <w:r>
        <w:rPr>
          <w:rFonts w:hint="default" w:ascii="Times New Roman" w:hAnsi="Times New Roman" w:cs="Times New Roman" w:eastAsiaTheme="minorEastAsia"/>
          <w:color w:val="000000"/>
          <w:sz w:val="24"/>
          <w:szCs w:val="24"/>
          <w:highlight w:val="none"/>
        </w:rPr>
        <w:t>年</w:t>
      </w:r>
      <w:r>
        <w:rPr>
          <w:rFonts w:hint="eastAsia" w:cs="Times New Roman" w:eastAsiaTheme="minorEastAsia"/>
          <w:color w:val="000000"/>
          <w:sz w:val="24"/>
          <w:szCs w:val="24"/>
          <w:highlight w:val="none"/>
          <w:lang w:val="en-US" w:eastAsia="zh-CN"/>
        </w:rPr>
        <w:t>5</w:t>
      </w:r>
      <w:r>
        <w:rPr>
          <w:rFonts w:hint="default" w:ascii="Times New Roman" w:hAnsi="Times New Roman" w:cs="Times New Roman" w:eastAsiaTheme="minorEastAsia"/>
          <w:color w:val="000000"/>
          <w:sz w:val="24"/>
          <w:szCs w:val="24"/>
          <w:highlight w:val="none"/>
        </w:rPr>
        <w:t>月</w:t>
      </w:r>
      <w:r>
        <w:rPr>
          <w:rFonts w:hint="eastAsia" w:cs="Times New Roman" w:eastAsiaTheme="minorEastAsia"/>
          <w:color w:val="000000"/>
          <w:sz w:val="24"/>
          <w:szCs w:val="24"/>
          <w:highlight w:val="none"/>
          <w:lang w:val="en-US" w:eastAsia="zh-CN"/>
        </w:rPr>
        <w:t>14</w:t>
      </w:r>
      <w:r>
        <w:rPr>
          <w:rFonts w:hint="default" w:ascii="Times New Roman" w:hAnsi="Times New Roman" w:cs="Times New Roman" w:eastAsiaTheme="minorEastAsia"/>
          <w:color w:val="000000"/>
          <w:sz w:val="24"/>
          <w:szCs w:val="24"/>
          <w:highlight w:val="none"/>
        </w:rPr>
        <w:t>日刊登在上海证券交易所网站（www.sse.com.cn）的《</w:t>
      </w:r>
      <w:r>
        <w:rPr>
          <w:rFonts w:hint="default" w:ascii="Times New Roman" w:hAnsi="Times New Roman" w:cs="Times New Roman" w:eastAsiaTheme="minorEastAsia"/>
          <w:sz w:val="24"/>
          <w:szCs w:val="24"/>
          <w:highlight w:val="none"/>
        </w:rPr>
        <w:t>格尔软件股份有限公司关于使用部分闲置自有资金进行现金管理的公告</w:t>
      </w:r>
      <w:r>
        <w:rPr>
          <w:rFonts w:hint="default" w:ascii="Times New Roman" w:hAnsi="Times New Roman" w:cs="Times New Roman" w:eastAsiaTheme="minorEastAsia"/>
          <w:color w:val="000000"/>
          <w:sz w:val="24"/>
          <w:szCs w:val="24"/>
          <w:highlight w:val="none"/>
        </w:rPr>
        <w:t>》（公告编号：202</w:t>
      </w:r>
      <w:r>
        <w:rPr>
          <w:rFonts w:hint="eastAsia" w:cs="Times New Roman" w:eastAsiaTheme="minorEastAsia"/>
          <w:color w:val="000000"/>
          <w:sz w:val="24"/>
          <w:szCs w:val="24"/>
          <w:highlight w:val="none"/>
          <w:lang w:val="en-US" w:eastAsia="zh-CN"/>
        </w:rPr>
        <w:t>1</w:t>
      </w:r>
      <w:r>
        <w:rPr>
          <w:rFonts w:hint="default" w:ascii="Times New Roman" w:hAnsi="Times New Roman" w:cs="Times New Roman" w:eastAsiaTheme="minorEastAsia"/>
          <w:color w:val="000000"/>
          <w:sz w:val="24"/>
          <w:szCs w:val="24"/>
          <w:highlight w:val="none"/>
        </w:rPr>
        <w:t>-0</w:t>
      </w:r>
      <w:r>
        <w:rPr>
          <w:rFonts w:hint="eastAsia" w:cs="Times New Roman" w:eastAsiaTheme="minorEastAsia"/>
          <w:color w:val="000000"/>
          <w:sz w:val="24"/>
          <w:szCs w:val="24"/>
          <w:highlight w:val="none"/>
          <w:lang w:val="en-US" w:eastAsia="zh-CN"/>
        </w:rPr>
        <w:t>21</w:t>
      </w:r>
      <w:r>
        <w:rPr>
          <w:rFonts w:hint="default" w:ascii="Times New Roman" w:hAnsi="Times New Roman" w:cs="Times New Roman" w:eastAsiaTheme="minorEastAsia"/>
          <w:color w:val="000000"/>
          <w:sz w:val="24"/>
          <w:szCs w:val="24"/>
          <w:highlight w:val="none"/>
        </w:rPr>
        <w:t>）、《格尔软件股份有限公司202</w:t>
      </w:r>
      <w:r>
        <w:rPr>
          <w:rFonts w:hint="eastAsia" w:cs="Times New Roman" w:eastAsiaTheme="minorEastAsia"/>
          <w:color w:val="000000"/>
          <w:sz w:val="24"/>
          <w:szCs w:val="24"/>
          <w:highlight w:val="none"/>
          <w:lang w:val="en-US" w:eastAsia="zh-CN"/>
        </w:rPr>
        <w:t>0</w:t>
      </w:r>
      <w:r>
        <w:rPr>
          <w:rFonts w:hint="default" w:ascii="Times New Roman" w:hAnsi="Times New Roman" w:cs="Times New Roman" w:eastAsiaTheme="minorEastAsia"/>
          <w:color w:val="000000"/>
          <w:sz w:val="24"/>
          <w:szCs w:val="24"/>
          <w:highlight w:val="none"/>
        </w:rPr>
        <w:t>年</w:t>
      </w:r>
      <w:r>
        <w:rPr>
          <w:rFonts w:hint="eastAsia" w:cs="Times New Roman" w:eastAsiaTheme="minorEastAsia"/>
          <w:color w:val="000000"/>
          <w:sz w:val="24"/>
          <w:szCs w:val="24"/>
          <w:highlight w:val="none"/>
          <w:lang w:val="en-US" w:eastAsia="zh-CN"/>
        </w:rPr>
        <w:t>年度</w:t>
      </w:r>
      <w:r>
        <w:rPr>
          <w:rFonts w:hint="default" w:ascii="Times New Roman" w:hAnsi="Times New Roman" w:cs="Times New Roman" w:eastAsiaTheme="minorEastAsia"/>
          <w:color w:val="000000"/>
          <w:sz w:val="24"/>
          <w:szCs w:val="24"/>
          <w:highlight w:val="none"/>
        </w:rPr>
        <w:t>股东大会决议公告》（公告编号：202</w:t>
      </w:r>
      <w:r>
        <w:rPr>
          <w:rFonts w:hint="eastAsia" w:cs="Times New Roman" w:eastAsiaTheme="minorEastAsia"/>
          <w:color w:val="000000"/>
          <w:sz w:val="24"/>
          <w:szCs w:val="24"/>
          <w:highlight w:val="none"/>
          <w:lang w:val="en-US" w:eastAsia="zh-CN"/>
        </w:rPr>
        <w:t>1</w:t>
      </w:r>
      <w:r>
        <w:rPr>
          <w:rFonts w:hint="default" w:ascii="Times New Roman" w:hAnsi="Times New Roman" w:cs="Times New Roman" w:eastAsiaTheme="minorEastAsia"/>
          <w:color w:val="000000"/>
          <w:sz w:val="24"/>
          <w:szCs w:val="24"/>
          <w:highlight w:val="none"/>
        </w:rPr>
        <w:t>-0</w:t>
      </w:r>
      <w:r>
        <w:rPr>
          <w:rFonts w:hint="eastAsia" w:cs="Times New Roman" w:eastAsiaTheme="minorEastAsia"/>
          <w:color w:val="000000"/>
          <w:sz w:val="24"/>
          <w:szCs w:val="24"/>
          <w:highlight w:val="none"/>
          <w:lang w:val="en-US" w:eastAsia="zh-CN"/>
        </w:rPr>
        <w:t>28</w:t>
      </w:r>
      <w:r>
        <w:rPr>
          <w:rFonts w:hint="default" w:ascii="Times New Roman" w:hAnsi="Times New Roman" w:cs="Times New Roman" w:eastAsiaTheme="minorEastAsia"/>
          <w:color w:val="000000"/>
          <w:sz w:val="24"/>
          <w:szCs w:val="24"/>
          <w:highlight w:val="none"/>
        </w:rPr>
        <w:t>）。</w:t>
      </w:r>
    </w:p>
    <w:p>
      <w:pPr>
        <w:widowControl/>
        <w:spacing w:line="360" w:lineRule="auto"/>
        <w:jc w:val="left"/>
        <w:rPr>
          <w:rFonts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lang w:val="en-US" w:eastAsia="zh-CN"/>
        </w:rPr>
        <w:t>八</w:t>
      </w:r>
      <w:r>
        <w:rPr>
          <w:rFonts w:hint="eastAsia" w:asciiTheme="minorEastAsia" w:hAnsiTheme="minorEastAsia" w:eastAsiaTheme="minorEastAsia" w:cstheme="minorEastAsia"/>
          <w:b/>
          <w:bCs/>
          <w:color w:val="000000"/>
          <w:sz w:val="24"/>
          <w:szCs w:val="24"/>
          <w:highlight w:val="none"/>
        </w:rPr>
        <w:t>、</w:t>
      </w:r>
      <w:r>
        <w:rPr>
          <w:rFonts w:asciiTheme="minorEastAsia" w:hAnsiTheme="minorEastAsia" w:eastAsiaTheme="minorEastAsia" w:cstheme="minorEastAsia"/>
          <w:b/>
          <w:bCs/>
          <w:color w:val="000000"/>
          <w:sz w:val="24"/>
          <w:szCs w:val="24"/>
          <w:highlight w:val="none"/>
        </w:rPr>
        <w:t>截至本公告日，公司最近十二个月使用</w:t>
      </w:r>
      <w:r>
        <w:rPr>
          <w:rFonts w:hint="eastAsia" w:asciiTheme="minorEastAsia" w:hAnsiTheme="minorEastAsia" w:eastAsiaTheme="minorEastAsia" w:cstheme="minorEastAsia"/>
          <w:b/>
          <w:bCs/>
          <w:color w:val="000000"/>
          <w:sz w:val="24"/>
          <w:szCs w:val="24"/>
          <w:highlight w:val="none"/>
          <w:lang w:eastAsia="zh-CN"/>
        </w:rPr>
        <w:t>自有资金</w:t>
      </w:r>
      <w:r>
        <w:rPr>
          <w:rFonts w:asciiTheme="minorEastAsia" w:hAnsiTheme="minorEastAsia" w:eastAsiaTheme="minorEastAsia" w:cstheme="minorEastAsia"/>
          <w:b/>
          <w:bCs/>
          <w:color w:val="000000"/>
          <w:sz w:val="24"/>
          <w:szCs w:val="24"/>
          <w:highlight w:val="none"/>
        </w:rPr>
        <w:t>委托理财的情况</w:t>
      </w:r>
    </w:p>
    <w:p>
      <w:pPr>
        <w:widowControl/>
        <w:ind w:left="368" w:leftChars="175"/>
        <w:jc w:val="right"/>
        <w:rPr>
          <w:rFonts w:asciiTheme="minorEastAsia" w:hAnsiTheme="minorEastAsia" w:eastAsiaTheme="minorEastAsia" w:cstheme="minorEastAsia"/>
          <w:b/>
          <w:bCs/>
          <w:color w:val="000000"/>
          <w:sz w:val="24"/>
          <w:szCs w:val="24"/>
        </w:rPr>
      </w:pPr>
      <w:r>
        <w:rPr>
          <w:rFonts w:hint="eastAsia" w:ascii="宋体" w:hAnsi="宋体"/>
          <w:bCs/>
          <w:szCs w:val="21"/>
        </w:rPr>
        <w:t>单位：万元</w:t>
      </w:r>
    </w:p>
    <w:tbl>
      <w:tblPr>
        <w:tblStyle w:val="2"/>
        <w:tblW w:w="8407" w:type="dxa"/>
        <w:jc w:val="center"/>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559"/>
        <w:gridCol w:w="1639"/>
        <w:gridCol w:w="1622"/>
        <w:gridCol w:w="1378"/>
        <w:gridCol w:w="1449"/>
      </w:tblGrid>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0" w:type="dxa"/>
            <w:shd w:val="clear" w:color="auto" w:fill="auto"/>
            <w:vAlign w:val="center"/>
          </w:tcPr>
          <w:p>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序号</w:t>
            </w:r>
          </w:p>
        </w:tc>
        <w:tc>
          <w:tcPr>
            <w:tcW w:w="1559" w:type="dxa"/>
            <w:shd w:val="clear" w:color="auto" w:fill="auto"/>
            <w:vAlign w:val="center"/>
          </w:tcPr>
          <w:p>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理财产品类型</w:t>
            </w:r>
          </w:p>
        </w:tc>
        <w:tc>
          <w:tcPr>
            <w:tcW w:w="1639" w:type="dxa"/>
            <w:shd w:val="clear" w:color="auto" w:fill="auto"/>
            <w:vAlign w:val="center"/>
          </w:tcPr>
          <w:p>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实际投入金额</w:t>
            </w:r>
          </w:p>
        </w:tc>
        <w:tc>
          <w:tcPr>
            <w:tcW w:w="1622" w:type="dxa"/>
            <w:shd w:val="clear" w:color="auto" w:fill="auto"/>
            <w:vAlign w:val="center"/>
          </w:tcPr>
          <w:p>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实际收回本金</w:t>
            </w:r>
          </w:p>
        </w:tc>
        <w:tc>
          <w:tcPr>
            <w:tcW w:w="1378" w:type="dxa"/>
            <w:shd w:val="clear" w:color="auto" w:fill="auto"/>
            <w:vAlign w:val="center"/>
          </w:tcPr>
          <w:p>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实际收益</w:t>
            </w:r>
          </w:p>
        </w:tc>
        <w:tc>
          <w:tcPr>
            <w:tcW w:w="1449" w:type="dxa"/>
          </w:tcPr>
          <w:p>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尚未收回</w:t>
            </w:r>
          </w:p>
          <w:p>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本金金额</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1</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2,018.00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2,018.00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326.68</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2</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159.97</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3</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322.15</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4</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72.04</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5</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410.00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410.00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21.54</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6</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3,500.00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3,500.00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117.13</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7</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65.03</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8</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0.51</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9</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0.43</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10</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0.89</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11</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10.03</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12</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1,049.00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1,049.00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13.89</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13</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4.68</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14</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26.30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15</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16.00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16</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2,500.00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2,500.00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22.91</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17</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22.13</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18</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8.58</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19</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5.66</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20</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12.49</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21</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7.52</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22</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34.83</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23</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3.95</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24</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7.44</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25</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8,500.00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8,500.00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42.85</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26</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7.40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27</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0.90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28</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3.77</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29</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3,300.00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3,300.00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4.61</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30</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0.90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31</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67.09</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32</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31.93</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33</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6.20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34</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1.41</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35</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5,200.00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5,200.00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15.90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36</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8.88</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37</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5.85</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38</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3.25</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39</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3.16</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40</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cs="Times New Roman"/>
                <w:color w:val="0000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2.96</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41</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cs="Times New Roman"/>
                <w:color w:val="0000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1.99</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42</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8,200.00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8,200.00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86.49</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43</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4.17</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44</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15.21</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45</w:t>
            </w:r>
          </w:p>
        </w:tc>
        <w:tc>
          <w:tcPr>
            <w:tcW w:w="1559" w:type="dxa"/>
            <w:shd w:val="clear" w:color="auto" w:fill="auto"/>
            <w:vAlign w:val="center"/>
          </w:tcPr>
          <w:p>
            <w:pPr>
              <w:keepNext w:val="0"/>
              <w:keepLines w:val="0"/>
              <w:widowControl/>
              <w:suppressLineNumbers w:val="0"/>
              <w:jc w:val="center"/>
              <w:textAlignment w:val="center"/>
              <w:rPr>
                <w:rFonts w:hint="default" w:cs="Times New Roman"/>
                <w:color w:val="0000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46</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10,500.00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10,500.00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134.18</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47</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3.71</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48</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12.37</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49</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0.67</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50</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Style w:val="7"/>
                <w:lang w:val="en-US" w:eastAsia="zh-CN" w:bidi="ar"/>
              </w:rPr>
              <w:t>券商理财产品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22.13</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51</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Style w:val="7"/>
                <w:lang w:val="en-US" w:eastAsia="zh-CN" w:bidi="ar"/>
              </w:rPr>
              <w:t>券商理财产品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31.34</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52</w:t>
            </w:r>
          </w:p>
        </w:tc>
        <w:tc>
          <w:tcPr>
            <w:tcW w:w="1559" w:type="dxa"/>
            <w:shd w:val="clear" w:color="auto" w:fill="auto"/>
            <w:vAlign w:val="center"/>
          </w:tcPr>
          <w:p>
            <w:pPr>
              <w:keepNext w:val="0"/>
              <w:keepLines w:val="0"/>
              <w:widowControl/>
              <w:suppressLineNumbers w:val="0"/>
              <w:jc w:val="center"/>
              <w:textAlignment w:val="center"/>
              <w:rPr>
                <w:rFonts w:hint="default" w:cs="Times New Roman"/>
                <w:color w:val="0000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2.22</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53</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Style w:val="7"/>
                <w:lang w:val="en-US" w:eastAsia="zh-CN" w:bidi="ar"/>
              </w:rPr>
              <w:t>券商理财产品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31.24</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54</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6,200.00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6,200.00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89.61</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55</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1.08</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56</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2.84</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57</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1,015.00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1,015.00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2.48</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58</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10.79</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59</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1.08</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60</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202.00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202.00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2.01</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61</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7.23</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62</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eastAsia"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63</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101.00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101.00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1.01</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64</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6.09</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65</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0.57</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66</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310.00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310.00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2.74</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67</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1.28</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68</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Style w:val="7"/>
                <w:lang w:val="en-US" w:eastAsia="zh-CN" w:bidi="ar"/>
              </w:rPr>
              <w:t>券商理财产品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69</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1.54</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70</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Style w:val="7"/>
                <w:lang w:val="en-US" w:eastAsia="zh-CN" w:bidi="ar"/>
              </w:rPr>
              <w:t>券商理财产品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71</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72</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Style w:val="7"/>
                <w:lang w:val="en-US" w:eastAsia="zh-CN" w:bidi="ar"/>
              </w:rPr>
              <w:t>券商理财产品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73</w:t>
            </w:r>
          </w:p>
        </w:tc>
        <w:tc>
          <w:tcPr>
            <w:tcW w:w="1559" w:type="dxa"/>
            <w:shd w:val="clear" w:color="auto" w:fill="auto"/>
            <w:vAlign w:val="center"/>
          </w:tcPr>
          <w:p>
            <w:pPr>
              <w:keepNext w:val="0"/>
              <w:keepLines w:val="0"/>
              <w:widowControl/>
              <w:suppressLineNumbers w:val="0"/>
              <w:jc w:val="center"/>
              <w:textAlignment w:val="center"/>
              <w:rPr>
                <w:rFonts w:hint="eastAsia" w:cs="Times New Roman"/>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74</w:t>
            </w:r>
          </w:p>
        </w:tc>
        <w:tc>
          <w:tcPr>
            <w:tcW w:w="1559" w:type="dxa"/>
            <w:shd w:val="clear" w:color="auto" w:fill="auto"/>
            <w:vAlign w:val="center"/>
          </w:tcPr>
          <w:p>
            <w:pPr>
              <w:keepNext w:val="0"/>
              <w:keepLines w:val="0"/>
              <w:widowControl/>
              <w:suppressLineNumbers w:val="0"/>
              <w:jc w:val="center"/>
              <w:textAlignment w:val="center"/>
              <w:rPr>
                <w:rFonts w:hint="eastAsia" w:cs="Times New Roman"/>
                <w:i w:val="0"/>
                <w:color w:val="000000"/>
                <w:kern w:val="0"/>
                <w:sz w:val="21"/>
                <w:szCs w:val="21"/>
                <w:u w:val="none"/>
                <w:lang w:val="en-US" w:eastAsia="zh-CN" w:bidi="ar"/>
              </w:rPr>
            </w:pPr>
            <w:r>
              <w:rPr>
                <w:rStyle w:val="7"/>
                <w:lang w:val="en-US" w:eastAsia="zh-CN" w:bidi="ar"/>
              </w:rPr>
              <w:t>券商理财产品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2,500.00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eastAsia" w:cs="Times New Roman"/>
                <w:color w:val="000000"/>
                <w:kern w:val="0"/>
                <w:sz w:val="21"/>
                <w:szCs w:val="21"/>
                <w:lang w:val="en-US" w:eastAsia="zh-CN" w:bidi="ar"/>
              </w:rPr>
              <w:t>75</w:t>
            </w:r>
          </w:p>
        </w:tc>
        <w:tc>
          <w:tcPr>
            <w:tcW w:w="1559" w:type="dxa"/>
            <w:shd w:val="clear" w:color="auto" w:fill="auto"/>
            <w:vAlign w:val="center"/>
          </w:tcPr>
          <w:p>
            <w:pPr>
              <w:keepNext w:val="0"/>
              <w:keepLines w:val="0"/>
              <w:widowControl/>
              <w:suppressLineNumbers w:val="0"/>
              <w:jc w:val="center"/>
              <w:textAlignment w:val="center"/>
              <w:rPr>
                <w:rFonts w:hint="eastAsia" w:cs="Times New Roman"/>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308.00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308.00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eastAsia" w:cs="Times New Roman"/>
                <w:color w:val="000000"/>
                <w:kern w:val="0"/>
                <w:sz w:val="21"/>
                <w:szCs w:val="21"/>
                <w:lang w:val="en-US" w:eastAsia="zh-CN" w:bidi="ar"/>
              </w:rPr>
              <w:t>76</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102.00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102.00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77</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1.28</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eastAsia" w:cs="Times New Roman"/>
                <w:color w:val="000000"/>
                <w:kern w:val="0"/>
                <w:sz w:val="21"/>
                <w:szCs w:val="21"/>
                <w:lang w:val="en-US" w:eastAsia="zh-CN" w:bidi="ar"/>
              </w:rPr>
              <w:t>78</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eastAsia" w:cs="Times New Roman"/>
                <w:color w:val="000000"/>
                <w:kern w:val="0"/>
                <w:sz w:val="21"/>
                <w:szCs w:val="21"/>
                <w:lang w:val="en-US" w:eastAsia="zh-CN" w:bidi="ar"/>
              </w:rPr>
              <w:t>79</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Style w:val="7"/>
                <w:lang w:val="en-US" w:eastAsia="zh-CN" w:bidi="ar"/>
              </w:rPr>
              <w:t>券商理财产品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eastAsia" w:cs="Times New Roman"/>
                <w:color w:val="000000"/>
                <w:kern w:val="0"/>
                <w:sz w:val="21"/>
                <w:szCs w:val="21"/>
                <w:lang w:val="en-US" w:eastAsia="zh-CN" w:bidi="ar"/>
              </w:rPr>
              <w:t>80</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2,500.00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1,800.00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4.78</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eastAsia" w:cs="Times New Roman"/>
                <w:color w:val="000000"/>
                <w:kern w:val="0"/>
                <w:sz w:val="21"/>
                <w:szCs w:val="21"/>
                <w:lang w:val="en-US" w:eastAsia="zh-CN" w:bidi="ar"/>
              </w:rPr>
              <w:t>81</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Style w:val="7"/>
                <w:lang w:val="en-US" w:eastAsia="zh-CN" w:bidi="ar"/>
              </w:rPr>
              <w:t>券商理财产品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eastAsia" w:cs="Times New Roman"/>
                <w:color w:val="000000"/>
                <w:kern w:val="0"/>
                <w:sz w:val="21"/>
                <w:szCs w:val="21"/>
                <w:lang w:val="en-US" w:eastAsia="zh-CN" w:bidi="ar"/>
              </w:rPr>
              <w:t>82</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eastAsia" w:cs="Times New Roman"/>
                <w:color w:val="000000"/>
                <w:kern w:val="0"/>
                <w:sz w:val="21"/>
                <w:szCs w:val="21"/>
                <w:lang w:val="en-US" w:eastAsia="zh-CN" w:bidi="ar"/>
              </w:rPr>
              <w:t>83</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Style w:val="7"/>
                <w:lang w:val="en-US" w:eastAsia="zh-CN" w:bidi="ar"/>
              </w:rPr>
              <w:t>券商理财产品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eastAsia" w:cs="Times New Roman"/>
                <w:color w:val="000000"/>
                <w:kern w:val="0"/>
                <w:sz w:val="21"/>
                <w:szCs w:val="21"/>
                <w:lang w:val="en-US" w:eastAsia="zh-CN" w:bidi="ar"/>
              </w:rPr>
              <w:t>84</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eastAsia" w:cs="Times New Roman"/>
                <w:color w:val="000000"/>
                <w:kern w:val="0"/>
                <w:sz w:val="21"/>
                <w:szCs w:val="21"/>
                <w:lang w:val="en-US" w:eastAsia="zh-CN" w:bidi="ar"/>
              </w:rPr>
              <w:t>85</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Style w:val="7"/>
                <w:lang w:val="en-US" w:eastAsia="zh-CN" w:bidi="ar"/>
              </w:rPr>
              <w:t>券商理财产品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2,500.00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eastAsia" w:cs="Times New Roman"/>
                <w:color w:val="000000"/>
                <w:kern w:val="0"/>
                <w:sz w:val="21"/>
                <w:szCs w:val="21"/>
                <w:lang w:val="en-US" w:eastAsia="zh-CN" w:bidi="ar"/>
              </w:rPr>
              <w:t>86</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cs="Times New Roman"/>
                <w:i w:val="0"/>
                <w:iCs w:val="0"/>
                <w:color w:val="000000"/>
                <w:kern w:val="0"/>
                <w:sz w:val="21"/>
                <w:szCs w:val="21"/>
                <w:u w:val="none"/>
                <w:lang w:val="en-US" w:eastAsia="zh-CN" w:bidi="ar"/>
              </w:rPr>
              <w:t>1</w:t>
            </w:r>
            <w:r>
              <w:rPr>
                <w:rFonts w:hint="default" w:ascii="Times New Roman" w:hAnsi="Times New Roman" w:eastAsia="宋体" w:cs="Times New Roman"/>
                <w:i w:val="0"/>
                <w:iCs w:val="0"/>
                <w:color w:val="000000"/>
                <w:kern w:val="0"/>
                <w:sz w:val="21"/>
                <w:szCs w:val="21"/>
                <w:u w:val="none"/>
                <w:lang w:val="en-US" w:eastAsia="zh-CN" w:bidi="ar"/>
              </w:rPr>
              <w:t>,000.00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eastAsia" w:cs="Times New Roman"/>
                <w:color w:val="000000"/>
                <w:kern w:val="0"/>
                <w:sz w:val="21"/>
                <w:szCs w:val="21"/>
                <w:lang w:val="en-US" w:eastAsia="zh-CN" w:bidi="ar"/>
              </w:rPr>
              <w:t>87</w:t>
            </w:r>
          </w:p>
        </w:tc>
        <w:tc>
          <w:tcPr>
            <w:tcW w:w="1559"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1.06</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eastAsia" w:cs="Times New Roman"/>
                <w:color w:val="000000"/>
                <w:kern w:val="0"/>
                <w:sz w:val="21"/>
                <w:szCs w:val="21"/>
                <w:lang w:val="en-US" w:eastAsia="zh-CN" w:bidi="ar"/>
              </w:rPr>
              <w:t>88</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0.07</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eastAsia" w:cs="Times New Roman"/>
                <w:color w:val="000000"/>
                <w:kern w:val="0"/>
                <w:sz w:val="21"/>
                <w:szCs w:val="21"/>
                <w:lang w:val="en-US" w:eastAsia="zh-CN" w:bidi="ar"/>
              </w:rPr>
              <w:t>89</w:t>
            </w:r>
          </w:p>
        </w:tc>
        <w:tc>
          <w:tcPr>
            <w:tcW w:w="1559" w:type="dxa"/>
            <w:shd w:val="clear" w:color="auto" w:fill="auto"/>
            <w:vAlign w:val="center"/>
          </w:tcPr>
          <w:p>
            <w:pPr>
              <w:keepNext w:val="0"/>
              <w:keepLines w:val="0"/>
              <w:widowControl/>
              <w:suppressLineNumbers w:val="0"/>
              <w:jc w:val="center"/>
              <w:textAlignment w:val="center"/>
              <w:rPr>
                <w:rStyle w:val="7"/>
                <w:lang w:val="en-US" w:eastAsia="zh-CN" w:bidi="ar"/>
              </w:rPr>
            </w:pPr>
            <w:r>
              <w:rPr>
                <w:rStyle w:val="7"/>
                <w:lang w:val="en-US" w:eastAsia="zh-CN" w:bidi="ar"/>
              </w:rPr>
              <w:t>券商理财产品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eastAsia" w:cs="Times New Roman"/>
                <w:color w:val="000000"/>
                <w:kern w:val="0"/>
                <w:sz w:val="21"/>
                <w:szCs w:val="21"/>
                <w:lang w:val="en-US" w:eastAsia="zh-CN" w:bidi="ar"/>
              </w:rPr>
              <w:t>90</w:t>
            </w:r>
          </w:p>
        </w:tc>
        <w:tc>
          <w:tcPr>
            <w:tcW w:w="1559" w:type="dxa"/>
            <w:shd w:val="clear" w:color="auto" w:fill="auto"/>
            <w:vAlign w:val="center"/>
          </w:tcPr>
          <w:p>
            <w:pPr>
              <w:keepNext w:val="0"/>
              <w:keepLines w:val="0"/>
              <w:widowControl/>
              <w:suppressLineNumbers w:val="0"/>
              <w:jc w:val="center"/>
              <w:textAlignment w:val="center"/>
              <w:rPr>
                <w:rStyle w:val="7"/>
                <w:lang w:val="en-US" w:eastAsia="zh-CN" w:bidi="ar"/>
              </w:rPr>
            </w:pPr>
            <w:r>
              <w:rPr>
                <w:rStyle w:val="7"/>
                <w:lang w:val="en-US" w:eastAsia="zh-CN" w:bidi="ar"/>
              </w:rPr>
              <w:t>券商理财产品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cs="Times New Roman"/>
                <w:i w:val="0"/>
                <w:iCs w:val="0"/>
                <w:color w:val="000000"/>
                <w:kern w:val="0"/>
                <w:sz w:val="21"/>
                <w:szCs w:val="21"/>
                <w:u w:val="none"/>
                <w:lang w:val="en-US" w:eastAsia="zh-CN" w:bidi="ar"/>
              </w:rPr>
              <w:t>1,500.00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cs="Times New Roman"/>
                <w:i w:val="0"/>
                <w:iCs w:val="0"/>
                <w:color w:val="000000"/>
                <w:kern w:val="0"/>
                <w:sz w:val="21"/>
                <w:szCs w:val="21"/>
                <w:u w:val="none"/>
                <w:lang w:val="en-US" w:eastAsia="zh-CN" w:bidi="ar"/>
              </w:rPr>
              <w:t>0.00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cs="Times New Roman"/>
                <w:i w:val="0"/>
                <w:iCs w:val="0"/>
                <w:color w:val="000000"/>
                <w:kern w:val="0"/>
                <w:sz w:val="21"/>
                <w:szCs w:val="21"/>
                <w:u w:val="none"/>
                <w:lang w:val="en-US" w:eastAsia="zh-CN" w:bidi="ar"/>
              </w:rPr>
              <w:t>1,500.00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eastAsia" w:cs="Times New Roman"/>
                <w:color w:val="000000"/>
                <w:kern w:val="0"/>
                <w:sz w:val="21"/>
                <w:szCs w:val="21"/>
                <w:lang w:val="en-US" w:eastAsia="zh-CN" w:bidi="ar"/>
              </w:rPr>
              <w:t>91</w:t>
            </w:r>
          </w:p>
        </w:tc>
        <w:tc>
          <w:tcPr>
            <w:tcW w:w="1559" w:type="dxa"/>
            <w:shd w:val="clear" w:color="auto" w:fill="auto"/>
            <w:vAlign w:val="center"/>
          </w:tcPr>
          <w:p>
            <w:pPr>
              <w:keepNext w:val="0"/>
              <w:keepLines w:val="0"/>
              <w:widowControl/>
              <w:suppressLineNumbers w:val="0"/>
              <w:jc w:val="center"/>
              <w:textAlignment w:val="center"/>
              <w:rPr>
                <w:rStyle w:val="7"/>
                <w:lang w:val="en-US" w:eastAsia="zh-CN" w:bidi="ar"/>
              </w:rPr>
            </w:pPr>
            <w:r>
              <w:rPr>
                <w:rFonts w:hint="eastAsia" w:ascii="宋体" w:hAnsi="宋体" w:eastAsia="宋体" w:cs="宋体"/>
                <w:i w:val="0"/>
                <w:iCs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cs="Times New Roman"/>
                <w:i w:val="0"/>
                <w:iCs w:val="0"/>
                <w:color w:val="000000"/>
                <w:kern w:val="0"/>
                <w:sz w:val="21"/>
                <w:szCs w:val="21"/>
                <w:u w:val="none"/>
                <w:lang w:val="en-US" w:eastAsia="zh-CN" w:bidi="ar"/>
              </w:rPr>
            </w:pPr>
            <w:r>
              <w:rPr>
                <w:rFonts w:hint="default" w:ascii="Times New Roman" w:hAnsi="Times New Roman"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cs="Times New Roman"/>
                <w:i w:val="0"/>
                <w:iCs w:val="0"/>
                <w:color w:val="000000"/>
                <w:kern w:val="0"/>
                <w:sz w:val="21"/>
                <w:szCs w:val="21"/>
                <w:u w:val="none"/>
                <w:lang w:val="en-US" w:eastAsia="zh-CN" w:bidi="ar"/>
              </w:rPr>
            </w:pPr>
            <w:r>
              <w:rPr>
                <w:rFonts w:hint="default" w:ascii="Times New Roman" w:hAnsi="Times New Roman"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cs="Times New Roman"/>
                <w:i w:val="0"/>
                <w:iCs w:val="0"/>
                <w:color w:val="000000"/>
                <w:kern w:val="0"/>
                <w:sz w:val="21"/>
                <w:szCs w:val="21"/>
                <w:u w:val="none"/>
                <w:lang w:val="en-US" w:eastAsia="zh-CN" w:bidi="ar"/>
              </w:rPr>
            </w:pPr>
            <w:r>
              <w:rPr>
                <w:rFonts w:hint="default" w:ascii="Times New Roman" w:hAnsi="Times New Roman" w:cs="Times New Roman"/>
                <w:i w:val="0"/>
                <w:iCs w:val="0"/>
                <w:color w:val="000000"/>
                <w:kern w:val="0"/>
                <w:sz w:val="21"/>
                <w:szCs w:val="21"/>
                <w:u w:val="none"/>
                <w:lang w:val="en-US" w:eastAsia="zh-CN" w:bidi="ar"/>
              </w:rPr>
              <w:t>0.00</w:t>
            </w:r>
          </w:p>
        </w:tc>
        <w:tc>
          <w:tcPr>
            <w:tcW w:w="1449" w:type="dxa"/>
            <w:vAlign w:val="center"/>
          </w:tcPr>
          <w:p>
            <w:pPr>
              <w:keepNext w:val="0"/>
              <w:keepLines w:val="0"/>
              <w:widowControl/>
              <w:suppressLineNumbers w:val="0"/>
              <w:jc w:val="right"/>
              <w:textAlignment w:val="center"/>
              <w:rPr>
                <w:rFonts w:hint="default" w:ascii="Times New Roman" w:hAnsi="Times New Roman" w:cs="Times New Roman"/>
                <w:i w:val="0"/>
                <w:iCs w:val="0"/>
                <w:color w:val="000000"/>
                <w:kern w:val="0"/>
                <w:sz w:val="21"/>
                <w:szCs w:val="21"/>
                <w:u w:val="none"/>
                <w:lang w:val="en-US" w:eastAsia="zh-CN" w:bidi="ar"/>
              </w:rPr>
            </w:pPr>
            <w:r>
              <w:rPr>
                <w:rFonts w:hint="default" w:ascii="Times New Roman" w:hAnsi="Times New Roman" w:cs="Times New Roman"/>
                <w:i w:val="0"/>
                <w:iCs w:val="0"/>
                <w:color w:val="000000"/>
                <w:kern w:val="0"/>
                <w:sz w:val="21"/>
                <w:szCs w:val="21"/>
                <w:u w:val="none"/>
                <w:lang w:val="en-US" w:eastAsia="zh-CN" w:bidi="ar"/>
              </w:rPr>
              <w:t>1,000.00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19" w:type="dxa"/>
            <w:gridSpan w:val="2"/>
            <w:tcBorders>
              <w:bottom w:val="thinThickSmallGap" w:color="auto" w:sz="24" w:space="0"/>
            </w:tcBorders>
            <w:shd w:val="clear" w:color="auto" w:fill="auto"/>
            <w:noWrap/>
            <w:vAlign w:val="center"/>
          </w:tcPr>
          <w:p>
            <w:pPr>
              <w:widowControl/>
              <w:jc w:val="center"/>
              <w:textAlignment w:val="center"/>
              <w:rPr>
                <w:rFonts w:hint="default" w:ascii="Times New Roman" w:hAnsi="Times New Roman" w:cs="Times New Roman"/>
                <w:b/>
                <w:bCs/>
                <w:color w:val="000000"/>
                <w:kern w:val="0"/>
                <w:sz w:val="21"/>
                <w:szCs w:val="21"/>
                <w:lang w:bidi="ar"/>
              </w:rPr>
            </w:pPr>
            <w:r>
              <w:rPr>
                <w:rFonts w:hint="default" w:ascii="Times New Roman" w:hAnsi="Times New Roman" w:cs="Times New Roman"/>
                <w:b/>
                <w:bCs/>
                <w:color w:val="000000"/>
                <w:kern w:val="0"/>
                <w:sz w:val="21"/>
                <w:szCs w:val="21"/>
                <w:lang w:bidi="ar"/>
              </w:rPr>
              <w:t>合计</w:t>
            </w:r>
          </w:p>
        </w:tc>
        <w:tc>
          <w:tcPr>
            <w:tcW w:w="1639" w:type="dxa"/>
            <w:tcBorders>
              <w:bottom w:val="thinThickSmallGap" w:color="auto" w:sz="24" w:space="0"/>
            </w:tcBorders>
            <w:shd w:val="clear" w:color="auto" w:fill="auto"/>
            <w:vAlign w:val="center"/>
          </w:tcPr>
          <w:p>
            <w:pPr>
              <w:keepNext w:val="0"/>
              <w:keepLines w:val="0"/>
              <w:widowControl/>
              <w:suppressLineNumbers w:val="0"/>
              <w:jc w:val="right"/>
              <w:textAlignment w:val="center"/>
              <w:rPr>
                <w:rFonts w:hint="default" w:ascii="Times New Roman" w:hAnsi="Times New Roman" w:cs="Times New Roman"/>
                <w:b/>
                <w:bCs/>
                <w:i w:val="0"/>
                <w:iCs w:val="0"/>
                <w:color w:val="000000"/>
                <w:kern w:val="0"/>
                <w:sz w:val="21"/>
                <w:szCs w:val="21"/>
                <w:highlight w:val="none"/>
                <w:u w:val="none"/>
                <w:lang w:val="en-US" w:eastAsia="zh-CN" w:bidi="ar"/>
              </w:rPr>
            </w:pPr>
            <w:r>
              <w:rPr>
                <w:rFonts w:hint="eastAsia" w:cs="Times New Roman"/>
                <w:b/>
                <w:bCs/>
                <w:i w:val="0"/>
                <w:iCs w:val="0"/>
                <w:color w:val="000000"/>
                <w:kern w:val="0"/>
                <w:sz w:val="21"/>
                <w:szCs w:val="21"/>
                <w:highlight w:val="none"/>
                <w:u w:val="none"/>
                <w:lang w:val="en-US" w:eastAsia="zh-CN" w:bidi="ar"/>
              </w:rPr>
              <w:t>167,305.00</w:t>
            </w:r>
          </w:p>
        </w:tc>
        <w:tc>
          <w:tcPr>
            <w:tcW w:w="1622" w:type="dxa"/>
            <w:tcBorders>
              <w:bottom w:val="thinThickSmallGap" w:color="auto" w:sz="24" w:space="0"/>
            </w:tcBorders>
            <w:shd w:val="clear" w:color="auto" w:fill="auto"/>
            <w:vAlign w:val="center"/>
          </w:tcPr>
          <w:p>
            <w:pPr>
              <w:keepNext w:val="0"/>
              <w:keepLines w:val="0"/>
              <w:widowControl/>
              <w:suppressLineNumbers w:val="0"/>
              <w:jc w:val="right"/>
              <w:textAlignment w:val="center"/>
              <w:rPr>
                <w:rFonts w:hint="default" w:cs="Times New Roman"/>
                <w:b/>
                <w:bCs/>
                <w:i w:val="0"/>
                <w:iCs w:val="0"/>
                <w:color w:val="000000"/>
                <w:kern w:val="0"/>
                <w:sz w:val="21"/>
                <w:szCs w:val="21"/>
                <w:highlight w:val="none"/>
                <w:u w:val="none"/>
                <w:lang w:val="en-US" w:eastAsia="zh-CN" w:bidi="ar"/>
              </w:rPr>
            </w:pPr>
            <w:r>
              <w:rPr>
                <w:rFonts w:hint="eastAsia" w:cs="Times New Roman"/>
                <w:b/>
                <w:bCs/>
                <w:i w:val="0"/>
                <w:iCs w:val="0"/>
                <w:color w:val="000000"/>
                <w:kern w:val="0"/>
                <w:sz w:val="21"/>
                <w:szCs w:val="21"/>
                <w:highlight w:val="none"/>
                <w:u w:val="none"/>
                <w:lang w:val="en-US" w:eastAsia="zh-CN" w:bidi="ar"/>
              </w:rPr>
              <w:t>126,695.00</w:t>
            </w:r>
          </w:p>
        </w:tc>
        <w:tc>
          <w:tcPr>
            <w:tcW w:w="1378" w:type="dxa"/>
            <w:tcBorders>
              <w:bottom w:val="thinThickSmallGap" w:color="auto" w:sz="24" w:space="0"/>
            </w:tcBorders>
            <w:shd w:val="clear" w:color="auto" w:fill="auto"/>
            <w:vAlign w:val="center"/>
          </w:tcPr>
          <w:p>
            <w:pPr>
              <w:keepNext w:val="0"/>
              <w:keepLines w:val="0"/>
              <w:widowControl/>
              <w:suppressLineNumbers w:val="0"/>
              <w:jc w:val="right"/>
              <w:textAlignment w:val="center"/>
              <w:rPr>
                <w:rFonts w:hint="default" w:cs="Times New Roman"/>
                <w:b/>
                <w:bCs/>
                <w:i w:val="0"/>
                <w:iCs w:val="0"/>
                <w:color w:val="000000"/>
                <w:kern w:val="0"/>
                <w:sz w:val="21"/>
                <w:szCs w:val="21"/>
                <w:highlight w:val="none"/>
                <w:u w:val="none"/>
                <w:lang w:val="en-US" w:eastAsia="zh-CN" w:bidi="ar"/>
              </w:rPr>
            </w:pPr>
            <w:r>
              <w:rPr>
                <w:rFonts w:hint="eastAsia" w:cs="Times New Roman"/>
                <w:b/>
                <w:bCs/>
                <w:i w:val="0"/>
                <w:iCs w:val="0"/>
                <w:color w:val="000000"/>
                <w:kern w:val="0"/>
                <w:sz w:val="21"/>
                <w:szCs w:val="21"/>
                <w:highlight w:val="none"/>
                <w:u w:val="none"/>
                <w:lang w:val="en-US" w:eastAsia="zh-CN" w:bidi="ar"/>
              </w:rPr>
              <w:t>1,974.10</w:t>
            </w:r>
          </w:p>
        </w:tc>
        <w:tc>
          <w:tcPr>
            <w:tcW w:w="1449" w:type="dxa"/>
            <w:tcBorders>
              <w:bottom w:val="thinThickSmallGap" w:color="auto" w:sz="24" w:space="0"/>
            </w:tcBorders>
            <w:vAlign w:val="center"/>
          </w:tcPr>
          <w:p>
            <w:pPr>
              <w:keepNext w:val="0"/>
              <w:keepLines w:val="0"/>
              <w:widowControl/>
              <w:suppressLineNumbers w:val="0"/>
              <w:jc w:val="right"/>
              <w:textAlignment w:val="center"/>
              <w:rPr>
                <w:rFonts w:hint="default" w:cs="Times New Roman"/>
                <w:b/>
                <w:bCs/>
                <w:i w:val="0"/>
                <w:iCs w:val="0"/>
                <w:color w:val="000000"/>
                <w:kern w:val="0"/>
                <w:sz w:val="21"/>
                <w:szCs w:val="21"/>
                <w:highlight w:val="none"/>
                <w:u w:val="none"/>
                <w:lang w:val="en-US" w:eastAsia="zh-CN" w:bidi="ar"/>
              </w:rPr>
            </w:pPr>
            <w:r>
              <w:rPr>
                <w:rFonts w:hint="eastAsia" w:cs="Times New Roman"/>
                <w:b/>
                <w:bCs/>
                <w:i w:val="0"/>
                <w:iCs w:val="0"/>
                <w:color w:val="000000"/>
                <w:kern w:val="0"/>
                <w:sz w:val="21"/>
                <w:szCs w:val="21"/>
                <w:highlight w:val="none"/>
                <w:u w:val="none"/>
                <w:lang w:val="en-US" w:eastAsia="zh-CN" w:bidi="ar"/>
              </w:rPr>
              <w:t>40,610.00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thinThickSmallGap" w:color="auto" w:sz="24" w:space="0"/>
              <w:bottom w:val="single" w:color="auto" w:sz="4" w:space="0"/>
            </w:tcBorders>
            <w:shd w:val="clear" w:color="auto" w:fill="auto"/>
            <w:vAlign w:val="center"/>
          </w:tcPr>
          <w:p>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最近12个月内单日最高投入金额</w:t>
            </w:r>
          </w:p>
        </w:tc>
        <w:tc>
          <w:tcPr>
            <w:tcW w:w="2827" w:type="dxa"/>
            <w:gridSpan w:val="2"/>
            <w:tcBorders>
              <w:top w:val="thinThickSmallGap" w:color="auto" w:sz="24" w:space="0"/>
              <w:bottom w:val="single" w:color="auto" w:sz="4" w:space="0"/>
            </w:tcBorders>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yellow"/>
                <w:lang w:val="en-US" w:eastAsia="zh-CN" w:bidi="ar"/>
              </w:rPr>
            </w:pPr>
            <w:r>
              <w:rPr>
                <w:rFonts w:hint="eastAsia" w:cs="Times New Roman"/>
                <w:color w:val="000000"/>
                <w:kern w:val="0"/>
                <w:sz w:val="21"/>
                <w:szCs w:val="21"/>
                <w:highlight w:val="none"/>
                <w:lang w:val="en-US" w:eastAsia="zh-CN" w:bidi="ar"/>
              </w:rPr>
              <w:t>42,318.00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single" w:color="auto" w:sz="4" w:space="0"/>
            </w:tcBorders>
            <w:shd w:val="clear" w:color="auto" w:fill="auto"/>
            <w:vAlign w:val="center"/>
          </w:tcPr>
          <w:p>
            <w:pPr>
              <w:widowControl/>
              <w:jc w:val="center"/>
              <w:textAlignment w:val="center"/>
              <w:rPr>
                <w:rFonts w:hint="default" w:ascii="Times New Roman" w:hAnsi="Times New Roman" w:cs="Times New Roman"/>
                <w:color w:val="000000"/>
                <w:kern w:val="0"/>
                <w:sz w:val="21"/>
                <w:szCs w:val="21"/>
                <w:highlight w:val="none"/>
                <w:lang w:bidi="ar"/>
              </w:rPr>
            </w:pPr>
            <w:r>
              <w:rPr>
                <w:rFonts w:hint="default" w:ascii="Times New Roman" w:hAnsi="Times New Roman" w:cs="Times New Roman"/>
                <w:color w:val="000000"/>
                <w:kern w:val="0"/>
                <w:sz w:val="21"/>
                <w:szCs w:val="21"/>
                <w:highlight w:val="none"/>
                <w:lang w:bidi="ar"/>
              </w:rPr>
              <w:t>最近12个月内单日最高投入金额/最近一年净资产（%）</w:t>
            </w:r>
          </w:p>
        </w:tc>
        <w:tc>
          <w:tcPr>
            <w:tcW w:w="2827" w:type="dxa"/>
            <w:gridSpan w:val="2"/>
            <w:tcBorders>
              <w:top w:val="single" w:color="auto" w:sz="4" w:space="0"/>
            </w:tcBorders>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yellow"/>
                <w:lang w:val="en-US" w:eastAsia="zh-CN" w:bidi="ar"/>
              </w:rPr>
            </w:pPr>
            <w:r>
              <w:rPr>
                <w:rFonts w:hint="eastAsia" w:cs="Times New Roman"/>
                <w:color w:val="000000"/>
                <w:kern w:val="0"/>
                <w:sz w:val="21"/>
                <w:szCs w:val="21"/>
                <w:highlight w:val="none"/>
                <w:lang w:val="en-US" w:eastAsia="zh-CN" w:bidi="ar"/>
              </w:rPr>
              <w:t>31.80%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rFonts w:hint="default" w:ascii="Times New Roman" w:hAnsi="Times New Roman" w:cs="Times New Roman"/>
                <w:color w:val="000000"/>
                <w:kern w:val="0"/>
                <w:sz w:val="21"/>
                <w:szCs w:val="21"/>
                <w:highlight w:val="none"/>
                <w:lang w:bidi="ar"/>
              </w:rPr>
            </w:pPr>
            <w:r>
              <w:rPr>
                <w:rFonts w:hint="default" w:ascii="Times New Roman" w:hAnsi="Times New Roman" w:cs="Times New Roman"/>
                <w:color w:val="000000"/>
                <w:kern w:val="0"/>
                <w:sz w:val="21"/>
                <w:szCs w:val="21"/>
                <w:highlight w:val="none"/>
                <w:lang w:bidi="ar"/>
              </w:rPr>
              <w:t>最近12个月委托理财累计收益/最近一年净利润（%）</w:t>
            </w:r>
          </w:p>
        </w:tc>
        <w:tc>
          <w:tcPr>
            <w:tcW w:w="2827" w:type="dxa"/>
            <w:gridSpan w:val="2"/>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34.68%</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目前已使用的理财额度</w:t>
            </w:r>
          </w:p>
        </w:tc>
        <w:tc>
          <w:tcPr>
            <w:tcW w:w="2827" w:type="dxa"/>
            <w:gridSpan w:val="2"/>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40,610.00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尚未使用的理财额度</w:t>
            </w:r>
          </w:p>
        </w:tc>
        <w:tc>
          <w:tcPr>
            <w:tcW w:w="2827" w:type="dxa"/>
            <w:gridSpan w:val="2"/>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39</w:t>
            </w:r>
            <w:r>
              <w:rPr>
                <w:rFonts w:hint="eastAsia" w:cs="Times New Roman"/>
                <w:color w:val="000000"/>
                <w:kern w:val="0"/>
                <w:sz w:val="21"/>
                <w:szCs w:val="21"/>
                <w:highlight w:val="none"/>
                <w:lang w:val="en-US" w:eastAsia="zh-CN" w:bidi="ar"/>
              </w:rPr>
              <w:t>,</w:t>
            </w:r>
            <w:r>
              <w:rPr>
                <w:rFonts w:hint="default" w:ascii="Times New Roman" w:hAnsi="Times New Roman" w:eastAsia="宋体" w:cs="Times New Roman"/>
                <w:color w:val="000000"/>
                <w:kern w:val="0"/>
                <w:sz w:val="21"/>
                <w:szCs w:val="21"/>
                <w:highlight w:val="none"/>
                <w:lang w:val="en-US" w:eastAsia="zh-CN" w:bidi="ar"/>
              </w:rPr>
              <w:t>390</w:t>
            </w:r>
            <w:r>
              <w:rPr>
                <w:rFonts w:hint="eastAsia" w:cs="Times New Roman"/>
                <w:color w:val="000000"/>
                <w:kern w:val="0"/>
                <w:sz w:val="21"/>
                <w:szCs w:val="21"/>
                <w:highlight w:val="none"/>
                <w:lang w:val="en-US" w:eastAsia="zh-CN"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总理财额度</w:t>
            </w:r>
          </w:p>
        </w:tc>
        <w:tc>
          <w:tcPr>
            <w:tcW w:w="2827" w:type="dxa"/>
            <w:gridSpan w:val="2"/>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cs="Times New Roman"/>
                <w:color w:val="000000"/>
                <w:kern w:val="0"/>
                <w:sz w:val="21"/>
                <w:szCs w:val="21"/>
                <w:lang w:val="en-US" w:eastAsia="zh-CN" w:bidi="ar"/>
              </w:rPr>
              <w:t>80,000.00</w:t>
            </w:r>
          </w:p>
        </w:tc>
      </w:tr>
    </w:tbl>
    <w:p>
      <w:pPr>
        <w:widowControl/>
        <w:spacing w:before="156" w:beforeLines="50" w:after="156" w:afterLines="50" w:line="360" w:lineRule="auto"/>
        <w:ind w:firstLine="420" w:firstLineChars="175"/>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特此公告。</w:t>
      </w:r>
    </w:p>
    <w:p>
      <w:pPr>
        <w:widowControl/>
        <w:spacing w:before="156" w:beforeLines="50" w:after="156" w:afterLines="50" w:line="360" w:lineRule="auto"/>
        <w:ind w:firstLine="420" w:firstLineChars="175"/>
        <w:jc w:val="right"/>
        <w:rPr>
          <w:rFonts w:eastAsiaTheme="minorEastAsia"/>
          <w:color w:val="000000"/>
          <w:sz w:val="24"/>
          <w:szCs w:val="24"/>
        </w:rPr>
      </w:pPr>
      <w:r>
        <w:rPr>
          <w:rFonts w:hint="eastAsia" w:eastAsiaTheme="minorEastAsia"/>
          <w:color w:val="000000"/>
          <w:sz w:val="24"/>
          <w:szCs w:val="24"/>
        </w:rPr>
        <w:t>格尔软件股份有限公司董事会</w:t>
      </w:r>
    </w:p>
    <w:p>
      <w:pPr>
        <w:widowControl/>
        <w:spacing w:before="156" w:beforeLines="50" w:after="156" w:afterLines="50" w:line="360" w:lineRule="auto"/>
        <w:ind w:firstLine="420" w:firstLineChars="175"/>
        <w:jc w:val="right"/>
      </w:pPr>
      <w:r>
        <w:rPr>
          <w:rFonts w:eastAsiaTheme="minorEastAsia"/>
          <w:color w:val="000000"/>
          <w:sz w:val="24"/>
          <w:szCs w:val="24"/>
        </w:rPr>
        <w:t>202</w:t>
      </w:r>
      <w:r>
        <w:rPr>
          <w:rFonts w:hint="eastAsia" w:eastAsiaTheme="minorEastAsia"/>
          <w:color w:val="000000"/>
          <w:sz w:val="24"/>
          <w:szCs w:val="24"/>
          <w:lang w:val="en-US" w:eastAsia="zh-CN"/>
        </w:rPr>
        <w:t>2</w:t>
      </w:r>
      <w:r>
        <w:rPr>
          <w:rFonts w:eastAsiaTheme="minorEastAsia"/>
          <w:color w:val="000000"/>
          <w:sz w:val="24"/>
          <w:szCs w:val="24"/>
        </w:rPr>
        <w:t>年</w:t>
      </w:r>
      <w:r>
        <w:rPr>
          <w:rFonts w:hint="eastAsia" w:eastAsiaTheme="minorEastAsia"/>
          <w:color w:val="000000"/>
          <w:sz w:val="24"/>
          <w:szCs w:val="24"/>
          <w:lang w:val="en-US" w:eastAsia="zh-CN"/>
        </w:rPr>
        <w:t>1</w:t>
      </w:r>
      <w:r>
        <w:rPr>
          <w:rFonts w:eastAsiaTheme="minorEastAsia"/>
          <w:color w:val="000000"/>
          <w:sz w:val="24"/>
          <w:szCs w:val="24"/>
        </w:rPr>
        <w:t>月</w:t>
      </w:r>
      <w:r>
        <w:rPr>
          <w:rFonts w:hint="eastAsia" w:eastAsiaTheme="minorEastAsia"/>
          <w:color w:val="000000"/>
          <w:sz w:val="24"/>
          <w:szCs w:val="24"/>
          <w:highlight w:val="none"/>
          <w:lang w:val="en-US" w:eastAsia="zh-CN"/>
        </w:rPr>
        <w:t>18</w:t>
      </w:r>
      <w:r>
        <w:rPr>
          <w:rFonts w:eastAsiaTheme="minorEastAsia"/>
          <w:color w:val="000000"/>
          <w:sz w:val="24"/>
          <w:szCs w:val="24"/>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D8DF2E"/>
    <w:multiLevelType w:val="singleLevel"/>
    <w:tmpl w:val="AFD8DF2E"/>
    <w:lvl w:ilvl="0" w:tentative="0">
      <w:start w:val="2"/>
      <w:numFmt w:val="decimal"/>
      <w:suff w:val="nothing"/>
      <w:lvlText w:val="%1、"/>
      <w:lvlJc w:val="left"/>
    </w:lvl>
  </w:abstractNum>
  <w:abstractNum w:abstractNumId="1">
    <w:nsid w:val="075F2E80"/>
    <w:multiLevelType w:val="singleLevel"/>
    <w:tmpl w:val="075F2E80"/>
    <w:lvl w:ilvl="0" w:tentative="0">
      <w:start w:val="1"/>
      <w:numFmt w:val="bullet"/>
      <w:lvlText w:val=""/>
      <w:lvlJc w:val="left"/>
      <w:pPr>
        <w:ind w:left="420" w:hanging="420"/>
      </w:pPr>
      <w:rPr>
        <w:rFonts w:hint="default" w:ascii="Wingdings" w:hAnsi="Wingdings"/>
      </w:rPr>
    </w:lvl>
  </w:abstractNum>
  <w:abstractNum w:abstractNumId="2">
    <w:nsid w:val="31FF68AF"/>
    <w:multiLevelType w:val="singleLevel"/>
    <w:tmpl w:val="31FF68AF"/>
    <w:lvl w:ilvl="0" w:tentative="0">
      <w:start w:val="1"/>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709CE"/>
    <w:rsid w:val="00491A48"/>
    <w:rsid w:val="018E4822"/>
    <w:rsid w:val="027576DF"/>
    <w:rsid w:val="02AF4FED"/>
    <w:rsid w:val="038B76F2"/>
    <w:rsid w:val="049C0D81"/>
    <w:rsid w:val="04BC2DF0"/>
    <w:rsid w:val="051D5553"/>
    <w:rsid w:val="05202816"/>
    <w:rsid w:val="05B5678A"/>
    <w:rsid w:val="07832D9E"/>
    <w:rsid w:val="083E47F0"/>
    <w:rsid w:val="08977F70"/>
    <w:rsid w:val="08C60F31"/>
    <w:rsid w:val="097203F7"/>
    <w:rsid w:val="0AC149D4"/>
    <w:rsid w:val="0BC4590D"/>
    <w:rsid w:val="0BE8347C"/>
    <w:rsid w:val="0F34760A"/>
    <w:rsid w:val="0FBD3F46"/>
    <w:rsid w:val="100E2521"/>
    <w:rsid w:val="108F5A61"/>
    <w:rsid w:val="10CD764C"/>
    <w:rsid w:val="11535FD3"/>
    <w:rsid w:val="11B55FCB"/>
    <w:rsid w:val="11D55CB0"/>
    <w:rsid w:val="11FA498B"/>
    <w:rsid w:val="122D15AB"/>
    <w:rsid w:val="13ED55EE"/>
    <w:rsid w:val="140631FA"/>
    <w:rsid w:val="15462F97"/>
    <w:rsid w:val="159442C8"/>
    <w:rsid w:val="15E54F66"/>
    <w:rsid w:val="160B4CBD"/>
    <w:rsid w:val="17391ED0"/>
    <w:rsid w:val="17A17C4F"/>
    <w:rsid w:val="17E62CEF"/>
    <w:rsid w:val="18AB5402"/>
    <w:rsid w:val="19E96D3A"/>
    <w:rsid w:val="1A041605"/>
    <w:rsid w:val="1D36117A"/>
    <w:rsid w:val="1DE640C3"/>
    <w:rsid w:val="1E125A00"/>
    <w:rsid w:val="1E1C078D"/>
    <w:rsid w:val="1F6C3676"/>
    <w:rsid w:val="22C01649"/>
    <w:rsid w:val="22E858C3"/>
    <w:rsid w:val="28360015"/>
    <w:rsid w:val="29A7485D"/>
    <w:rsid w:val="29C71C42"/>
    <w:rsid w:val="2DE70326"/>
    <w:rsid w:val="2DF44503"/>
    <w:rsid w:val="2E4E7A2B"/>
    <w:rsid w:val="2E80779D"/>
    <w:rsid w:val="3340749F"/>
    <w:rsid w:val="33AB6BC3"/>
    <w:rsid w:val="37585548"/>
    <w:rsid w:val="38D05A6D"/>
    <w:rsid w:val="390212BA"/>
    <w:rsid w:val="397D10DC"/>
    <w:rsid w:val="39B02A11"/>
    <w:rsid w:val="3AF7441B"/>
    <w:rsid w:val="3C295A99"/>
    <w:rsid w:val="3D767DCF"/>
    <w:rsid w:val="3DC4737B"/>
    <w:rsid w:val="3EE1443F"/>
    <w:rsid w:val="3EE71B36"/>
    <w:rsid w:val="3EFB2631"/>
    <w:rsid w:val="40461D28"/>
    <w:rsid w:val="40502228"/>
    <w:rsid w:val="40647CE1"/>
    <w:rsid w:val="4075356F"/>
    <w:rsid w:val="40B02181"/>
    <w:rsid w:val="40F42667"/>
    <w:rsid w:val="42FD048C"/>
    <w:rsid w:val="433B62FA"/>
    <w:rsid w:val="43426F87"/>
    <w:rsid w:val="477F5509"/>
    <w:rsid w:val="47924648"/>
    <w:rsid w:val="48000720"/>
    <w:rsid w:val="49721DBB"/>
    <w:rsid w:val="4A0E310F"/>
    <w:rsid w:val="4AFD1F57"/>
    <w:rsid w:val="4B501A2D"/>
    <w:rsid w:val="4C565D83"/>
    <w:rsid w:val="4CAD5B18"/>
    <w:rsid w:val="4CBB11D3"/>
    <w:rsid w:val="50042927"/>
    <w:rsid w:val="516C6209"/>
    <w:rsid w:val="53815992"/>
    <w:rsid w:val="549A5A7A"/>
    <w:rsid w:val="559B2D78"/>
    <w:rsid w:val="56312603"/>
    <w:rsid w:val="56FD7F32"/>
    <w:rsid w:val="574B517D"/>
    <w:rsid w:val="579A27D3"/>
    <w:rsid w:val="59DB62D9"/>
    <w:rsid w:val="5AA42C7A"/>
    <w:rsid w:val="5C646231"/>
    <w:rsid w:val="5E9F4989"/>
    <w:rsid w:val="5EC65414"/>
    <w:rsid w:val="5FBB0035"/>
    <w:rsid w:val="604E6A0A"/>
    <w:rsid w:val="609A26F5"/>
    <w:rsid w:val="6105685F"/>
    <w:rsid w:val="6126053F"/>
    <w:rsid w:val="617B72E0"/>
    <w:rsid w:val="61FC78BC"/>
    <w:rsid w:val="64274C3E"/>
    <w:rsid w:val="65C45512"/>
    <w:rsid w:val="66066C4D"/>
    <w:rsid w:val="6736715E"/>
    <w:rsid w:val="67BF6746"/>
    <w:rsid w:val="67D709CE"/>
    <w:rsid w:val="683A721E"/>
    <w:rsid w:val="685867D9"/>
    <w:rsid w:val="688A543D"/>
    <w:rsid w:val="68BA5CE9"/>
    <w:rsid w:val="692A202C"/>
    <w:rsid w:val="69760C36"/>
    <w:rsid w:val="6B797D08"/>
    <w:rsid w:val="6B7F203F"/>
    <w:rsid w:val="6C360C93"/>
    <w:rsid w:val="6C940815"/>
    <w:rsid w:val="6CA92DDD"/>
    <w:rsid w:val="6DBF37EC"/>
    <w:rsid w:val="6E471F02"/>
    <w:rsid w:val="6FEB10BC"/>
    <w:rsid w:val="70BD7855"/>
    <w:rsid w:val="716E7BB1"/>
    <w:rsid w:val="71DF3877"/>
    <w:rsid w:val="72F43347"/>
    <w:rsid w:val="73911D1F"/>
    <w:rsid w:val="74D40550"/>
    <w:rsid w:val="75A620CB"/>
    <w:rsid w:val="76381421"/>
    <w:rsid w:val="76427A08"/>
    <w:rsid w:val="76CC503A"/>
    <w:rsid w:val="776179CD"/>
    <w:rsid w:val="794F6C0B"/>
    <w:rsid w:val="799463FB"/>
    <w:rsid w:val="799F47CC"/>
    <w:rsid w:val="7A026ECF"/>
    <w:rsid w:val="7A656D7F"/>
    <w:rsid w:val="7B130330"/>
    <w:rsid w:val="7BEB393A"/>
    <w:rsid w:val="7F696A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Emphasis"/>
    <w:basedOn w:val="4"/>
    <w:qFormat/>
    <w:uiPriority w:val="0"/>
    <w:rPr>
      <w:i/>
    </w:rPr>
  </w:style>
  <w:style w:type="character" w:customStyle="1" w:styleId="6">
    <w:name w:val="font21"/>
    <w:basedOn w:val="4"/>
    <w:qFormat/>
    <w:uiPriority w:val="0"/>
    <w:rPr>
      <w:rFonts w:hint="eastAsia" w:ascii="宋体" w:hAnsi="宋体" w:eastAsia="宋体" w:cs="宋体"/>
      <w:color w:val="000000"/>
      <w:sz w:val="21"/>
      <w:szCs w:val="21"/>
      <w:u w:val="none"/>
    </w:rPr>
  </w:style>
  <w:style w:type="character" w:customStyle="1" w:styleId="7">
    <w:name w:val="font01"/>
    <w:basedOn w:val="4"/>
    <w:qFormat/>
    <w:uiPriority w:val="0"/>
    <w:rPr>
      <w:rFonts w:hint="eastAsia" w:ascii="宋体" w:hAnsi="宋体" w:eastAsia="宋体" w:cs="宋体"/>
      <w:color w:val="000000"/>
      <w:sz w:val="21"/>
      <w:szCs w:val="21"/>
      <w:u w:val="none"/>
    </w:rPr>
  </w:style>
  <w:style w:type="paragraph" w:customStyle="1" w:styleId="8">
    <w:name w:val="Other|1"/>
    <w:basedOn w:val="1"/>
    <w:qFormat/>
    <w:uiPriority w:val="0"/>
    <w:pPr>
      <w:widowControl w:val="0"/>
      <w:shd w:val="clear" w:color="auto" w:fill="auto"/>
      <w:spacing w:line="444" w:lineRule="auto"/>
      <w:ind w:firstLine="200"/>
    </w:pPr>
    <w:rPr>
      <w:rFonts w:ascii="宋体" w:hAnsi="宋体" w:eastAsia="宋体" w:cs="宋体"/>
      <w:sz w:val="18"/>
      <w:szCs w:val="18"/>
      <w:u w:val="none"/>
      <w:shd w:val="clear" w:color="auto" w:fill="auto"/>
      <w:lang w:val="zh-TW" w:eastAsia="zh-TW" w:bidi="zh-TW"/>
    </w:rPr>
  </w:style>
  <w:style w:type="character" w:customStyle="1" w:styleId="9">
    <w:name w:val="font11"/>
    <w:basedOn w:val="4"/>
    <w:qFormat/>
    <w:uiPriority w:val="0"/>
    <w:rPr>
      <w:rFonts w:hint="eastAsia" w:ascii="宋体" w:hAnsi="宋体" w:eastAsia="宋体" w:cs="宋体"/>
      <w:color w:val="000000"/>
      <w:sz w:val="21"/>
      <w:szCs w:val="21"/>
      <w:u w:val="none"/>
    </w:rPr>
  </w:style>
  <w:style w:type="character" w:customStyle="1" w:styleId="10">
    <w:name w:val="font41"/>
    <w:basedOn w:val="4"/>
    <w:qFormat/>
    <w:uiPriority w:val="0"/>
    <w:rPr>
      <w:rFonts w:hint="default" w:ascii="Times New Roman" w:hAnsi="Times New Roman" w:cs="Times New Roman"/>
      <w:color w:val="000000"/>
      <w:sz w:val="18"/>
      <w:szCs w:val="18"/>
      <w:u w:val="none"/>
    </w:rPr>
  </w:style>
  <w:style w:type="character" w:customStyle="1" w:styleId="11">
    <w:name w:val="font31"/>
    <w:basedOn w:val="4"/>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2021-12-08T05:55:00Z</dcterms:created>
  <dc:creator>suuuu</dc:creator>
  <cp:lastModifiedBy>邹岩</cp:lastModifiedBy>
  <dcterms:modified xsi:type="dcterms:W3CDTF">2022-01-17T06:21:53Z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16975A5C102D46AFA193D7EB116024E8</vt:lpwstr>
  </property>
</Properties>
</file>