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cs="Times New Roman"/>
          <w:sz w:val="24"/>
          <w:szCs w:val="24"/>
          <w:lang w:val="en-US"/>
        </w:rPr>
      </w:pPr>
      <w:r>
        <w:rPr>
          <w:rFonts w:hint="default" w:ascii="Times New Roman" w:hAnsi="Times New Roman" w:cs="Times New Roman"/>
          <w:sz w:val="24"/>
          <w:szCs w:val="24"/>
        </w:rPr>
        <w:t xml:space="preserve">证券代码：603232    </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证券简称：格尔软件         公告编号：20</w:t>
      </w:r>
      <w:r>
        <w:rPr>
          <w:rFonts w:hint="default" w:ascii="Times New Roman" w:hAnsi="Times New Roman" w:cs="Times New Roman"/>
          <w:sz w:val="24"/>
          <w:szCs w:val="24"/>
          <w:highlight w:val="none"/>
          <w:lang w:val="en-US" w:eastAsia="zh-CN"/>
        </w:rPr>
        <w:t>2</w:t>
      </w:r>
      <w:r>
        <w:rPr>
          <w:rFonts w:hint="eastAsia" w:cs="Times New Roman"/>
          <w:sz w:val="24"/>
          <w:szCs w:val="24"/>
          <w:highlight w:val="none"/>
          <w:lang w:val="en-US" w:eastAsia="zh-CN"/>
        </w:rPr>
        <w:t>2</w:t>
      </w:r>
      <w:r>
        <w:rPr>
          <w:rFonts w:hint="default" w:ascii="Times New Roman" w:hAnsi="Times New Roman" w:cs="Times New Roman"/>
          <w:sz w:val="24"/>
          <w:szCs w:val="24"/>
          <w:highlight w:val="none"/>
        </w:rPr>
        <w:t>-</w:t>
      </w:r>
      <w:r>
        <w:rPr>
          <w:rFonts w:hint="eastAsia" w:cs="Times New Roman"/>
          <w:sz w:val="24"/>
          <w:szCs w:val="24"/>
          <w:highlight w:val="none"/>
          <w:lang w:val="en-US" w:eastAsia="zh-CN"/>
        </w:rPr>
        <w:t>014</w:t>
      </w:r>
    </w:p>
    <w:p>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ascii="黑体" w:hAnsi="黑体" w:eastAsia="黑体" w:cs="黑体"/>
          <w:b/>
          <w:bCs/>
          <w:color w:val="FF0000"/>
          <w:kern w:val="0"/>
          <w:sz w:val="32"/>
          <w:szCs w:val="32"/>
        </w:rPr>
      </w:pPr>
      <w:r>
        <w:rPr>
          <w:rFonts w:hint="eastAsia" w:ascii="黑体" w:hAnsi="黑体" w:eastAsia="黑体" w:cs="黑体"/>
          <w:b/>
          <w:bCs/>
          <w:color w:val="FF0000"/>
          <w:kern w:val="0"/>
          <w:sz w:val="32"/>
          <w:szCs w:val="32"/>
        </w:rPr>
        <w:t>格尔软件</w:t>
      </w:r>
      <w:r>
        <w:rPr>
          <w:rFonts w:ascii="黑体" w:hAnsi="黑体" w:eastAsia="黑体" w:cs="黑体"/>
          <w:b/>
          <w:bCs/>
          <w:color w:val="FF0000"/>
          <w:kern w:val="0"/>
          <w:sz w:val="32"/>
          <w:szCs w:val="32"/>
        </w:rPr>
        <w:t>股份有限公司</w:t>
      </w:r>
    </w:p>
    <w:p>
      <w:pPr>
        <w:adjustRightInd w:val="0"/>
        <w:snapToGrid w:val="0"/>
        <w:spacing w:line="360" w:lineRule="auto"/>
        <w:jc w:val="center"/>
        <w:rPr>
          <w:rFonts w:ascii="黑体" w:hAnsi="黑体" w:eastAsia="黑体" w:cs="黑体"/>
          <w:b/>
          <w:bCs/>
          <w:color w:val="FF0000"/>
          <w:kern w:val="0"/>
          <w:sz w:val="32"/>
          <w:szCs w:val="32"/>
        </w:rPr>
      </w:pPr>
      <w:r>
        <w:rPr>
          <w:rFonts w:hint="eastAsia" w:ascii="黑体" w:hAnsi="黑体" w:eastAsia="黑体" w:cs="黑体"/>
          <w:b/>
          <w:bCs/>
          <w:color w:val="FF0000"/>
          <w:kern w:val="0"/>
          <w:sz w:val="32"/>
          <w:szCs w:val="32"/>
        </w:rPr>
        <w:t>关于使用部分闲置自有资金进行现金管理的公告</w:t>
      </w:r>
    </w:p>
    <w:p>
      <w:pPr>
        <w:pBdr>
          <w:top w:val="single" w:color="auto" w:sz="4" w:space="1"/>
          <w:left w:val="single" w:color="auto" w:sz="4" w:space="4"/>
          <w:bottom w:val="single" w:color="auto" w:sz="4" w:space="1"/>
          <w:right w:val="single" w:color="auto" w:sz="4" w:space="4"/>
        </w:pBdr>
        <w:adjustRightInd w:val="0"/>
        <w:snapToGrid w:val="0"/>
        <w:spacing w:line="360" w:lineRule="auto"/>
        <w:jc w:val="left"/>
        <w:rPr>
          <w:rFonts w:ascii="宋体" w:hAnsi="宋体"/>
          <w:sz w:val="24"/>
        </w:rPr>
      </w:pPr>
      <w:r>
        <w:rPr>
          <w:rFonts w:hint="eastAsia" w:ascii="宋体" w:hAnsi="宋体"/>
          <w:sz w:val="24"/>
        </w:rPr>
        <w:t xml:space="preserve">    本公司董事会及全体董事保证本公告内容不存在任何虚假记载、误导性陈述或者重大遗漏，并对其内容的真实性、准确性和完整性承担个别及连带责任。  </w:t>
      </w:r>
    </w:p>
    <w:p>
      <w:pPr>
        <w:pStyle w:val="4"/>
        <w:spacing w:line="360" w:lineRule="auto"/>
      </w:pPr>
      <w:r>
        <w:rPr>
          <w:rFonts w:hint="eastAsia"/>
          <w:b/>
        </w:rPr>
        <w:t>重要内容提示：</w:t>
      </w:r>
    </w:p>
    <w:p>
      <w:pPr>
        <w:pStyle w:val="4"/>
        <w:numPr>
          <w:ilvl w:val="0"/>
          <w:numId w:val="1"/>
        </w:numPr>
        <w:spacing w:line="360" w:lineRule="auto"/>
        <w:rPr>
          <w:rFonts w:hint="default" w:ascii="Times New Roman" w:hAnsi="Times New Roman" w:cs="Times New Roman" w:eastAsiaTheme="minorEastAsia"/>
        </w:rPr>
      </w:pPr>
      <w:r>
        <w:rPr>
          <w:rFonts w:hint="eastAsia" w:asciiTheme="minorEastAsia" w:hAnsiTheme="minorEastAsia" w:eastAsiaTheme="minorEastAsia"/>
        </w:rPr>
        <w:t>格尔软件股份有限公司（以下简称</w:t>
      </w:r>
      <w:r>
        <w:rPr>
          <w:rFonts w:asciiTheme="minorEastAsia" w:hAnsiTheme="minorEastAsia" w:eastAsiaTheme="minorEastAsia"/>
        </w:rPr>
        <w:t>“</w:t>
      </w:r>
      <w:r>
        <w:rPr>
          <w:rFonts w:hint="eastAsia" w:asciiTheme="minorEastAsia" w:hAnsiTheme="minorEastAsia" w:eastAsiaTheme="minorEastAsia"/>
        </w:rPr>
        <w:t>公司</w:t>
      </w:r>
      <w:r>
        <w:rPr>
          <w:rFonts w:asciiTheme="minorEastAsia" w:hAnsiTheme="minorEastAsia" w:eastAsiaTheme="minorEastAsia"/>
        </w:rPr>
        <w:t>”</w:t>
      </w:r>
      <w:r>
        <w:rPr>
          <w:rFonts w:hint="eastAsia" w:asciiTheme="minorEastAsia" w:hAnsiTheme="minorEastAsia" w:eastAsiaTheme="minorEastAsia"/>
        </w:rPr>
        <w:t>）为提高公司资金的使用效率，在</w:t>
      </w:r>
      <w:r>
        <w:rPr>
          <w:rFonts w:hint="default" w:ascii="Times New Roman" w:hAnsi="Times New Roman" w:cs="Times New Roman" w:eastAsiaTheme="minorEastAsia"/>
        </w:rPr>
        <w:t>确保不影响公司正常经营的前提下，公司拟使用总额不超过人民币</w:t>
      </w:r>
      <w:r>
        <w:rPr>
          <w:rFonts w:hint="default" w:ascii="Times New Roman" w:hAnsi="Times New Roman" w:cs="Times New Roman" w:eastAsiaTheme="minorEastAsia"/>
          <w:lang w:val="en-US" w:eastAsia="zh-CN"/>
        </w:rPr>
        <w:t>6.5</w:t>
      </w:r>
      <w:r>
        <w:rPr>
          <w:rFonts w:hint="default" w:ascii="Times New Roman" w:hAnsi="Times New Roman" w:cs="Times New Roman" w:eastAsiaTheme="minorEastAsia"/>
        </w:rPr>
        <w:t>亿元（含</w:t>
      </w:r>
      <w:r>
        <w:rPr>
          <w:rFonts w:hint="default" w:ascii="Times New Roman" w:hAnsi="Times New Roman" w:cs="Times New Roman" w:eastAsiaTheme="minorEastAsia"/>
          <w:lang w:val="en-US" w:eastAsia="zh-CN"/>
        </w:rPr>
        <w:t>6.5</w:t>
      </w:r>
      <w:r>
        <w:rPr>
          <w:rFonts w:hint="default" w:ascii="Times New Roman" w:hAnsi="Times New Roman" w:cs="Times New Roman" w:eastAsiaTheme="minorEastAsia"/>
        </w:rPr>
        <w:t>亿元）的闲置自有资金</w:t>
      </w:r>
      <w:r>
        <w:rPr>
          <w:rFonts w:hint="default" w:ascii="Times New Roman" w:hAnsi="Times New Roman" w:cs="Times New Roman" w:eastAsiaTheme="minorEastAsia"/>
          <w:sz w:val="24"/>
          <w:szCs w:val="24"/>
          <w:lang w:eastAsia="zh-CN"/>
        </w:rPr>
        <w:t>进行现金管理</w:t>
      </w:r>
      <w:r>
        <w:rPr>
          <w:rFonts w:hint="default" w:ascii="Times New Roman" w:hAnsi="Times New Roman" w:cs="Times New Roman" w:eastAsiaTheme="minorEastAsia"/>
          <w:sz w:val="24"/>
          <w:szCs w:val="24"/>
        </w:rPr>
        <w:t>，以更好实现公司资金的保值增值</w:t>
      </w:r>
      <w:r>
        <w:rPr>
          <w:rFonts w:hint="default" w:ascii="Times New Roman" w:hAnsi="Times New Roman" w:cs="Times New Roman" w:eastAsiaTheme="minorEastAsia"/>
        </w:rPr>
        <w:t>，同时在</w:t>
      </w:r>
      <w:r>
        <w:rPr>
          <w:rFonts w:hint="default" w:ascii="Times New Roman" w:hAnsi="Times New Roman" w:cs="Times New Roman" w:eastAsiaTheme="minorEastAsia"/>
          <w:lang w:val="en-US" w:eastAsia="zh-CN"/>
        </w:rPr>
        <w:t>12个月内</w:t>
      </w:r>
      <w:r>
        <w:rPr>
          <w:rFonts w:hint="default" w:ascii="Times New Roman" w:hAnsi="Times New Roman" w:cs="Times New Roman" w:eastAsiaTheme="minorEastAsia"/>
        </w:rPr>
        <w:t>（含</w:t>
      </w:r>
      <w:r>
        <w:rPr>
          <w:rFonts w:hint="default" w:ascii="Times New Roman" w:hAnsi="Times New Roman" w:cs="Times New Roman" w:eastAsiaTheme="minorEastAsia"/>
          <w:lang w:val="en-US" w:eastAsia="zh-CN"/>
        </w:rPr>
        <w:t>12个月</w:t>
      </w:r>
      <w:r>
        <w:rPr>
          <w:rFonts w:hint="default" w:ascii="Times New Roman" w:hAnsi="Times New Roman" w:cs="Times New Roman" w:eastAsiaTheme="minorEastAsia"/>
        </w:rPr>
        <w:t>）该资金额度可滚动使用。</w:t>
      </w:r>
    </w:p>
    <w:p>
      <w:pPr>
        <w:pStyle w:val="4"/>
        <w:numPr>
          <w:ilvl w:val="0"/>
          <w:numId w:val="1"/>
        </w:numPr>
        <w:spacing w:line="360" w:lineRule="auto"/>
        <w:rPr>
          <w:rFonts w:hint="default" w:ascii="Times New Roman" w:hAnsi="Times New Roman" w:cs="Times New Roman" w:eastAsiaTheme="minorEastAsia"/>
        </w:rPr>
      </w:pPr>
      <w:r>
        <w:rPr>
          <w:rFonts w:hint="default" w:ascii="Times New Roman" w:hAnsi="Times New Roman" w:cs="Times New Roman" w:eastAsiaTheme="minorEastAsia"/>
        </w:rPr>
        <w:t>公司第</w:t>
      </w:r>
      <w:r>
        <w:rPr>
          <w:rFonts w:hint="default" w:ascii="Times New Roman" w:hAnsi="Times New Roman" w:cs="Times New Roman" w:eastAsiaTheme="minorEastAsia"/>
          <w:lang w:val="en-US" w:eastAsia="zh-CN"/>
        </w:rPr>
        <w:t>七</w:t>
      </w:r>
      <w:r>
        <w:rPr>
          <w:rFonts w:hint="default" w:ascii="Times New Roman" w:hAnsi="Times New Roman" w:cs="Times New Roman" w:eastAsiaTheme="minorEastAsia"/>
        </w:rPr>
        <w:t>届董事会第</w:t>
      </w:r>
      <w:r>
        <w:rPr>
          <w:rFonts w:hint="default" w:ascii="Times New Roman" w:hAnsi="Times New Roman" w:cs="Times New Roman" w:eastAsiaTheme="minorEastAsia"/>
          <w:lang w:val="en-US" w:eastAsia="zh-CN"/>
        </w:rPr>
        <w:t>二十三</w:t>
      </w:r>
      <w:r>
        <w:rPr>
          <w:rFonts w:hint="default" w:ascii="Times New Roman" w:hAnsi="Times New Roman" w:cs="Times New Roman" w:eastAsiaTheme="minorEastAsia"/>
        </w:rPr>
        <w:t>次会议、第</w:t>
      </w:r>
      <w:r>
        <w:rPr>
          <w:rFonts w:hint="default" w:ascii="Times New Roman" w:hAnsi="Times New Roman" w:cs="Times New Roman" w:eastAsiaTheme="minorEastAsia"/>
          <w:lang w:val="en-US" w:eastAsia="zh-CN"/>
        </w:rPr>
        <w:t>七</w:t>
      </w:r>
      <w:r>
        <w:rPr>
          <w:rFonts w:hint="default" w:ascii="Times New Roman" w:hAnsi="Times New Roman" w:cs="Times New Roman" w:eastAsiaTheme="minorEastAsia"/>
        </w:rPr>
        <w:t>届监事会第</w:t>
      </w:r>
      <w:r>
        <w:rPr>
          <w:rFonts w:hint="default" w:ascii="Times New Roman" w:hAnsi="Times New Roman" w:cs="Times New Roman" w:eastAsiaTheme="minorEastAsia"/>
          <w:lang w:val="en-US" w:eastAsia="zh-CN"/>
        </w:rPr>
        <w:t>二十</w:t>
      </w:r>
      <w:r>
        <w:rPr>
          <w:rFonts w:hint="default" w:ascii="Times New Roman" w:hAnsi="Times New Roman" w:cs="Times New Roman" w:eastAsiaTheme="minorEastAsia"/>
        </w:rPr>
        <w:t>次会议审议通过《关于使用部分闲置自有资金</w:t>
      </w:r>
      <w:r>
        <w:rPr>
          <w:rFonts w:hint="default" w:ascii="Times New Roman" w:hAnsi="Times New Roman" w:cs="Times New Roman" w:eastAsiaTheme="minorEastAsia"/>
          <w:lang w:val="en-US" w:eastAsia="zh-CN"/>
        </w:rPr>
        <w:t>进行现金管理</w:t>
      </w:r>
      <w:r>
        <w:rPr>
          <w:rFonts w:hint="default" w:ascii="Times New Roman" w:hAnsi="Times New Roman" w:cs="Times New Roman" w:eastAsiaTheme="minorEastAsia"/>
        </w:rPr>
        <w:t>的议案》。公司监事会、公司独立董事发表明确同意意见。</w:t>
      </w:r>
    </w:p>
    <w:p>
      <w:pPr>
        <w:pStyle w:val="4"/>
        <w:numPr>
          <w:ilvl w:val="0"/>
          <w:numId w:val="1"/>
        </w:numPr>
        <w:spacing w:line="360" w:lineRule="auto"/>
        <w:rPr>
          <w:rFonts w:hint="default" w:ascii="Times New Roman" w:hAnsi="Times New Roman" w:cs="Times New Roman" w:eastAsiaTheme="minorEastAsia"/>
          <w:lang w:val="en-US" w:eastAsia="zh-CN"/>
        </w:rPr>
      </w:pPr>
      <w:r>
        <w:rPr>
          <w:rFonts w:hint="default" w:ascii="Times New Roman" w:hAnsi="Times New Roman" w:cs="Times New Roman" w:eastAsiaTheme="minorEastAsia"/>
          <w:lang w:val="en-US" w:eastAsia="zh-CN"/>
        </w:rPr>
        <w:t>公司同时提请公司董事会授权公司董事长在上述额度范围和时效内行使该项投资权并签署相关合同文件，并由公司管理层组织相关部门实施。</w:t>
      </w:r>
    </w:p>
    <w:p>
      <w:pPr>
        <w:pStyle w:val="4"/>
        <w:numPr>
          <w:ilvl w:val="0"/>
          <w:numId w:val="1"/>
        </w:numPr>
        <w:spacing w:line="360" w:lineRule="auto"/>
        <w:rPr>
          <w:rFonts w:hint="default" w:ascii="Times New Roman" w:hAnsi="Times New Roman" w:cs="Times New Roman" w:eastAsiaTheme="minorEastAsia"/>
          <w:highlight w:val="none"/>
        </w:rPr>
      </w:pPr>
      <w:r>
        <w:rPr>
          <w:rFonts w:hint="eastAsia" w:ascii="Times New Roman" w:eastAsia="宋体" w:cs="Times New Roman"/>
          <w:highlight w:val="none"/>
          <w:lang w:val="en-US" w:eastAsia="zh-CN"/>
        </w:rPr>
        <w:t>根据上海证券交易所《股票上市规则》</w:t>
      </w:r>
      <w:r>
        <w:rPr>
          <w:rFonts w:hint="default" w:ascii="Times New Roman" w:hAnsi="Times New Roman" w:eastAsia="宋体" w:cs="Times New Roman"/>
          <w:highlight w:val="none"/>
        </w:rPr>
        <w:t>该</w:t>
      </w:r>
      <w:r>
        <w:rPr>
          <w:rFonts w:hint="eastAsia" w:ascii="Times New Roman" w:eastAsia="宋体" w:cs="Times New Roman"/>
          <w:highlight w:val="none"/>
          <w:lang w:val="en-US" w:eastAsia="zh-CN"/>
        </w:rPr>
        <w:t>事项无需提交股东大会，</w:t>
      </w:r>
      <w:r>
        <w:rPr>
          <w:rFonts w:hint="default" w:ascii="Times New Roman" w:hAnsi="Times New Roman" w:eastAsia="宋体" w:cs="Times New Roman"/>
          <w:highlight w:val="none"/>
        </w:rPr>
        <w:t>自获得</w:t>
      </w:r>
      <w:r>
        <w:rPr>
          <w:rFonts w:hint="default" w:ascii="Times New Roman" w:hAnsi="Times New Roman" w:eastAsia="宋体" w:cs="Times New Roman"/>
        </w:rPr>
        <w:t>公司</w:t>
      </w:r>
      <w:r>
        <w:rPr>
          <w:rFonts w:hint="eastAsia" w:ascii="Times New Roman" w:eastAsia="宋体" w:cs="Times New Roman"/>
          <w:lang w:val="en-US" w:eastAsia="zh-CN"/>
        </w:rPr>
        <w:t>第七届董事会第二十三次会议</w:t>
      </w:r>
      <w:r>
        <w:rPr>
          <w:rFonts w:hint="default" w:ascii="Times New Roman" w:hAnsi="Times New Roman" w:eastAsia="宋体" w:cs="Times New Roman"/>
          <w:highlight w:val="none"/>
        </w:rPr>
        <w:t>审议通</w:t>
      </w:r>
      <w:r>
        <w:rPr>
          <w:rFonts w:hint="default" w:ascii="Times New Roman" w:hAnsi="Times New Roman" w:cs="Times New Roman" w:eastAsiaTheme="minorEastAsia"/>
          <w:highlight w:val="none"/>
        </w:rPr>
        <w:t>过之日起</w:t>
      </w:r>
      <w:r>
        <w:rPr>
          <w:rFonts w:hint="default" w:ascii="Times New Roman" w:hAnsi="Times New Roman" w:cs="Times New Roman" w:eastAsiaTheme="minorEastAsia"/>
          <w:highlight w:val="none"/>
          <w:lang w:val="en-US" w:eastAsia="zh-CN"/>
        </w:rPr>
        <w:t>12个月内</w:t>
      </w:r>
      <w:r>
        <w:rPr>
          <w:rFonts w:hint="default" w:ascii="Times New Roman" w:hAnsi="Times New Roman" w:cs="Times New Roman" w:eastAsiaTheme="minorEastAsia"/>
        </w:rPr>
        <w:t>（含</w:t>
      </w:r>
      <w:r>
        <w:rPr>
          <w:rFonts w:hint="default" w:ascii="Times New Roman" w:hAnsi="Times New Roman" w:cs="Times New Roman" w:eastAsiaTheme="minorEastAsia"/>
          <w:lang w:val="en-US" w:eastAsia="zh-CN"/>
        </w:rPr>
        <w:t>12个月</w:t>
      </w:r>
      <w:r>
        <w:rPr>
          <w:rFonts w:hint="default" w:ascii="Times New Roman" w:hAnsi="Times New Roman" w:cs="Times New Roman" w:eastAsiaTheme="minorEastAsia"/>
        </w:rPr>
        <w:t>）</w:t>
      </w:r>
      <w:r>
        <w:rPr>
          <w:rFonts w:hint="default" w:ascii="Times New Roman" w:hAnsi="Times New Roman" w:cs="Times New Roman" w:eastAsiaTheme="minorEastAsia"/>
          <w:highlight w:val="none"/>
        </w:rPr>
        <w:t>有效。</w:t>
      </w:r>
      <w:bookmarkStart w:id="0" w:name="_GoBack"/>
      <w:bookmarkEnd w:id="0"/>
    </w:p>
    <w:p>
      <w:pPr>
        <w:pStyle w:val="4"/>
        <w:spacing w:line="360" w:lineRule="auto"/>
        <w:ind w:left="0" w:leftChars="0" w:firstLine="422" w:firstLineChars="175"/>
        <w:rPr>
          <w:b/>
        </w:rPr>
      </w:pPr>
      <w:r>
        <w:rPr>
          <w:rFonts w:hint="eastAsia"/>
          <w:b/>
        </w:rPr>
        <w:t>一、本次</w:t>
      </w:r>
      <w:r>
        <w:rPr>
          <w:rFonts w:hint="eastAsia"/>
          <w:b/>
          <w:lang w:eastAsia="zh-CN"/>
        </w:rPr>
        <w:t>使用</w:t>
      </w:r>
      <w:r>
        <w:rPr>
          <w:rFonts w:hint="eastAsia"/>
          <w:b/>
        </w:rPr>
        <w:t>闲置自有资金投资</w:t>
      </w:r>
      <w:r>
        <w:rPr>
          <w:rFonts w:hint="eastAsia"/>
          <w:b/>
          <w:lang w:eastAsia="zh-CN"/>
        </w:rPr>
        <w:t>购买</w:t>
      </w:r>
      <w:r>
        <w:rPr>
          <w:rFonts w:hint="eastAsia"/>
          <w:b/>
        </w:rPr>
        <w:t>理财产品的基本情况</w:t>
      </w:r>
    </w:p>
    <w:p>
      <w:pPr>
        <w:pStyle w:val="4"/>
        <w:spacing w:line="360" w:lineRule="auto"/>
        <w:ind w:left="0" w:leftChars="0" w:firstLine="422" w:firstLineChars="175"/>
        <w:rPr>
          <w:rFonts w:hint="eastAsia" w:asciiTheme="minorEastAsia" w:hAnsiTheme="minorEastAsia" w:eastAsiaTheme="minorEastAsia" w:cstheme="minorEastAsia"/>
          <w:b/>
        </w:rPr>
      </w:pPr>
      <w:r>
        <w:rPr>
          <w:rFonts w:hint="eastAsia" w:asciiTheme="minorEastAsia" w:hAnsiTheme="minorEastAsia" w:eastAsiaTheme="minorEastAsia" w:cstheme="minorEastAsia"/>
          <w:b/>
          <w:lang w:eastAsia="zh-CN"/>
        </w:rPr>
        <w:t>（一）</w:t>
      </w:r>
      <w:r>
        <w:rPr>
          <w:rFonts w:hint="eastAsia" w:asciiTheme="minorEastAsia" w:hAnsiTheme="minorEastAsia" w:eastAsiaTheme="minorEastAsia" w:cstheme="minorEastAsia"/>
          <w:b/>
        </w:rPr>
        <w:t>投资目的</w:t>
      </w:r>
    </w:p>
    <w:p>
      <w:pPr>
        <w:pStyle w:val="4"/>
        <w:spacing w:line="360" w:lineRule="auto"/>
        <w:ind w:left="0" w:leftChars="0" w:firstLine="420" w:firstLineChars="175"/>
        <w:rPr>
          <w:rFonts w:hint="default" w:ascii="Times New Roman" w:hAnsi="Times New Roman" w:cs="Times New Roman"/>
        </w:rPr>
      </w:pPr>
      <w:r>
        <w:rPr>
          <w:rFonts w:hint="default" w:ascii="Times New Roman" w:hAnsi="Times New Roman" w:cs="Times New Roman"/>
          <w:highlight w:val="none"/>
        </w:rPr>
        <w:t>为进一步提高资金使用效率，合理利用闲置自有资金，</w:t>
      </w:r>
      <w:r>
        <w:rPr>
          <w:rFonts w:hint="default" w:ascii="Times New Roman" w:hAnsi="Times New Roman" w:cs="Times New Roman" w:eastAsiaTheme="minorEastAsia"/>
          <w:highlight w:val="none"/>
        </w:rPr>
        <w:t>在确保不影响公司正常经营的前提下</w:t>
      </w:r>
      <w:r>
        <w:rPr>
          <w:rFonts w:hint="default" w:ascii="Times New Roman" w:hAnsi="Times New Roman" w:cs="Times New Roman"/>
          <w:highlight w:val="none"/>
        </w:rPr>
        <w:t>，公司拟使用总额不超过人民币</w:t>
      </w:r>
      <w:r>
        <w:rPr>
          <w:rFonts w:hint="default" w:ascii="Times New Roman" w:hAnsi="Times New Roman" w:cs="Times New Roman"/>
          <w:highlight w:val="none"/>
          <w:lang w:val="en-US" w:eastAsia="zh-CN"/>
        </w:rPr>
        <w:t>6.5</w:t>
      </w:r>
      <w:r>
        <w:rPr>
          <w:rFonts w:hint="default" w:ascii="Times New Roman" w:hAnsi="Times New Roman" w:cs="Times New Roman"/>
          <w:highlight w:val="none"/>
        </w:rPr>
        <w:t>亿元</w:t>
      </w:r>
      <w:r>
        <w:rPr>
          <w:rFonts w:hint="default" w:ascii="Times New Roman" w:hAnsi="Times New Roman" w:cs="Times New Roman" w:eastAsiaTheme="minorEastAsia"/>
          <w:highlight w:val="none"/>
        </w:rPr>
        <w:t>（含</w:t>
      </w:r>
      <w:r>
        <w:rPr>
          <w:rFonts w:hint="default" w:ascii="Times New Roman" w:hAnsi="Times New Roman" w:cs="Times New Roman" w:eastAsiaTheme="minorEastAsia"/>
          <w:highlight w:val="none"/>
          <w:lang w:val="en-US" w:eastAsia="zh-CN"/>
        </w:rPr>
        <w:t>6.5</w:t>
      </w:r>
      <w:r>
        <w:rPr>
          <w:rFonts w:hint="default" w:ascii="Times New Roman" w:hAnsi="Times New Roman" w:cs="Times New Roman" w:eastAsiaTheme="minorEastAsia"/>
          <w:highlight w:val="none"/>
        </w:rPr>
        <w:t>亿元）</w:t>
      </w:r>
      <w:r>
        <w:rPr>
          <w:rFonts w:hint="default" w:ascii="Times New Roman" w:hAnsi="Times New Roman" w:cs="Times New Roman"/>
          <w:highlight w:val="none"/>
        </w:rPr>
        <w:t>的闲置</w:t>
      </w:r>
      <w:r>
        <w:rPr>
          <w:rFonts w:hint="default" w:ascii="Times New Roman" w:hAnsi="Times New Roman" w:cs="Times New Roman"/>
        </w:rPr>
        <w:t>自有资金</w:t>
      </w:r>
      <w:r>
        <w:rPr>
          <w:rFonts w:hint="default" w:ascii="Times New Roman" w:hAnsi="Times New Roman" w:cs="Times New Roman" w:eastAsiaTheme="minorEastAsia"/>
          <w:sz w:val="24"/>
          <w:szCs w:val="24"/>
          <w:lang w:eastAsia="zh-CN"/>
        </w:rPr>
        <w:t>进行现金管理</w:t>
      </w:r>
      <w:r>
        <w:rPr>
          <w:rFonts w:hint="default" w:ascii="Times New Roman" w:hAnsi="Times New Roman" w:cs="Times New Roman" w:eastAsiaTheme="minorEastAsia"/>
          <w:sz w:val="24"/>
          <w:szCs w:val="24"/>
        </w:rPr>
        <w:t>，以更好实现公司资金的保值增值。</w:t>
      </w:r>
    </w:p>
    <w:p>
      <w:pPr>
        <w:pStyle w:val="4"/>
        <w:spacing w:line="360" w:lineRule="auto"/>
        <w:ind w:left="0" w:leftChars="0" w:firstLine="422" w:firstLineChars="175"/>
        <w:rPr>
          <w:rFonts w:hint="default" w:ascii="Times New Roman" w:hAnsi="Times New Roman" w:cs="Times New Roman" w:eastAsiaTheme="minorEastAsia"/>
          <w:b/>
        </w:rPr>
      </w:pPr>
      <w:r>
        <w:rPr>
          <w:rFonts w:hint="default" w:ascii="Times New Roman" w:hAnsi="Times New Roman" w:cs="Times New Roman" w:eastAsiaTheme="minorEastAsia"/>
          <w:b/>
          <w:lang w:eastAsia="zh-CN"/>
        </w:rPr>
        <w:t>（二）</w:t>
      </w:r>
      <w:r>
        <w:rPr>
          <w:rFonts w:hint="default" w:ascii="Times New Roman" w:hAnsi="Times New Roman" w:cs="Times New Roman" w:eastAsiaTheme="minorEastAsia"/>
          <w:b/>
        </w:rPr>
        <w:t>投资额度</w:t>
      </w:r>
    </w:p>
    <w:p>
      <w:pPr>
        <w:pStyle w:val="4"/>
        <w:spacing w:line="360" w:lineRule="auto"/>
        <w:ind w:left="0" w:leftChars="0" w:firstLine="420" w:firstLineChars="175"/>
        <w:rPr>
          <w:rFonts w:hint="default" w:ascii="Times New Roman" w:hAnsi="Times New Roman" w:cs="Times New Roman"/>
        </w:rPr>
      </w:pPr>
      <w:r>
        <w:rPr>
          <w:rFonts w:hint="default" w:ascii="Times New Roman" w:hAnsi="Times New Roman" w:cs="Times New Roman"/>
        </w:rPr>
        <w:t>公司拟使用总额不超过</w:t>
      </w:r>
      <w:r>
        <w:rPr>
          <w:rFonts w:hint="default" w:ascii="Times New Roman" w:hAnsi="Times New Roman" w:cs="Times New Roman"/>
          <w:highlight w:val="none"/>
        </w:rPr>
        <w:t>人民币</w:t>
      </w:r>
      <w:r>
        <w:rPr>
          <w:rFonts w:hint="default" w:ascii="Times New Roman" w:hAnsi="Times New Roman" w:cs="Times New Roman"/>
          <w:highlight w:val="none"/>
          <w:lang w:val="en-US" w:eastAsia="zh-CN"/>
        </w:rPr>
        <w:t>6.5</w:t>
      </w:r>
      <w:r>
        <w:rPr>
          <w:rFonts w:hint="default" w:ascii="Times New Roman" w:hAnsi="Times New Roman" w:cs="Times New Roman"/>
          <w:highlight w:val="none"/>
        </w:rPr>
        <w:t>亿元</w:t>
      </w:r>
      <w:r>
        <w:rPr>
          <w:rFonts w:hint="default" w:ascii="Times New Roman" w:hAnsi="Times New Roman" w:cs="Times New Roman" w:eastAsiaTheme="minorEastAsia"/>
          <w:highlight w:val="none"/>
        </w:rPr>
        <w:t>（含</w:t>
      </w:r>
      <w:r>
        <w:rPr>
          <w:rFonts w:hint="default" w:ascii="Times New Roman" w:hAnsi="Times New Roman" w:cs="Times New Roman" w:eastAsiaTheme="minorEastAsia"/>
          <w:highlight w:val="none"/>
          <w:lang w:val="en-US" w:eastAsia="zh-CN"/>
        </w:rPr>
        <w:t>6.5</w:t>
      </w:r>
      <w:r>
        <w:rPr>
          <w:rFonts w:hint="default" w:ascii="Times New Roman" w:hAnsi="Times New Roman" w:cs="Times New Roman" w:eastAsiaTheme="minorEastAsia"/>
          <w:highlight w:val="none"/>
        </w:rPr>
        <w:t>亿元）</w:t>
      </w:r>
      <w:r>
        <w:rPr>
          <w:rFonts w:hint="default" w:ascii="Times New Roman" w:hAnsi="Times New Roman" w:cs="Times New Roman"/>
          <w:highlight w:val="none"/>
        </w:rPr>
        <w:t>的闲置自有资金</w:t>
      </w:r>
      <w:r>
        <w:rPr>
          <w:rFonts w:hint="default" w:ascii="Times New Roman" w:hAnsi="Times New Roman" w:cs="Times New Roman"/>
          <w:lang w:eastAsia="zh-CN"/>
        </w:rPr>
        <w:t>进行现金管理</w:t>
      </w:r>
      <w:r>
        <w:rPr>
          <w:rFonts w:hint="default" w:ascii="Times New Roman" w:hAnsi="Times New Roman" w:cs="Times New Roman"/>
        </w:rPr>
        <w:t>。同时在</w:t>
      </w:r>
      <w:r>
        <w:rPr>
          <w:rFonts w:hint="default" w:ascii="Times New Roman" w:hAnsi="Times New Roman" w:cs="Times New Roman"/>
          <w:lang w:val="en-US" w:eastAsia="zh-CN"/>
        </w:rPr>
        <w:t>12个月</w:t>
      </w:r>
      <w:r>
        <w:rPr>
          <w:rFonts w:hint="default" w:ascii="Times New Roman" w:hAnsi="Times New Roman" w:cs="Times New Roman"/>
        </w:rPr>
        <w:t>内（含</w:t>
      </w:r>
      <w:r>
        <w:rPr>
          <w:rFonts w:hint="default" w:ascii="Times New Roman" w:hAnsi="Times New Roman" w:cs="Times New Roman"/>
          <w:lang w:val="en-US" w:eastAsia="zh-CN"/>
        </w:rPr>
        <w:t>12个月</w:t>
      </w:r>
      <w:r>
        <w:rPr>
          <w:rFonts w:hint="default" w:ascii="Times New Roman" w:hAnsi="Times New Roman" w:cs="Times New Roman"/>
        </w:rPr>
        <w:t>）该资金额度可滚动使用。</w:t>
      </w:r>
    </w:p>
    <w:p>
      <w:pPr>
        <w:pStyle w:val="4"/>
        <w:spacing w:line="360" w:lineRule="auto"/>
        <w:ind w:left="0" w:leftChars="0" w:firstLine="422" w:firstLineChars="175"/>
        <w:rPr>
          <w:rFonts w:hint="eastAsia" w:asciiTheme="minorEastAsia" w:hAnsiTheme="minorEastAsia" w:eastAsiaTheme="minorEastAsia" w:cstheme="minorEastAsia"/>
          <w:b/>
          <w:lang w:eastAsia="zh-CN"/>
        </w:rPr>
      </w:pPr>
      <w:r>
        <w:rPr>
          <w:rFonts w:hint="eastAsia" w:asciiTheme="minorEastAsia" w:hAnsiTheme="minorEastAsia" w:eastAsiaTheme="minorEastAsia" w:cstheme="minorEastAsia"/>
          <w:b/>
          <w:lang w:eastAsia="zh-CN"/>
        </w:rPr>
        <w:t>（三）投资品种</w:t>
      </w:r>
    </w:p>
    <w:p>
      <w:pPr>
        <w:pStyle w:val="4"/>
        <w:spacing w:line="360" w:lineRule="auto"/>
        <w:ind w:left="0" w:leftChars="0" w:firstLine="420" w:firstLineChars="175"/>
        <w:rPr>
          <w:rFonts w:hint="default" w:ascii="Times New Roman" w:hAnsi="Times New Roman" w:cs="Times New Roman"/>
          <w:highlight w:val="none"/>
        </w:rPr>
      </w:pPr>
      <w:r>
        <w:rPr>
          <w:rFonts w:hint="default" w:ascii="Times New Roman" w:hAnsi="Times New Roman" w:cs="Times New Roman"/>
          <w:highlight w:val="none"/>
        </w:rPr>
        <w:t>主要用于投资合法金融机构发行的风险可控、流动性好的理财产品。不</w:t>
      </w:r>
      <w:r>
        <w:rPr>
          <w:rFonts w:hint="default" w:ascii="Times New Roman" w:hAnsi="Times New Roman" w:cs="Times New Roman"/>
          <w:highlight w:val="none"/>
          <w:lang w:val="en-US" w:eastAsia="zh-CN"/>
        </w:rPr>
        <w:t>直接</w:t>
      </w:r>
      <w:r>
        <w:rPr>
          <w:rFonts w:hint="default" w:ascii="Times New Roman" w:hAnsi="Times New Roman" w:cs="Times New Roman"/>
          <w:highlight w:val="none"/>
        </w:rPr>
        <w:t>用于其他证券投资，不购买股票及其衍生品、无担保债券。</w:t>
      </w:r>
    </w:p>
    <w:p>
      <w:pPr>
        <w:pStyle w:val="4"/>
        <w:spacing w:line="360" w:lineRule="auto"/>
        <w:ind w:left="0" w:leftChars="0" w:firstLine="422" w:firstLineChars="175"/>
        <w:rPr>
          <w:rFonts w:hint="default" w:ascii="Times New Roman" w:hAnsi="Times New Roman" w:cs="Times New Roman" w:eastAsiaTheme="minorEastAsia"/>
          <w:b/>
          <w:lang w:eastAsia="zh-CN"/>
        </w:rPr>
      </w:pPr>
      <w:r>
        <w:rPr>
          <w:rFonts w:hint="default" w:ascii="Times New Roman" w:hAnsi="Times New Roman" w:cs="Times New Roman" w:eastAsiaTheme="minorEastAsia"/>
          <w:b/>
          <w:lang w:eastAsia="zh-CN"/>
        </w:rPr>
        <w:t>（四）投资期限</w:t>
      </w:r>
    </w:p>
    <w:p>
      <w:pPr>
        <w:pStyle w:val="4"/>
        <w:spacing w:line="360" w:lineRule="auto"/>
        <w:ind w:left="0" w:leftChars="0" w:firstLine="420" w:firstLineChars="175"/>
      </w:pPr>
      <w:r>
        <w:rPr>
          <w:rFonts w:hint="default" w:ascii="Times New Roman" w:hAnsi="Times New Roman" w:eastAsia="宋体" w:cs="Times New Roman"/>
        </w:rPr>
        <w:t>自获得</w:t>
      </w:r>
      <w:r>
        <w:rPr>
          <w:rFonts w:hint="default" w:ascii="Times New Roman" w:hAnsi="Times New Roman" w:eastAsia="宋体" w:cs="Times New Roman"/>
          <w:highlight w:val="none"/>
        </w:rPr>
        <w:t>公司</w:t>
      </w:r>
      <w:r>
        <w:rPr>
          <w:rFonts w:hint="default" w:ascii="Times New Roman" w:hAnsi="Times New Roman" w:cs="Times New Roman" w:eastAsiaTheme="minorEastAsia"/>
        </w:rPr>
        <w:t>第</w:t>
      </w:r>
      <w:r>
        <w:rPr>
          <w:rFonts w:hint="default" w:ascii="Times New Roman" w:hAnsi="Times New Roman" w:cs="Times New Roman" w:eastAsiaTheme="minorEastAsia"/>
          <w:lang w:val="en-US" w:eastAsia="zh-CN"/>
        </w:rPr>
        <w:t>七</w:t>
      </w:r>
      <w:r>
        <w:rPr>
          <w:rFonts w:hint="default" w:ascii="Times New Roman" w:hAnsi="Times New Roman" w:cs="Times New Roman" w:eastAsiaTheme="minorEastAsia"/>
        </w:rPr>
        <w:t>届董事会第</w:t>
      </w:r>
      <w:r>
        <w:rPr>
          <w:rFonts w:hint="default" w:ascii="Times New Roman" w:hAnsi="Times New Roman" w:cs="Times New Roman" w:eastAsiaTheme="minorEastAsia"/>
          <w:lang w:val="en-US" w:eastAsia="zh-CN"/>
        </w:rPr>
        <w:t>二十三</w:t>
      </w:r>
      <w:r>
        <w:rPr>
          <w:rFonts w:hint="default" w:ascii="Times New Roman" w:hAnsi="Times New Roman" w:cs="Times New Roman" w:eastAsiaTheme="minorEastAsia"/>
        </w:rPr>
        <w:t>次会议</w:t>
      </w:r>
      <w:r>
        <w:rPr>
          <w:rFonts w:hint="default" w:ascii="Times New Roman" w:hAnsi="Times New Roman" w:eastAsia="宋体" w:cs="Times New Roman"/>
        </w:rPr>
        <w:t>审议通过之日起</w:t>
      </w:r>
      <w:r>
        <w:rPr>
          <w:rFonts w:hint="default" w:ascii="Times New Roman" w:hAnsi="Times New Roman" w:cs="Times New Roman"/>
          <w:lang w:val="en-US" w:eastAsia="zh-CN"/>
        </w:rPr>
        <w:t>12个月</w:t>
      </w:r>
      <w:r>
        <w:rPr>
          <w:rFonts w:hint="default" w:ascii="Times New Roman" w:hAnsi="Times New Roman" w:eastAsia="宋体" w:cs="Times New Roman"/>
        </w:rPr>
        <w:t>内</w:t>
      </w:r>
      <w:r>
        <w:rPr>
          <w:rFonts w:hint="default" w:ascii="Times New Roman" w:hAnsi="Times New Roman" w:eastAsia="宋体" w:cs="Times New Roman"/>
          <w:lang w:eastAsia="zh-CN"/>
        </w:rPr>
        <w:t>（含</w:t>
      </w:r>
      <w:r>
        <w:rPr>
          <w:rFonts w:hint="default" w:ascii="Times New Roman" w:hAnsi="Times New Roman" w:cs="Times New Roman"/>
          <w:lang w:val="en-US" w:eastAsia="zh-CN"/>
        </w:rPr>
        <w:t>12个月</w:t>
      </w:r>
      <w:r>
        <w:rPr>
          <w:rFonts w:hint="default" w:ascii="Times New Roman" w:hAnsi="Times New Roman" w:eastAsia="宋体" w:cs="Times New Roman"/>
          <w:lang w:eastAsia="zh-CN"/>
        </w:rPr>
        <w:t>）</w:t>
      </w:r>
      <w:r>
        <w:rPr>
          <w:rFonts w:hint="default" w:ascii="Times New Roman" w:hAnsi="Times New Roman" w:eastAsia="宋体" w:cs="Times New Roman"/>
        </w:rPr>
        <w:t>有效。</w:t>
      </w:r>
      <w:r>
        <w:t xml:space="preserve"> </w:t>
      </w:r>
    </w:p>
    <w:p>
      <w:pPr>
        <w:pStyle w:val="4"/>
        <w:spacing w:line="360" w:lineRule="auto"/>
        <w:ind w:left="0" w:leftChars="0" w:firstLine="422" w:firstLineChars="175"/>
        <w:rPr>
          <w:rFonts w:hint="eastAsia" w:asciiTheme="minorEastAsia" w:hAnsiTheme="minorEastAsia" w:eastAsiaTheme="minorEastAsia" w:cstheme="minorEastAsia"/>
          <w:b/>
          <w:lang w:eastAsia="zh-CN"/>
        </w:rPr>
      </w:pPr>
      <w:r>
        <w:rPr>
          <w:rFonts w:hint="eastAsia" w:asciiTheme="minorEastAsia" w:hAnsiTheme="minorEastAsia" w:eastAsiaTheme="minorEastAsia" w:cstheme="minorEastAsia"/>
          <w:b/>
          <w:lang w:eastAsia="zh-CN"/>
        </w:rPr>
        <w:t>（五）资金来源</w:t>
      </w:r>
    </w:p>
    <w:p>
      <w:pPr>
        <w:pStyle w:val="4"/>
        <w:spacing w:line="360" w:lineRule="auto"/>
        <w:ind w:left="0" w:leftChars="0" w:firstLine="420" w:firstLineChars="175"/>
        <w:rPr>
          <w:rFonts w:hint="default" w:ascii="Times New Roman" w:hAnsi="Times New Roman" w:cs="Times New Roman"/>
        </w:rPr>
      </w:pPr>
      <w:r>
        <w:rPr>
          <w:rFonts w:hint="default" w:ascii="Times New Roman" w:hAnsi="Times New Roman" w:eastAsia="宋体" w:cs="Times New Roman"/>
        </w:rPr>
        <w:t>公司用于</w:t>
      </w:r>
      <w:r>
        <w:rPr>
          <w:rFonts w:hint="default" w:ascii="Times New Roman" w:hAnsi="Times New Roman" w:eastAsia="宋体" w:cs="Times New Roman"/>
          <w:lang w:eastAsia="zh-CN"/>
        </w:rPr>
        <w:t>现金管理</w:t>
      </w:r>
      <w:r>
        <w:rPr>
          <w:rFonts w:hint="default" w:ascii="Times New Roman" w:hAnsi="Times New Roman" w:eastAsia="宋体" w:cs="Times New Roman"/>
        </w:rPr>
        <w:t>的资金为部分闲置自有资金。在保证公司正常经营所需流动资金的情况下，</w:t>
      </w:r>
      <w:r>
        <w:rPr>
          <w:rFonts w:hint="default" w:ascii="Times New Roman" w:hAnsi="Times New Roman" w:eastAsia="宋体" w:cs="Times New Roman"/>
          <w:lang w:eastAsia="zh-CN"/>
        </w:rPr>
        <w:t>公司将</w:t>
      </w:r>
      <w:r>
        <w:rPr>
          <w:rFonts w:hint="default" w:ascii="Times New Roman" w:hAnsi="Times New Roman" w:eastAsia="宋体" w:cs="Times New Roman"/>
        </w:rPr>
        <w:t>选择适当的时机进行</w:t>
      </w:r>
      <w:r>
        <w:rPr>
          <w:rFonts w:hint="default" w:ascii="Times New Roman" w:hAnsi="Times New Roman" w:eastAsia="宋体" w:cs="Times New Roman"/>
          <w:lang w:eastAsia="zh-CN"/>
        </w:rPr>
        <w:t>现金管理</w:t>
      </w:r>
      <w:r>
        <w:rPr>
          <w:rFonts w:hint="default" w:ascii="Times New Roman" w:hAnsi="Times New Roman" w:eastAsia="宋体" w:cs="Times New Roman"/>
        </w:rPr>
        <w:t>。在做好风险控制的基础下，能够最大限度地发挥资金的作用，提高资金使用效率。</w:t>
      </w:r>
    </w:p>
    <w:p>
      <w:pPr>
        <w:pStyle w:val="4"/>
        <w:spacing w:line="360" w:lineRule="auto"/>
        <w:ind w:left="0" w:leftChars="0" w:firstLine="422" w:firstLineChars="175"/>
        <w:rPr>
          <w:b/>
        </w:rPr>
      </w:pPr>
      <w:r>
        <w:rPr>
          <w:rFonts w:hint="eastAsia"/>
          <w:b/>
        </w:rPr>
        <w:t>二、投资风险及其控制措施</w:t>
      </w:r>
    </w:p>
    <w:p>
      <w:pPr>
        <w:pStyle w:val="4"/>
        <w:spacing w:line="360" w:lineRule="auto"/>
        <w:ind w:left="0" w:leftChars="0" w:firstLine="422" w:firstLineChars="175"/>
        <w:rPr>
          <w:rFonts w:hint="eastAsia" w:asciiTheme="minorEastAsia" w:hAnsiTheme="minorEastAsia" w:eastAsiaTheme="minorEastAsia" w:cstheme="minorEastAsia"/>
          <w:b/>
          <w:lang w:eastAsia="zh-CN"/>
        </w:rPr>
      </w:pPr>
      <w:r>
        <w:rPr>
          <w:rFonts w:hint="eastAsia" w:asciiTheme="minorEastAsia" w:hAnsiTheme="minorEastAsia" w:eastAsiaTheme="minorEastAsia" w:cstheme="minorEastAsia"/>
          <w:b/>
          <w:lang w:eastAsia="zh-CN"/>
        </w:rPr>
        <w:t>（一）投资风险</w:t>
      </w:r>
    </w:p>
    <w:p>
      <w:pPr>
        <w:pStyle w:val="4"/>
        <w:spacing w:line="360" w:lineRule="auto"/>
        <w:ind w:left="0" w:leftChars="0" w:firstLine="420" w:firstLineChars="175"/>
        <w:rPr>
          <w:rFonts w:hint="default" w:ascii="Times New Roman" w:hAnsi="Times New Roman" w:eastAsia="宋体" w:cs="Times New Roman"/>
          <w:lang w:eastAsia="zh-CN"/>
        </w:rPr>
      </w:pPr>
      <w:r>
        <w:rPr>
          <w:rFonts w:hint="default" w:ascii="Times New Roman" w:hAnsi="Times New Roman" w:cs="Times New Roman"/>
        </w:rPr>
        <w:t>1、</w:t>
      </w:r>
      <w:r>
        <w:rPr>
          <w:rFonts w:hint="default" w:ascii="Times New Roman" w:hAnsi="Times New Roman" w:eastAsia="宋体" w:cs="Times New Roman"/>
          <w:highlight w:val="none"/>
        </w:rPr>
        <w:t>公司</w:t>
      </w:r>
      <w:r>
        <w:rPr>
          <w:rFonts w:hint="eastAsia" w:ascii="Times New Roman" w:cs="Times New Roman"/>
          <w:highlight w:val="none"/>
          <w:lang w:val="en-US" w:eastAsia="zh-CN"/>
        </w:rPr>
        <w:t>使用暂时闲置的自有资金进行现金管理，</w:t>
      </w:r>
      <w:r>
        <w:rPr>
          <w:rFonts w:hint="default" w:ascii="Times New Roman" w:hAnsi="Times New Roman" w:cs="Times New Roman"/>
          <w:highlight w:val="none"/>
        </w:rPr>
        <w:t>主要用于投资合法金融机构发行的风险可控、流动性好的理财产品。不</w:t>
      </w:r>
      <w:r>
        <w:rPr>
          <w:rFonts w:hint="eastAsia" w:ascii="Times New Roman" w:hAnsi="Times New Roman" w:cs="Times New Roman"/>
          <w:highlight w:val="none"/>
          <w:lang w:val="en-US" w:eastAsia="zh-CN"/>
        </w:rPr>
        <w:t>直接</w:t>
      </w:r>
      <w:r>
        <w:rPr>
          <w:rFonts w:hint="default" w:ascii="Times New Roman" w:hAnsi="Times New Roman" w:cs="Times New Roman"/>
          <w:highlight w:val="none"/>
        </w:rPr>
        <w:t>用于其他证券投资，不购买股票及其衍生品、无担保债券。</w:t>
      </w:r>
      <w:r>
        <w:rPr>
          <w:rFonts w:hint="default" w:ascii="Times New Roman" w:hAnsi="Times New Roman" w:eastAsia="宋体" w:cs="Times New Roman"/>
        </w:rPr>
        <w:t>但金融市场受宏观经济影响较大，该项投资</w:t>
      </w:r>
      <w:r>
        <w:rPr>
          <w:rFonts w:hint="eastAsia" w:ascii="Times New Roman" w:eastAsia="宋体" w:cs="Times New Roman"/>
          <w:lang w:eastAsia="zh-CN"/>
        </w:rPr>
        <w:t>会</w:t>
      </w:r>
      <w:r>
        <w:rPr>
          <w:rFonts w:hint="default" w:ascii="Times New Roman" w:hAnsi="Times New Roman" w:eastAsia="宋体" w:cs="Times New Roman"/>
        </w:rPr>
        <w:t>受到市场波动的影响</w:t>
      </w:r>
      <w:r>
        <w:rPr>
          <w:rFonts w:hint="default" w:ascii="Times New Roman" w:hAnsi="Times New Roman" w:cs="Times New Roman"/>
          <w:lang w:eastAsia="zh-CN"/>
        </w:rPr>
        <w:t>；</w:t>
      </w:r>
    </w:p>
    <w:p>
      <w:pPr>
        <w:pStyle w:val="4"/>
        <w:spacing w:line="360" w:lineRule="auto"/>
        <w:ind w:left="0" w:leftChars="0" w:firstLine="420" w:firstLineChars="175"/>
        <w:rPr>
          <w:rFonts w:hint="default" w:ascii="Times New Roman" w:hAnsi="Times New Roman" w:eastAsia="宋体" w:cs="Times New Roman"/>
          <w:lang w:eastAsia="zh-CN"/>
        </w:rPr>
      </w:pPr>
      <w:r>
        <w:rPr>
          <w:rFonts w:hint="default" w:ascii="Times New Roman" w:hAnsi="Times New Roman" w:cs="Times New Roman"/>
        </w:rPr>
        <w:t>2、公司根据经济形势以及金融市场的变化适时适量的介入，因此短期投资的实际收益不可预期</w:t>
      </w:r>
      <w:r>
        <w:rPr>
          <w:rFonts w:hint="default" w:ascii="Times New Roman" w:hAnsi="Times New Roman" w:cs="Times New Roman"/>
          <w:lang w:eastAsia="zh-CN"/>
        </w:rPr>
        <w:t>；</w:t>
      </w:r>
    </w:p>
    <w:p>
      <w:pPr>
        <w:pStyle w:val="4"/>
        <w:spacing w:line="360" w:lineRule="auto"/>
        <w:ind w:left="0" w:leftChars="0" w:firstLine="420" w:firstLineChars="175"/>
      </w:pPr>
      <w:r>
        <w:rPr>
          <w:rFonts w:hint="default" w:ascii="Times New Roman" w:hAnsi="Times New Roman" w:cs="Times New Roman"/>
        </w:rPr>
        <w:t>3、相关工作人员的操作和监控风险。</w:t>
      </w:r>
    </w:p>
    <w:p>
      <w:pPr>
        <w:pStyle w:val="4"/>
        <w:spacing w:line="360" w:lineRule="auto"/>
        <w:ind w:left="0" w:leftChars="0" w:firstLine="422" w:firstLineChars="175"/>
        <w:rPr>
          <w:rFonts w:hint="eastAsia" w:asciiTheme="minorEastAsia" w:hAnsiTheme="minorEastAsia" w:eastAsiaTheme="minorEastAsia" w:cstheme="minorEastAsia"/>
          <w:b/>
          <w:lang w:eastAsia="zh-CN"/>
        </w:rPr>
      </w:pPr>
      <w:r>
        <w:rPr>
          <w:rFonts w:hint="eastAsia" w:asciiTheme="minorEastAsia" w:hAnsiTheme="minorEastAsia" w:eastAsiaTheme="minorEastAsia" w:cstheme="minorEastAsia"/>
          <w:b/>
          <w:lang w:eastAsia="zh-CN"/>
        </w:rPr>
        <w:t>（二）风险控制措施</w:t>
      </w:r>
    </w:p>
    <w:p>
      <w:pPr>
        <w:pStyle w:val="4"/>
        <w:spacing w:line="360" w:lineRule="auto"/>
        <w:ind w:left="0" w:leftChars="0" w:firstLine="420" w:firstLineChars="175"/>
        <w:rPr>
          <w:rFonts w:hint="default" w:ascii="Times New Roman" w:hAnsi="Times New Roman" w:cs="Times New Roman"/>
        </w:rPr>
      </w:pPr>
      <w:r>
        <w:rPr>
          <w:rFonts w:hint="default" w:ascii="Times New Roman" w:hAnsi="Times New Roman" w:eastAsia="宋体" w:cs="Times New Roman"/>
        </w:rPr>
        <w:t>金融市场受宏观经济的影响较大，公司将根据经济形势以及金融市场的变化适时适量的介入，但该项投资</w:t>
      </w:r>
      <w:r>
        <w:rPr>
          <w:rFonts w:hint="eastAsia" w:ascii="Times New Roman" w:eastAsia="宋体" w:cs="Times New Roman"/>
          <w:lang w:eastAsia="zh-CN"/>
        </w:rPr>
        <w:t>仍会</w:t>
      </w:r>
      <w:r>
        <w:rPr>
          <w:rFonts w:hint="default" w:ascii="Times New Roman" w:hAnsi="Times New Roman" w:eastAsia="宋体" w:cs="Times New Roman"/>
        </w:rPr>
        <w:t>受到市场波动的影响。针对可能发生的投资风险，公司拟定如下风险控制措施：</w:t>
      </w:r>
    </w:p>
    <w:p>
      <w:pPr>
        <w:pStyle w:val="4"/>
        <w:spacing w:line="360" w:lineRule="auto"/>
        <w:ind w:left="0" w:leftChars="0" w:firstLine="420" w:firstLineChars="175"/>
        <w:rPr>
          <w:rFonts w:hint="default" w:ascii="Times New Roman" w:hAnsi="Times New Roman" w:eastAsia="宋体" w:cs="Times New Roman"/>
        </w:rPr>
      </w:pPr>
      <w:r>
        <w:rPr>
          <w:rFonts w:hint="default" w:ascii="Times New Roman" w:hAnsi="Times New Roman" w:eastAsia="宋体" w:cs="Times New Roman"/>
        </w:rPr>
        <w:t>1、公司财务部门将及时分析和跟踪理财产品投向、项目进展情况，一旦发现或判断有不利因素，将及时采取相应的保全措施，控制投资风险；</w:t>
      </w:r>
    </w:p>
    <w:p>
      <w:pPr>
        <w:pStyle w:val="4"/>
        <w:spacing w:line="360" w:lineRule="auto"/>
        <w:ind w:left="0" w:leftChars="0" w:firstLine="420" w:firstLineChars="175"/>
        <w:rPr>
          <w:rFonts w:hint="default" w:ascii="Times New Roman" w:hAnsi="Times New Roman" w:eastAsia="宋体" w:cs="Times New Roman"/>
          <w:lang w:eastAsia="zh-CN"/>
        </w:rPr>
      </w:pPr>
      <w:r>
        <w:rPr>
          <w:rFonts w:hint="default" w:ascii="Times New Roman" w:hAnsi="Times New Roman" w:eastAsia="宋体" w:cs="Times New Roman"/>
        </w:rPr>
        <w:t>2、公司审计部门负责对投资理财资金使用与保管情况的审计与监督，每个季度末应对所有理财产品投资项目进行全面检查，并根据谨慎性原则，合理的预计各项投资可能发生的收益和损失，并向审计委员会报告</w:t>
      </w:r>
      <w:r>
        <w:rPr>
          <w:rFonts w:hint="default" w:ascii="Times New Roman" w:hAnsi="Times New Roman" w:eastAsia="宋体" w:cs="Times New Roman"/>
          <w:lang w:eastAsia="zh-CN"/>
        </w:rPr>
        <w:t>。</w:t>
      </w:r>
    </w:p>
    <w:p>
      <w:pPr>
        <w:pStyle w:val="4"/>
        <w:spacing w:line="360" w:lineRule="auto"/>
        <w:ind w:left="0" w:leftChars="0" w:firstLine="422" w:firstLineChars="175"/>
        <w:rPr>
          <w:b/>
        </w:rPr>
      </w:pPr>
      <w:r>
        <w:rPr>
          <w:rFonts w:hint="eastAsia"/>
          <w:b/>
        </w:rPr>
        <w:t>三、对公司日常经营的影响</w:t>
      </w:r>
    </w:p>
    <w:p>
      <w:pPr>
        <w:pStyle w:val="4"/>
        <w:spacing w:line="360" w:lineRule="auto"/>
        <w:ind w:left="0" w:leftChars="0" w:firstLine="420" w:firstLineChars="175"/>
        <w:rPr>
          <w:rFonts w:hint="default" w:ascii="Times New Roman" w:hAnsi="Times New Roman" w:cs="Times New Roman"/>
        </w:rPr>
      </w:pPr>
      <w:r>
        <w:rPr>
          <w:rFonts w:hint="default" w:ascii="Times New Roman" w:hAnsi="Times New Roman" w:eastAsia="宋体" w:cs="Times New Roman"/>
          <w:highlight w:val="none"/>
        </w:rPr>
        <w:t>公司</w:t>
      </w:r>
      <w:r>
        <w:rPr>
          <w:rFonts w:hint="eastAsia" w:ascii="Times New Roman" w:eastAsia="宋体" w:cs="Times New Roman"/>
          <w:highlight w:val="none"/>
          <w:lang w:eastAsia="zh-CN"/>
        </w:rPr>
        <w:t>进行现金管理，以合法金融机构发行的风险可控、流动性好的理财产品为主</w:t>
      </w:r>
      <w:r>
        <w:rPr>
          <w:rFonts w:hint="eastAsia" w:ascii="Times New Roman" w:cs="Times New Roman"/>
          <w:highlight w:val="none"/>
          <w:lang w:eastAsia="zh-CN"/>
        </w:rPr>
        <w:t>，</w:t>
      </w:r>
      <w:r>
        <w:rPr>
          <w:rFonts w:hint="default" w:ascii="Times New Roman" w:hAnsi="Times New Roman" w:eastAsia="宋体" w:cs="Times New Roman"/>
          <w:highlight w:val="none"/>
        </w:rPr>
        <w:t>所使用的资金为闲置自有资金，不影响</w:t>
      </w:r>
      <w:r>
        <w:rPr>
          <w:rFonts w:hint="default" w:ascii="Times New Roman" w:hAnsi="Times New Roman" w:eastAsia="宋体" w:cs="Times New Roman"/>
        </w:rPr>
        <w:t>日常资金周转需要，不会影响主营业务的正常展开。公司目前财务状况稳健，相应资金的使用不会影响日常业务的发展，且有利于提高闲置自有资金的收益。</w:t>
      </w:r>
    </w:p>
    <w:p>
      <w:pPr>
        <w:snapToGrid w:val="0"/>
        <w:spacing w:line="360" w:lineRule="auto"/>
        <w:ind w:left="0" w:leftChars="0" w:firstLine="422" w:firstLineChars="175"/>
        <w:rPr>
          <w:rFonts w:asciiTheme="minorEastAsia" w:hAnsiTheme="minorEastAsia" w:eastAsiaTheme="minorEastAsia"/>
          <w:b/>
          <w:sz w:val="24"/>
          <w:szCs w:val="24"/>
        </w:rPr>
      </w:pPr>
      <w:r>
        <w:rPr>
          <w:rFonts w:hint="eastAsia" w:asciiTheme="minorEastAsia" w:hAnsiTheme="minorEastAsia" w:eastAsiaTheme="minorEastAsia"/>
          <w:b/>
          <w:sz w:val="24"/>
          <w:szCs w:val="24"/>
        </w:rPr>
        <w:t>四、专项意见说明</w:t>
      </w:r>
    </w:p>
    <w:p>
      <w:pPr>
        <w:snapToGrid w:val="0"/>
        <w:spacing w:line="360" w:lineRule="auto"/>
        <w:ind w:left="0" w:leftChars="0" w:firstLine="422" w:firstLineChars="175"/>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（一）监事会意见</w:t>
      </w:r>
    </w:p>
    <w:p>
      <w:pPr>
        <w:pStyle w:val="4"/>
        <w:spacing w:line="360" w:lineRule="auto"/>
        <w:ind w:left="0" w:leftChars="0" w:firstLine="420" w:firstLineChars="175"/>
        <w:rPr>
          <w:highlight w:val="yellow"/>
        </w:rPr>
      </w:pPr>
      <w:r>
        <w:rPr>
          <w:highlight w:val="none"/>
        </w:rPr>
        <w:t>监事</w:t>
      </w:r>
      <w:r>
        <w:rPr>
          <w:rFonts w:hint="eastAsia"/>
          <w:highlight w:val="none"/>
          <w:lang w:eastAsia="zh-CN"/>
        </w:rPr>
        <w:t>会</w:t>
      </w:r>
      <w:r>
        <w:rPr>
          <w:highlight w:val="none"/>
        </w:rPr>
        <w:t>认为：</w:t>
      </w:r>
      <w:r>
        <w:rPr>
          <w:rFonts w:hint="eastAsia"/>
          <w:highlight w:val="none"/>
        </w:rPr>
        <w:t>在符合国家法律法规、确保公司日常运营和资金安全的前提下对暂时闲置的自有资金进行适度、适时的现金管理</w:t>
      </w:r>
      <w:r>
        <w:rPr>
          <w:rFonts w:hint="eastAsia"/>
          <w:highlight w:val="none"/>
          <w:lang w:eastAsia="zh-CN"/>
        </w:rPr>
        <w:t>，</w:t>
      </w:r>
      <w:r>
        <w:rPr>
          <w:highlight w:val="none"/>
        </w:rPr>
        <w:t>有利于提高公司闲置自有资金使用效率，通过稳健的资金增值来维护和提升公司</w:t>
      </w:r>
      <w:r>
        <w:rPr>
          <w:rFonts w:hint="eastAsia"/>
          <w:highlight w:val="none"/>
        </w:rPr>
        <w:t>效</w:t>
      </w:r>
      <w:r>
        <w:rPr>
          <w:highlight w:val="none"/>
        </w:rPr>
        <w:t>益。</w:t>
      </w:r>
      <w:r>
        <w:rPr>
          <w:rFonts w:hint="eastAsia"/>
          <w:highlight w:val="none"/>
        </w:rPr>
        <w:t>符合公司及全体股东的利益，不会影响公司日常资金正常周转需要，不会影响公司主营业务的正常发展，不存在损害公司及中小股东利益的情形。</w:t>
      </w:r>
    </w:p>
    <w:p>
      <w:pPr>
        <w:snapToGrid w:val="0"/>
        <w:spacing w:line="360" w:lineRule="auto"/>
        <w:ind w:left="0" w:leftChars="0" w:firstLine="422" w:firstLineChars="175"/>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（二）独立董事的独立意见</w:t>
      </w:r>
    </w:p>
    <w:p>
      <w:pPr>
        <w:pStyle w:val="4"/>
        <w:keepNext w:val="0"/>
        <w:keepLines w:val="0"/>
        <w:pageBreakBefore w:val="0"/>
        <w:widowControl w:val="0"/>
        <w:kinsoku/>
        <w:wordWrap/>
        <w:overflowPunct/>
        <w:topLinePunct w:val="0"/>
        <w:autoSpaceDE w:val="0"/>
        <w:autoSpaceDN w:val="0"/>
        <w:bidi w:val="0"/>
        <w:spacing w:line="360" w:lineRule="auto"/>
        <w:ind w:left="0" w:leftChars="0" w:right="0" w:rightChars="0" w:firstLine="480" w:firstLineChars="200"/>
        <w:textAlignment w:val="auto"/>
        <w:rPr>
          <w:rFonts w:hint="default" w:ascii="Times New Roman" w:hAnsi="Times New Roman" w:eastAsia="宋体" w:cs="Times New Roman"/>
          <w:sz w:val="24"/>
          <w:szCs w:val="24"/>
        </w:rPr>
      </w:pPr>
      <w:r>
        <w:rPr>
          <w:highlight w:val="none"/>
        </w:rPr>
        <w:t>独立董事</w:t>
      </w:r>
      <w:r>
        <w:rPr>
          <w:rFonts w:hint="eastAsia"/>
          <w:highlight w:val="none"/>
        </w:rPr>
        <w:t>认为:</w:t>
      </w:r>
      <w:r>
        <w:rPr>
          <w:rFonts w:hint="default" w:ascii="Times New Roman" w:hAnsi="Times New Roman" w:eastAsia="宋体" w:cs="Times New Roman"/>
          <w:sz w:val="24"/>
          <w:szCs w:val="24"/>
        </w:rPr>
        <w:t>公司在确保不影响正常经营的前提下，拟使用部分闲置自有资金进行现金管理，投资购买合法金融机构发行的风险可控、流动性好的理财产品。不直接用于其他证券投资，不购买股票及其衍生品、无担保债券。可以有效提高自有资金使用效率，符合相关法律法规的规定，符合公司及全体股东的利益，不存在损害公司及中小股东利益的情形。</w:t>
      </w:r>
    </w:p>
    <w:p>
      <w:pPr>
        <w:pStyle w:val="4"/>
        <w:keepNext w:val="0"/>
        <w:keepLines w:val="0"/>
        <w:pageBreakBefore w:val="0"/>
        <w:widowControl w:val="0"/>
        <w:kinsoku/>
        <w:wordWrap/>
        <w:overflowPunct/>
        <w:topLinePunct w:val="0"/>
        <w:autoSpaceDE w:val="0"/>
        <w:autoSpaceDN w:val="0"/>
        <w:bidi w:val="0"/>
        <w:spacing w:line="360" w:lineRule="auto"/>
        <w:ind w:right="0" w:rightChars="0" w:firstLine="420" w:firstLineChars="0"/>
        <w:textAlignment w:val="auto"/>
        <w:rPr>
          <w:rFonts w:hint="eastAsia" w:ascii="Times New Roman" w:hAnsi="Times New Roman" w:eastAsia="宋体" w:cs="Times New Roman"/>
        </w:rPr>
      </w:pPr>
      <w:r>
        <w:rPr>
          <w:rFonts w:hint="eastAsia" w:ascii="Times New Roman" w:hAnsi="Times New Roman" w:eastAsia="宋体" w:cs="Times New Roman"/>
        </w:rPr>
        <w:t>同</w:t>
      </w:r>
      <w:r>
        <w:rPr>
          <w:rFonts w:hint="default" w:ascii="Times New Roman" w:hAnsi="Times New Roman" w:eastAsia="宋体" w:cs="Times New Roman"/>
        </w:rPr>
        <w:t>意公司使用总额不超过</w:t>
      </w:r>
      <w:r>
        <w:rPr>
          <w:rFonts w:hint="default" w:ascii="Times New Roman" w:hAnsi="Times New Roman" w:eastAsia="宋体" w:cs="Times New Roman"/>
          <w:highlight w:val="none"/>
        </w:rPr>
        <w:t>人民币</w:t>
      </w:r>
      <w:r>
        <w:rPr>
          <w:rFonts w:hint="default" w:ascii="Times New Roman" w:hAnsi="Times New Roman" w:cs="Times New Roman"/>
          <w:highlight w:val="none"/>
          <w:lang w:val="en-US" w:eastAsia="zh-CN"/>
        </w:rPr>
        <w:t>6.5</w:t>
      </w:r>
      <w:r>
        <w:rPr>
          <w:rFonts w:hint="default" w:ascii="Times New Roman" w:hAnsi="Times New Roman" w:eastAsia="宋体" w:cs="Times New Roman"/>
          <w:highlight w:val="none"/>
        </w:rPr>
        <w:t>亿元</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rPr>
        <w:t>含</w:t>
      </w:r>
      <w:r>
        <w:rPr>
          <w:rFonts w:hint="default" w:ascii="Times New Roman" w:hAnsi="Times New Roman" w:cs="Times New Roman"/>
          <w:highlight w:val="none"/>
          <w:lang w:val="en-US" w:eastAsia="zh-CN"/>
        </w:rPr>
        <w:t>6.5</w:t>
      </w:r>
      <w:r>
        <w:rPr>
          <w:rFonts w:hint="default" w:ascii="Times New Roman" w:hAnsi="Times New Roman" w:eastAsia="宋体" w:cs="Times New Roman"/>
          <w:highlight w:val="none"/>
        </w:rPr>
        <w:t>亿元</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rPr>
        <w:t>的闲置自有</w:t>
      </w:r>
      <w:r>
        <w:rPr>
          <w:rFonts w:hint="default" w:ascii="Times New Roman" w:hAnsi="Times New Roman" w:eastAsia="宋体" w:cs="Times New Roman"/>
        </w:rPr>
        <w:t>资金</w:t>
      </w:r>
      <w:r>
        <w:rPr>
          <w:rFonts w:hint="default" w:ascii="Times New Roman" w:hAnsi="Times New Roman" w:eastAsia="宋体" w:cs="Times New Roman"/>
          <w:lang w:eastAsia="zh-CN"/>
        </w:rPr>
        <w:t>进行现金管理</w:t>
      </w:r>
      <w:r>
        <w:rPr>
          <w:rFonts w:hint="default" w:ascii="Times New Roman" w:hAnsi="Times New Roman" w:eastAsia="宋体" w:cs="Times New Roman"/>
        </w:rPr>
        <w:t>，在</w:t>
      </w:r>
      <w:r>
        <w:rPr>
          <w:rFonts w:hint="default" w:ascii="Times New Roman" w:hAnsi="Times New Roman" w:cs="Times New Roman"/>
          <w:lang w:val="en-US" w:eastAsia="zh-CN"/>
        </w:rPr>
        <w:t>12个月</w:t>
      </w:r>
      <w:r>
        <w:rPr>
          <w:rFonts w:hint="default" w:ascii="Times New Roman" w:hAnsi="Times New Roman" w:eastAsia="宋体" w:cs="Times New Roman"/>
        </w:rPr>
        <w:t>内（含</w:t>
      </w:r>
      <w:r>
        <w:rPr>
          <w:rFonts w:hint="default" w:ascii="Times New Roman" w:hAnsi="Times New Roman" w:cs="Times New Roman"/>
          <w:lang w:val="en-US" w:eastAsia="zh-CN"/>
        </w:rPr>
        <w:t>12个月</w:t>
      </w:r>
      <w:r>
        <w:rPr>
          <w:rFonts w:hint="default" w:ascii="Times New Roman" w:hAnsi="Times New Roman" w:eastAsia="宋体" w:cs="Times New Roman"/>
        </w:rPr>
        <w:t>）该资金额度可滚动使用</w:t>
      </w:r>
      <w:r>
        <w:rPr>
          <w:rFonts w:hint="eastAsia" w:ascii="Times New Roman" w:hAnsi="Times New Roman" w:eastAsia="宋体" w:cs="Times New Roman"/>
        </w:rPr>
        <w:t>。</w:t>
      </w:r>
    </w:p>
    <w:p>
      <w:pPr>
        <w:pStyle w:val="4"/>
        <w:spacing w:line="360" w:lineRule="auto"/>
        <w:ind w:left="0" w:leftChars="0" w:firstLine="422" w:firstLineChars="175"/>
        <w:rPr>
          <w:rFonts w:hint="eastAsia"/>
          <w:b/>
        </w:rPr>
      </w:pPr>
      <w:r>
        <w:rPr>
          <w:rFonts w:hint="eastAsia"/>
          <w:b/>
        </w:rPr>
        <w:t>五、信息披露</w:t>
      </w:r>
    </w:p>
    <w:p>
      <w:pPr>
        <w:pStyle w:val="4"/>
        <w:spacing w:line="360" w:lineRule="auto"/>
        <w:ind w:left="0" w:leftChars="0" w:firstLine="420" w:firstLineChars="175"/>
        <w:rPr>
          <w:rFonts w:hint="eastAsia"/>
        </w:rPr>
      </w:pPr>
      <w:r>
        <w:rPr>
          <w:rFonts w:hint="eastAsia"/>
        </w:rPr>
        <w:t>公司将按照《上海证券交易所股票上市规则》等相关法律法规的规定要求及时披露公司使用部分闲置自有资金购买银行理财产品的具体情况。</w:t>
      </w:r>
    </w:p>
    <w:p>
      <w:pPr>
        <w:pStyle w:val="4"/>
        <w:numPr>
          <w:ilvl w:val="0"/>
          <w:numId w:val="0"/>
        </w:numPr>
        <w:spacing w:line="360" w:lineRule="auto"/>
        <w:ind w:leftChars="0" w:firstLine="420" w:firstLineChars="0"/>
        <w:rPr>
          <w:rFonts w:hint="eastAsia" w:asciiTheme="minorEastAsia" w:hAnsiTheme="minorEastAsia" w:eastAsiaTheme="minorEastAsia"/>
          <w:lang w:val="en-US" w:eastAsia="zh-CN"/>
        </w:rPr>
      </w:pPr>
      <w:r>
        <w:rPr>
          <w:rFonts w:hint="eastAsia"/>
        </w:rPr>
        <w:t>上述事项已经公司第</w:t>
      </w:r>
      <w:r>
        <w:rPr>
          <w:rFonts w:hint="eastAsia"/>
          <w:lang w:val="en-US" w:eastAsia="zh-CN"/>
        </w:rPr>
        <w:t>七</w:t>
      </w:r>
      <w:r>
        <w:rPr>
          <w:rFonts w:hint="eastAsia"/>
        </w:rPr>
        <w:t>届董事会第</w:t>
      </w:r>
      <w:r>
        <w:rPr>
          <w:rFonts w:hint="eastAsia"/>
          <w:lang w:val="en-US" w:eastAsia="zh-CN"/>
        </w:rPr>
        <w:t>二十三</w:t>
      </w:r>
      <w:r>
        <w:rPr>
          <w:rFonts w:hint="eastAsia"/>
        </w:rPr>
        <w:t>次会议、第</w:t>
      </w:r>
      <w:r>
        <w:rPr>
          <w:rFonts w:hint="eastAsia"/>
          <w:lang w:val="en-US" w:eastAsia="zh-CN"/>
        </w:rPr>
        <w:t>七</w:t>
      </w:r>
      <w:r>
        <w:rPr>
          <w:rFonts w:hint="eastAsia"/>
        </w:rPr>
        <w:t>届监事会第</w:t>
      </w:r>
      <w:r>
        <w:rPr>
          <w:rFonts w:hint="eastAsia"/>
          <w:lang w:val="en-US" w:eastAsia="zh-CN"/>
        </w:rPr>
        <w:t>二十</w:t>
      </w:r>
      <w:r>
        <w:rPr>
          <w:rFonts w:hint="eastAsia"/>
        </w:rPr>
        <w:t>次会议审议通过</w:t>
      </w:r>
      <w:r>
        <w:rPr>
          <w:rFonts w:hint="eastAsia"/>
          <w:lang w:eastAsia="zh-CN"/>
        </w:rPr>
        <w:t>。</w:t>
      </w:r>
      <w:r>
        <w:rPr>
          <w:rFonts w:hint="eastAsia" w:asciiTheme="minorEastAsia" w:hAnsiTheme="minorEastAsia" w:eastAsiaTheme="minorEastAsia"/>
          <w:lang w:val="en-US" w:eastAsia="zh-CN"/>
        </w:rPr>
        <w:t>公司同时提请公司董事会授权公司董事长在上述额度范围和时效内行使该项投资权并签署相关合同文件，并由公司管理层组织相关部门实施。</w:t>
      </w:r>
    </w:p>
    <w:p>
      <w:pPr>
        <w:pStyle w:val="4"/>
        <w:numPr>
          <w:ilvl w:val="0"/>
          <w:numId w:val="0"/>
        </w:numPr>
        <w:spacing w:line="360" w:lineRule="auto"/>
        <w:ind w:leftChars="0"/>
        <w:rPr>
          <w:rFonts w:hint="eastAsia" w:asciiTheme="minorEastAsia" w:hAnsiTheme="minorEastAsia" w:eastAsiaTheme="minorEastAsia"/>
          <w:lang w:val="en-US" w:eastAsia="zh-CN"/>
        </w:rPr>
      </w:pPr>
    </w:p>
    <w:p>
      <w:pPr>
        <w:pStyle w:val="4"/>
        <w:spacing w:line="360" w:lineRule="auto"/>
        <w:ind w:left="0" w:leftChars="0" w:firstLine="420" w:firstLineChars="175"/>
      </w:pPr>
      <w:r>
        <w:rPr>
          <w:rFonts w:hint="eastAsia"/>
        </w:rPr>
        <w:t>特此公告。</w:t>
      </w:r>
    </w:p>
    <w:p>
      <w:pPr>
        <w:snapToGrid w:val="0"/>
        <w:spacing w:line="360" w:lineRule="auto"/>
        <w:ind w:left="0" w:leftChars="0" w:firstLine="420" w:firstLineChars="175"/>
        <w:jc w:val="righ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格尔软件股份有限公司</w:t>
      </w:r>
      <w:r>
        <w:rPr>
          <w:rFonts w:hint="eastAsia" w:asciiTheme="minorEastAsia" w:hAnsiTheme="minorEastAsia" w:eastAsiaTheme="minorEastAsia"/>
          <w:sz w:val="24"/>
          <w:szCs w:val="24"/>
          <w:lang w:eastAsia="zh-CN"/>
        </w:rPr>
        <w:t>董事会</w:t>
      </w:r>
    </w:p>
    <w:p>
      <w:pPr>
        <w:snapToGrid w:val="0"/>
        <w:spacing w:line="360" w:lineRule="auto"/>
        <w:ind w:left="0" w:leftChars="0" w:firstLine="420" w:firstLineChars="175"/>
        <w:jc w:val="righ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20</w:t>
      </w:r>
      <w:r>
        <w:rPr>
          <w:rFonts w:hint="default" w:ascii="Times New Roman" w:hAnsi="Times New Roman" w:cs="Times New Roman" w:eastAsiaTheme="minorEastAsia"/>
          <w:sz w:val="24"/>
          <w:szCs w:val="24"/>
          <w:lang w:val="en-US" w:eastAsia="zh-CN"/>
        </w:rPr>
        <w:t>2</w:t>
      </w:r>
      <w:r>
        <w:rPr>
          <w:rFonts w:hint="eastAsia" w:cs="Times New Roman" w:eastAsiaTheme="minorEastAsia"/>
          <w:sz w:val="24"/>
          <w:szCs w:val="24"/>
          <w:lang w:val="en-US" w:eastAsia="zh-CN"/>
        </w:rPr>
        <w:t>2</w:t>
      </w:r>
      <w:r>
        <w:rPr>
          <w:rFonts w:hint="default" w:ascii="Times New Roman" w:hAnsi="Times New Roman" w:cs="Times New Roman" w:eastAsiaTheme="minorEastAsia"/>
          <w:sz w:val="24"/>
          <w:szCs w:val="24"/>
        </w:rPr>
        <w:t>年</w:t>
      </w:r>
      <w:r>
        <w:rPr>
          <w:rFonts w:hint="default" w:ascii="Times New Roman" w:hAnsi="Times New Roman" w:cs="Times New Roman" w:eastAsiaTheme="minorEastAsia"/>
          <w:sz w:val="24"/>
          <w:szCs w:val="24"/>
          <w:lang w:val="en-US" w:eastAsia="zh-CN"/>
        </w:rPr>
        <w:t>4</w:t>
      </w:r>
      <w:r>
        <w:rPr>
          <w:rFonts w:hint="default" w:ascii="Times New Roman" w:hAnsi="Times New Roman" w:cs="Times New Roman" w:eastAsiaTheme="minorEastAsia"/>
          <w:sz w:val="24"/>
          <w:szCs w:val="24"/>
        </w:rPr>
        <w:t>月</w:t>
      </w:r>
      <w:r>
        <w:rPr>
          <w:rFonts w:hint="eastAsia" w:cs="Times New Roman" w:eastAsiaTheme="minorEastAsia"/>
          <w:sz w:val="24"/>
          <w:szCs w:val="24"/>
          <w:highlight w:val="none"/>
          <w:lang w:val="en-US" w:eastAsia="zh-CN"/>
        </w:rPr>
        <w:t>26</w:t>
      </w:r>
      <w:r>
        <w:rPr>
          <w:rFonts w:hint="default" w:ascii="Times New Roman" w:hAnsi="Times New Roman" w:cs="Times New Roman" w:eastAsiaTheme="minorEastAsia"/>
          <w:sz w:val="24"/>
          <w:szCs w:val="24"/>
        </w:rPr>
        <w:t>日</w:t>
      </w:r>
    </w:p>
    <w:p>
      <w:pPr>
        <w:pStyle w:val="4"/>
        <w:spacing w:line="360" w:lineRule="auto"/>
        <w:ind w:left="0" w:leftChars="0" w:firstLine="420" w:firstLineChars="175"/>
      </w:pPr>
    </w:p>
    <w:p>
      <w:pPr>
        <w:pStyle w:val="4"/>
        <w:spacing w:line="360" w:lineRule="auto"/>
        <w:ind w:left="0" w:leftChars="0" w:firstLine="422" w:firstLineChars="175"/>
        <w:rPr>
          <w:b/>
        </w:rPr>
      </w:pPr>
      <w:r>
        <w:rPr>
          <w:rFonts w:hint="eastAsia"/>
          <w:b/>
        </w:rPr>
        <w:t>报备文件</w:t>
      </w:r>
    </w:p>
    <w:p>
      <w:pPr>
        <w:snapToGrid w:val="0"/>
        <w:spacing w:line="360" w:lineRule="auto"/>
        <w:ind w:left="0" w:leftChars="0" w:firstLine="420" w:firstLineChars="175"/>
        <w:rPr>
          <w:rFonts w:hint="eastAsia"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rPr>
        <w:t>1、公司第</w:t>
      </w:r>
      <w:r>
        <w:rPr>
          <w:rFonts w:hint="default" w:ascii="Times New Roman" w:hAnsi="Times New Roman" w:cs="Times New Roman" w:eastAsiaTheme="minorEastAsia"/>
          <w:sz w:val="24"/>
          <w:szCs w:val="24"/>
          <w:lang w:val="en-US" w:eastAsia="zh-CN"/>
        </w:rPr>
        <w:t>七</w:t>
      </w:r>
      <w:r>
        <w:rPr>
          <w:rFonts w:hint="default" w:ascii="Times New Roman" w:hAnsi="Times New Roman" w:cs="Times New Roman" w:eastAsiaTheme="minorEastAsia"/>
          <w:sz w:val="24"/>
          <w:szCs w:val="24"/>
        </w:rPr>
        <w:t>届董事会第</w:t>
      </w:r>
      <w:r>
        <w:rPr>
          <w:rFonts w:hint="eastAsia" w:cs="Times New Roman" w:eastAsiaTheme="minorEastAsia"/>
          <w:sz w:val="24"/>
          <w:szCs w:val="24"/>
          <w:lang w:val="en-US" w:eastAsia="zh-CN"/>
        </w:rPr>
        <w:t>二十三</w:t>
      </w:r>
      <w:r>
        <w:rPr>
          <w:rFonts w:hint="default" w:ascii="Times New Roman" w:hAnsi="Times New Roman" w:cs="Times New Roman" w:eastAsiaTheme="minorEastAsia"/>
          <w:sz w:val="24"/>
          <w:szCs w:val="24"/>
        </w:rPr>
        <w:t>次会议决议</w:t>
      </w:r>
      <w:r>
        <w:rPr>
          <w:rFonts w:hint="eastAsia" w:cs="Times New Roman" w:eastAsiaTheme="minorEastAsia"/>
          <w:sz w:val="24"/>
          <w:szCs w:val="24"/>
          <w:lang w:eastAsia="zh-CN"/>
        </w:rPr>
        <w:t>；</w:t>
      </w:r>
    </w:p>
    <w:p>
      <w:pPr>
        <w:snapToGrid w:val="0"/>
        <w:spacing w:line="360" w:lineRule="auto"/>
        <w:ind w:left="0" w:leftChars="0" w:firstLine="420" w:firstLineChars="175"/>
        <w:rPr>
          <w:rFonts w:hint="eastAsia"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rPr>
        <w:t>2、公司第</w:t>
      </w:r>
      <w:r>
        <w:rPr>
          <w:rFonts w:hint="default" w:ascii="Times New Roman" w:hAnsi="Times New Roman" w:cs="Times New Roman" w:eastAsiaTheme="minorEastAsia"/>
          <w:sz w:val="24"/>
          <w:szCs w:val="24"/>
          <w:lang w:val="en-US" w:eastAsia="zh-CN"/>
        </w:rPr>
        <w:t>七</w:t>
      </w:r>
      <w:r>
        <w:rPr>
          <w:rFonts w:hint="default" w:ascii="Times New Roman" w:hAnsi="Times New Roman" w:cs="Times New Roman" w:eastAsiaTheme="minorEastAsia"/>
          <w:sz w:val="24"/>
          <w:szCs w:val="24"/>
        </w:rPr>
        <w:t>届监事会第</w:t>
      </w:r>
      <w:r>
        <w:rPr>
          <w:rFonts w:hint="default" w:ascii="Times New Roman" w:hAnsi="Times New Roman" w:cs="Times New Roman" w:eastAsiaTheme="minorEastAsia"/>
          <w:sz w:val="24"/>
          <w:szCs w:val="24"/>
          <w:lang w:val="en-US" w:eastAsia="zh-CN"/>
        </w:rPr>
        <w:t>二十</w:t>
      </w:r>
      <w:r>
        <w:rPr>
          <w:rFonts w:hint="default" w:ascii="Times New Roman" w:hAnsi="Times New Roman" w:cs="Times New Roman" w:eastAsiaTheme="minorEastAsia"/>
          <w:sz w:val="24"/>
          <w:szCs w:val="24"/>
        </w:rPr>
        <w:t>次会议决议</w:t>
      </w:r>
      <w:r>
        <w:rPr>
          <w:rFonts w:hint="eastAsia" w:cs="Times New Roman" w:eastAsiaTheme="minorEastAsia"/>
          <w:sz w:val="24"/>
          <w:szCs w:val="24"/>
          <w:lang w:eastAsia="zh-CN"/>
        </w:rPr>
        <w:t>；</w:t>
      </w:r>
    </w:p>
    <w:p>
      <w:pPr>
        <w:snapToGrid w:val="0"/>
        <w:spacing w:line="360" w:lineRule="auto"/>
        <w:ind w:left="0" w:leftChars="0" w:firstLine="420" w:firstLineChars="175"/>
        <w:rPr>
          <w:rFonts w:hint="eastAsia" w:ascii="Times New Roman" w:hAnsi="Times New Roman" w:cs="Times New Roman" w:eastAsiaTheme="minorEastAsia"/>
          <w:b w:val="0"/>
          <w:bCs/>
          <w:sz w:val="24"/>
          <w:szCs w:val="24"/>
          <w:lang w:eastAsia="zh-CN"/>
        </w:rPr>
      </w:pPr>
      <w:r>
        <w:rPr>
          <w:rFonts w:hint="default" w:ascii="Times New Roman" w:hAnsi="Times New Roman" w:cs="Times New Roman" w:eastAsiaTheme="minorEastAsia"/>
          <w:sz w:val="24"/>
          <w:szCs w:val="24"/>
        </w:rPr>
        <w:t>3、公司独立董事关于公司第</w:t>
      </w:r>
      <w:r>
        <w:rPr>
          <w:rFonts w:hint="default" w:ascii="Times New Roman" w:hAnsi="Times New Roman" w:cs="Times New Roman" w:eastAsiaTheme="minorEastAsia"/>
          <w:sz w:val="24"/>
          <w:szCs w:val="24"/>
          <w:lang w:val="en-US" w:eastAsia="zh-CN"/>
        </w:rPr>
        <w:t>七</w:t>
      </w:r>
      <w:r>
        <w:rPr>
          <w:rFonts w:hint="default" w:ascii="Times New Roman" w:hAnsi="Times New Roman" w:cs="Times New Roman" w:eastAsiaTheme="minorEastAsia"/>
          <w:sz w:val="24"/>
          <w:szCs w:val="24"/>
        </w:rPr>
        <w:t>届董事会第</w:t>
      </w:r>
      <w:r>
        <w:rPr>
          <w:rFonts w:hint="eastAsia" w:cs="Times New Roman" w:eastAsiaTheme="minorEastAsia"/>
          <w:sz w:val="24"/>
          <w:szCs w:val="24"/>
          <w:lang w:val="en-US" w:eastAsia="zh-CN"/>
        </w:rPr>
        <w:t>二十三</w:t>
      </w:r>
      <w:r>
        <w:rPr>
          <w:rFonts w:hint="default" w:ascii="Times New Roman" w:hAnsi="Times New Roman" w:cs="Times New Roman" w:eastAsiaTheme="minorEastAsia"/>
          <w:sz w:val="24"/>
          <w:szCs w:val="24"/>
        </w:rPr>
        <w:t>次会议相关</w:t>
      </w:r>
      <w:r>
        <w:rPr>
          <w:rFonts w:hint="default" w:ascii="Times New Roman" w:hAnsi="Times New Roman" w:cs="Times New Roman" w:eastAsiaTheme="minorEastAsia"/>
          <w:sz w:val="24"/>
          <w:szCs w:val="24"/>
          <w:lang w:eastAsia="zh-CN"/>
        </w:rPr>
        <w:t>事项</w:t>
      </w:r>
      <w:r>
        <w:rPr>
          <w:rFonts w:hint="default" w:ascii="Times New Roman" w:hAnsi="Times New Roman" w:cs="Times New Roman" w:eastAsiaTheme="minorEastAsia"/>
          <w:sz w:val="24"/>
          <w:szCs w:val="24"/>
        </w:rPr>
        <w:t>的独立意见</w:t>
      </w:r>
      <w:r>
        <w:rPr>
          <w:rFonts w:hint="eastAsia" w:cs="Times New Roman" w:eastAsiaTheme="minorEastAsia"/>
          <w:sz w:val="24"/>
          <w:szCs w:val="24"/>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722BCA"/>
    <w:multiLevelType w:val="multilevel"/>
    <w:tmpl w:val="68722BC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6628B0"/>
    <w:rsid w:val="16831163"/>
    <w:rsid w:val="252E24CD"/>
    <w:rsid w:val="429D62B7"/>
    <w:rsid w:val="43146C09"/>
    <w:rsid w:val="48092F63"/>
    <w:rsid w:val="66504CC7"/>
    <w:rsid w:val="7D662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3">
    <w:name w:val="Default Paragraph Font"/>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2082</Words>
  <Characters>2124</Characters>
  <Lines>0</Lines>
  <Paragraphs>0</Paragraphs>
  <TotalTime>0</TotalTime>
  <ScaleCrop>false</ScaleCrop>
  <LinksUpToDate>false</LinksUpToDate>
  <CharactersWithSpaces>2151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2022-04-09T03:46:00Z</dcterms:created>
  <dc:creator>pc</dc:creator>
  <cp:lastModifiedBy>邹岩</cp:lastModifiedBy>
  <dcterms:modified xsi:type="dcterms:W3CDTF">2022-04-23T06:44:53Z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2EE43C16007744589F2FF96A251EEBC7</vt:lpwstr>
  </property>
  <property fmtid="{D5CDD505-2E9C-101B-9397-08002B2CF9AE}" pid="4" name="commondata">
    <vt:lpwstr>eyJoZGlkIjoiZWUyYWQ5MTRiODJkMzMyNTEyOWUyNjA4ZWY1NmI1OTUifQ==</vt:lpwstr>
  </property>
</Properties>
</file>