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cs="Times New Roman" w:eastAsiaTheme="minorEastAsia"/>
          <w:sz w:val="21"/>
          <w:szCs w:val="20"/>
        </w:rPr>
      </w:pPr>
      <w:r>
        <w:rPr>
          <w:rFonts w:cs="Times New Roman" w:eastAsiaTheme="minorEastAsia"/>
          <w:sz w:val="21"/>
          <w:szCs w:val="20"/>
        </w:rPr>
        <w:t>证券代码：603232            证券简称：格尔软件            公告编号：</w:t>
      </w:r>
      <w:r>
        <w:rPr>
          <w:rFonts w:hint="eastAsia" w:cs="Times New Roman" w:eastAsiaTheme="minorEastAsia"/>
          <w:sz w:val="21"/>
          <w:szCs w:val="20"/>
        </w:rPr>
        <w:t>2</w:t>
      </w:r>
      <w:r>
        <w:rPr>
          <w:rFonts w:cs="Times New Roman" w:eastAsiaTheme="minorEastAsia"/>
          <w:sz w:val="21"/>
          <w:szCs w:val="20"/>
        </w:rPr>
        <w:t>021</w:t>
      </w:r>
      <w:r>
        <w:rPr>
          <w:rFonts w:hint="eastAsia" w:cs="Times New Roman" w:eastAsiaTheme="minorEastAsia"/>
          <w:sz w:val="21"/>
          <w:szCs w:val="20"/>
        </w:rPr>
        <w:t>-</w:t>
      </w:r>
      <w:r>
        <w:rPr>
          <w:rFonts w:cs="Times New Roman" w:eastAsiaTheme="minorEastAsia"/>
          <w:sz w:val="21"/>
          <w:szCs w:val="20"/>
        </w:rPr>
        <w:t>036</w:t>
      </w:r>
    </w:p>
    <w:p>
      <w:pPr>
        <w:adjustRightInd w:val="0"/>
        <w:snapToGrid w:val="0"/>
        <w:ind w:firstLine="420" w:firstLineChars="200"/>
        <w:rPr>
          <w:rFonts w:ascii="宋体" w:hAnsi="宋体" w:cs="Times New Roman"/>
          <w:color w:val="000000"/>
          <w:sz w:val="21"/>
          <w:szCs w:val="20"/>
        </w:rPr>
      </w:pPr>
    </w:p>
    <w:p>
      <w:pPr>
        <w:snapToGrid w:val="0"/>
        <w:jc w:val="center"/>
        <w:rPr>
          <w:rFonts w:ascii="黑体" w:hAnsi="黑体" w:eastAsia="黑体"/>
          <w:color w:val="FF0000"/>
          <w:sz w:val="36"/>
          <w:szCs w:val="36"/>
        </w:rPr>
      </w:pPr>
      <w:r>
        <w:rPr>
          <w:rFonts w:hint="eastAsia" w:ascii="黑体" w:hAnsi="黑体" w:eastAsia="黑体"/>
          <w:color w:val="FF0000"/>
          <w:sz w:val="36"/>
          <w:szCs w:val="36"/>
        </w:rPr>
        <w:t>格尔软件股份有限公司</w:t>
      </w:r>
    </w:p>
    <w:p>
      <w:pPr>
        <w:snapToGrid w:val="0"/>
        <w:jc w:val="center"/>
        <w:rPr>
          <w:rFonts w:ascii="黑体" w:hAnsi="黑体" w:eastAsia="黑体"/>
          <w:color w:val="FF0000"/>
          <w:sz w:val="36"/>
          <w:szCs w:val="36"/>
        </w:rPr>
      </w:pPr>
      <w:r>
        <w:rPr>
          <w:rFonts w:eastAsia="黑体" w:cs="Times New Roman"/>
          <w:color w:val="FF0000"/>
          <w:sz w:val="36"/>
          <w:szCs w:val="36"/>
        </w:rPr>
        <w:t>2021</w:t>
      </w:r>
      <w:r>
        <w:rPr>
          <w:rFonts w:hint="eastAsia" w:eastAsia="黑体" w:cs="Times New Roman"/>
          <w:color w:val="FF0000"/>
          <w:sz w:val="36"/>
          <w:szCs w:val="36"/>
        </w:rPr>
        <w:t>年</w:t>
      </w:r>
      <w:r>
        <w:rPr>
          <w:rFonts w:hint="eastAsia" w:ascii="黑体" w:hAnsi="黑体" w:eastAsia="黑体"/>
          <w:color w:val="FF0000"/>
          <w:sz w:val="36"/>
          <w:szCs w:val="36"/>
        </w:rPr>
        <w:t>股票期权激励计划草案摘要公告</w:t>
      </w:r>
    </w:p>
    <w:p>
      <w:pPr>
        <w:snapToGrid w:val="0"/>
        <w:spacing w:line="400" w:lineRule="exact"/>
        <w:ind w:firstLine="420" w:firstLineChars="200"/>
        <w:rPr>
          <w:rFonts w:ascii="楷体" w:hAnsi="楷体" w:eastAsia="楷体" w:cs="Times New Roman"/>
          <w:color w:val="000000"/>
          <w:sz w:val="21"/>
          <w:szCs w:val="2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8296" w:type="dxa"/>
            <w:vAlign w:val="center"/>
          </w:tcPr>
          <w:p>
            <w:pPr>
              <w:spacing w:line="360" w:lineRule="auto"/>
              <w:rPr>
                <w:rFonts w:cs="Times New Roman"/>
              </w:rPr>
            </w:pPr>
            <w:r>
              <w:rPr>
                <w:rFonts w:hint="eastAsia" w:cs="Times New Roman"/>
              </w:rPr>
              <w:t>本公司董事会及全体董事保证本公告内容不存在任何虚假记载、误导性陈述或者重大遗漏，并对其内容的真实性、准确性和完整性承担个别及连带责任</w:t>
            </w:r>
            <w:r>
              <w:rPr>
                <w:rFonts w:cs="Times New Roman"/>
              </w:rPr>
              <w:t>。</w:t>
            </w:r>
          </w:p>
        </w:tc>
      </w:tr>
    </w:tbl>
    <w:p>
      <w:pPr>
        <w:adjustRightInd w:val="0"/>
        <w:snapToGrid w:val="0"/>
        <w:ind w:left="420" w:hanging="420" w:hangingChars="200"/>
        <w:rPr>
          <w:rFonts w:ascii="宋体" w:hAnsi="宋体" w:cs="Times New Roman"/>
          <w:color w:val="000000"/>
          <w:sz w:val="21"/>
          <w:szCs w:val="20"/>
        </w:rPr>
      </w:pPr>
    </w:p>
    <w:p>
      <w:pPr>
        <w:spacing w:before="156" w:beforeLines="50" w:after="156" w:afterLines="50" w:line="360" w:lineRule="auto"/>
        <w:ind w:firstLine="486" w:firstLineChars="200"/>
        <w:rPr>
          <w:rFonts w:ascii="宋体" w:hAnsi="宋体" w:cs="Times New Roman"/>
          <w:b/>
        </w:rPr>
      </w:pPr>
      <w:r>
        <w:rPr>
          <w:rFonts w:hint="eastAsia" w:ascii="宋体" w:hAnsi="宋体" w:cs="Times New Roman"/>
          <w:b/>
          <w:color w:val="000000"/>
          <w:spacing w:val="1"/>
        </w:rPr>
        <w:t>重要内容提示：</w:t>
      </w:r>
    </w:p>
    <w:p>
      <w:pPr>
        <w:pStyle w:val="16"/>
        <w:numPr>
          <w:ilvl w:val="0"/>
          <w:numId w:val="1"/>
        </w:numPr>
        <w:spacing w:before="156" w:beforeLines="50" w:after="156" w:afterLines="50" w:line="360" w:lineRule="auto"/>
        <w:ind w:left="902"/>
        <w:jc w:val="left"/>
        <w:rPr>
          <w:rFonts w:ascii="宋体" w:hAnsi="宋体" w:eastAsia="宋体" w:cs="Times New Roman"/>
          <w:color w:val="000000"/>
          <w:sz w:val="24"/>
          <w:lang w:eastAsia="zh-CN"/>
        </w:rPr>
      </w:pPr>
      <w:r>
        <w:rPr>
          <w:rFonts w:ascii="宋体" w:hAnsi="宋体" w:eastAsia="宋体" w:cs="Times New Roman"/>
          <w:color w:val="000000"/>
          <w:sz w:val="24"/>
          <w:lang w:eastAsia="zh-CN"/>
        </w:rPr>
        <w:t>股权激励方式：股票期权</w:t>
      </w:r>
    </w:p>
    <w:p>
      <w:pPr>
        <w:pStyle w:val="23"/>
        <w:numPr>
          <w:ilvl w:val="0"/>
          <w:numId w:val="1"/>
        </w:numPr>
        <w:spacing w:before="156" w:beforeLines="50" w:after="156" w:afterLines="50" w:line="360" w:lineRule="auto"/>
        <w:ind w:left="902" w:firstLineChars="0"/>
        <w:rPr>
          <w:rFonts w:cs="Times New Roman"/>
          <w:color w:val="000000"/>
          <w:kern w:val="0"/>
        </w:rPr>
      </w:pPr>
      <w:r>
        <w:rPr>
          <w:rFonts w:ascii="宋体" w:hAnsi="宋体" w:cs="Times New Roman"/>
          <w:color w:val="000000"/>
        </w:rPr>
        <w:t>股份来源：</w:t>
      </w:r>
      <w:r>
        <w:rPr>
          <w:rFonts w:ascii="宋体" w:hAnsi="宋体" w:cs="Times New Roman"/>
          <w:color w:val="000000"/>
          <w:kern w:val="0"/>
        </w:rPr>
        <w:t>公司向激励对象定向发行的本公司人民币</w:t>
      </w:r>
      <w:r>
        <w:rPr>
          <w:rFonts w:cs="Times New Roman"/>
          <w:color w:val="000000"/>
          <w:kern w:val="0"/>
        </w:rPr>
        <w:t>A</w:t>
      </w:r>
      <w:r>
        <w:rPr>
          <w:rFonts w:hint="eastAsia" w:cs="Times New Roman"/>
          <w:color w:val="000000"/>
          <w:kern w:val="0"/>
        </w:rPr>
        <w:t>股普通股</w:t>
      </w:r>
      <w:r>
        <w:rPr>
          <w:rFonts w:cs="Times New Roman"/>
          <w:color w:val="000000"/>
          <w:kern w:val="0"/>
        </w:rPr>
        <w:t>股票</w:t>
      </w:r>
    </w:p>
    <w:p>
      <w:pPr>
        <w:pStyle w:val="23"/>
        <w:numPr>
          <w:ilvl w:val="0"/>
          <w:numId w:val="1"/>
        </w:numPr>
        <w:spacing w:before="156" w:beforeLines="50" w:after="156" w:afterLines="50" w:line="360" w:lineRule="auto"/>
        <w:ind w:left="902" w:firstLineChars="0"/>
        <w:rPr>
          <w:rFonts w:ascii="宋体" w:hAnsi="宋体" w:cs="Times New Roman"/>
          <w:color w:val="000000"/>
          <w:sz w:val="21"/>
          <w:szCs w:val="20"/>
        </w:rPr>
      </w:pPr>
      <w:r>
        <w:rPr>
          <w:rFonts w:cs="Times New Roman"/>
          <w:color w:val="000000"/>
        </w:rPr>
        <w:t>股权激励的权益总数及涉及的标的股票总数：</w:t>
      </w:r>
      <w:r>
        <w:rPr>
          <w:rFonts w:cs="Times New Roman"/>
        </w:rPr>
        <w:t>本激励计划拟授予激励对象的股票期权数量为700.00万份，约占本激励计划草案公告日公司股本总额23,172.2033万股的3.02%。</w:t>
      </w:r>
      <w:r>
        <w:rPr>
          <w:rFonts w:hint="eastAsia" w:cs="Times New Roman"/>
        </w:rPr>
        <w:t>本次授予为一次性</w:t>
      </w:r>
      <w:r>
        <w:rPr>
          <w:rFonts w:hint="eastAsia" w:ascii="宋体" w:hAnsi="宋体" w:cs="Times New Roman"/>
        </w:rPr>
        <w:t>授予，无预留权益。</w:t>
      </w: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一、公司基本情况</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（一）公司简介</w:t>
      </w:r>
    </w:p>
    <w:p>
      <w:pPr>
        <w:pStyle w:val="16"/>
        <w:spacing w:before="0" w:after="0"/>
        <w:ind w:firstLine="480" w:firstLineChars="200"/>
        <w:rPr>
          <w:rFonts w:ascii="Times New Roman" w:hAnsi="Times New Roman" w:eastAsia="宋体" w:cs="Times New Roman"/>
          <w:color w:val="000000"/>
          <w:sz w:val="24"/>
          <w:lang w:eastAsia="zh-CN"/>
        </w:rPr>
      </w:pPr>
      <w:r>
        <w:rPr>
          <w:rFonts w:hint="eastAsia" w:ascii="Times New Roman" w:hAnsi="Times New Roman" w:eastAsia="宋体" w:cs="Times New Roman"/>
          <w:color w:val="000000"/>
          <w:sz w:val="24"/>
          <w:lang w:eastAsia="zh-CN"/>
        </w:rPr>
        <w:t>公司名称：</w:t>
      </w:r>
      <w:r>
        <w:rPr>
          <w:rFonts w:hint="eastAsia" w:ascii="Times New Roman" w:hAnsi="Times New Roman" w:cs="Times New Roman"/>
          <w:sz w:val="24"/>
          <w:szCs w:val="24"/>
          <w:lang w:eastAsia="zh-CN"/>
        </w:rPr>
        <w:t>格尔软件股份有限公司</w:t>
      </w:r>
      <w:r>
        <w:rPr>
          <w:rFonts w:hint="eastAsia" w:cs="Times New Roman" w:asciiTheme="minorEastAsia" w:hAnsiTheme="minorEastAsia"/>
          <w:color w:val="000000"/>
          <w:sz w:val="24"/>
          <w:lang w:eastAsia="zh-CN"/>
        </w:rPr>
        <w:t>（以下简称</w:t>
      </w:r>
      <w:r>
        <w:rPr>
          <w:rFonts w:cs="Times New Roman" w:asciiTheme="minorEastAsia" w:hAnsiTheme="minorEastAsia"/>
          <w:color w:val="000000"/>
          <w:sz w:val="24"/>
          <w:lang w:eastAsia="zh-CN"/>
        </w:rPr>
        <w:t>“</w:t>
      </w:r>
      <w:r>
        <w:rPr>
          <w:rFonts w:hint="eastAsia" w:cs="Times New Roman" w:asciiTheme="minorEastAsia" w:hAnsiTheme="minorEastAsia"/>
          <w:color w:val="000000"/>
          <w:sz w:val="24"/>
          <w:lang w:eastAsia="zh-CN"/>
        </w:rPr>
        <w:t>格尔软件</w:t>
      </w:r>
      <w:r>
        <w:rPr>
          <w:rFonts w:cs="Times New Roman" w:asciiTheme="minorEastAsia" w:hAnsiTheme="minorEastAsia"/>
          <w:color w:val="000000"/>
          <w:sz w:val="24"/>
          <w:lang w:eastAsia="zh-CN"/>
        </w:rPr>
        <w:t>”</w:t>
      </w:r>
      <w:r>
        <w:rPr>
          <w:rFonts w:hint="eastAsia" w:cs="Times New Roman" w:asciiTheme="minorEastAsia" w:hAnsiTheme="minorEastAsia"/>
          <w:color w:val="000000"/>
          <w:sz w:val="24"/>
          <w:lang w:eastAsia="zh-CN"/>
        </w:rPr>
        <w:t>、</w:t>
      </w:r>
      <w:r>
        <w:rPr>
          <w:rFonts w:cs="Times New Roman" w:asciiTheme="minorEastAsia" w:hAnsiTheme="minorEastAsia"/>
          <w:color w:val="000000"/>
          <w:spacing w:val="-1"/>
          <w:sz w:val="24"/>
          <w:lang w:eastAsia="zh-CN"/>
        </w:rPr>
        <w:t>“</w:t>
      </w:r>
      <w:r>
        <w:rPr>
          <w:rFonts w:hint="eastAsia" w:cs="Times New Roman" w:asciiTheme="minorEastAsia" w:hAnsiTheme="minorEastAsia"/>
          <w:color w:val="000000"/>
          <w:sz w:val="24"/>
          <w:lang w:eastAsia="zh-CN"/>
        </w:rPr>
        <w:t>公司</w:t>
      </w:r>
      <w:r>
        <w:rPr>
          <w:rFonts w:cs="Times New Roman" w:asciiTheme="minorEastAsia" w:hAnsiTheme="minorEastAsia"/>
          <w:color w:val="000000"/>
          <w:spacing w:val="-1"/>
          <w:sz w:val="24"/>
          <w:lang w:eastAsia="zh-CN"/>
        </w:rPr>
        <w:t>”</w:t>
      </w:r>
      <w:r>
        <w:rPr>
          <w:rFonts w:hint="eastAsia" w:cs="Times New Roman" w:asciiTheme="minorEastAsia" w:hAnsiTheme="minorEastAsia"/>
          <w:color w:val="000000"/>
          <w:spacing w:val="-1"/>
          <w:sz w:val="24"/>
          <w:lang w:eastAsia="zh-CN"/>
        </w:rPr>
        <w:t>或</w:t>
      </w:r>
      <w:r>
        <w:rPr>
          <w:rFonts w:cs="Times New Roman" w:asciiTheme="minorEastAsia" w:hAnsiTheme="minorEastAsia"/>
          <w:color w:val="000000"/>
          <w:spacing w:val="-1"/>
          <w:sz w:val="24"/>
          <w:lang w:eastAsia="zh-CN"/>
        </w:rPr>
        <w:t>“</w:t>
      </w:r>
      <w:r>
        <w:rPr>
          <w:rFonts w:hint="eastAsia" w:cs="Times New Roman" w:asciiTheme="minorEastAsia" w:hAnsiTheme="minorEastAsia"/>
          <w:color w:val="000000"/>
          <w:spacing w:val="-1"/>
          <w:sz w:val="24"/>
          <w:lang w:eastAsia="zh-CN"/>
        </w:rPr>
        <w:t>本公司</w:t>
      </w:r>
      <w:r>
        <w:rPr>
          <w:rFonts w:cs="Times New Roman" w:asciiTheme="minorEastAsia" w:hAnsiTheme="minorEastAsia"/>
          <w:color w:val="000000"/>
          <w:spacing w:val="-1"/>
          <w:sz w:val="24"/>
          <w:lang w:eastAsia="zh-CN"/>
        </w:rPr>
        <w:t>”</w:t>
      </w:r>
      <w:r>
        <w:rPr>
          <w:rFonts w:hint="eastAsia" w:cs="Times New Roman" w:asciiTheme="minorEastAsia" w:hAnsiTheme="minorEastAsia"/>
          <w:color w:val="000000"/>
          <w:sz w:val="24"/>
          <w:lang w:eastAsia="zh-CN"/>
        </w:rPr>
        <w:t>）</w:t>
      </w:r>
    </w:p>
    <w:p>
      <w:pPr>
        <w:pStyle w:val="16"/>
        <w:spacing w:before="0" w:after="0"/>
        <w:ind w:firstLine="480" w:firstLineChars="200"/>
        <w:rPr>
          <w:rFonts w:ascii="Times New Roman" w:hAnsi="Times New Roman" w:eastAsia="宋体" w:cs="Times New Roman"/>
          <w:color w:val="000000"/>
          <w:sz w:val="24"/>
          <w:lang w:eastAsia="zh-CN"/>
        </w:rPr>
      </w:pPr>
      <w:r>
        <w:rPr>
          <w:rFonts w:hint="eastAsia" w:ascii="Times New Roman" w:hAnsi="Times New Roman" w:eastAsia="宋体" w:cs="Times New Roman"/>
          <w:color w:val="000000"/>
          <w:sz w:val="24"/>
          <w:lang w:eastAsia="zh-CN"/>
        </w:rPr>
        <w:t>上市日期：</w:t>
      </w:r>
      <w:r>
        <w:rPr>
          <w:rFonts w:ascii="Times New Roman" w:hAnsi="Times New Roman" w:eastAsia="宋体" w:cs="Times New Roman"/>
          <w:color w:val="000000"/>
          <w:sz w:val="24"/>
          <w:lang w:eastAsia="zh-CN"/>
        </w:rPr>
        <w:t>2017</w:t>
      </w:r>
      <w:r>
        <w:rPr>
          <w:rFonts w:hint="eastAsia" w:ascii="Times New Roman" w:hAnsi="Times New Roman" w:eastAsia="宋体" w:cs="Times New Roman"/>
          <w:color w:val="000000"/>
          <w:sz w:val="24"/>
          <w:lang w:eastAsia="zh-CN"/>
        </w:rPr>
        <w:t>年</w:t>
      </w:r>
      <w:r>
        <w:rPr>
          <w:rFonts w:ascii="Times New Roman" w:hAnsi="Times New Roman" w:eastAsia="宋体" w:cs="Times New Roman"/>
          <w:color w:val="000000"/>
          <w:sz w:val="24"/>
          <w:lang w:eastAsia="zh-CN"/>
        </w:rPr>
        <w:t>04</w:t>
      </w:r>
      <w:r>
        <w:rPr>
          <w:rFonts w:hint="eastAsia" w:ascii="Times New Roman" w:hAnsi="Times New Roman" w:eastAsia="宋体" w:cs="Times New Roman"/>
          <w:color w:val="000000"/>
          <w:sz w:val="24"/>
          <w:lang w:eastAsia="zh-CN"/>
        </w:rPr>
        <w:t>月</w:t>
      </w:r>
      <w:r>
        <w:rPr>
          <w:rFonts w:ascii="Times New Roman" w:hAnsi="Times New Roman" w:eastAsia="宋体" w:cs="Times New Roman"/>
          <w:color w:val="000000"/>
          <w:sz w:val="24"/>
          <w:lang w:eastAsia="zh-CN"/>
        </w:rPr>
        <w:t>21</w:t>
      </w:r>
      <w:r>
        <w:rPr>
          <w:rFonts w:hint="eastAsia" w:ascii="Times New Roman" w:hAnsi="Times New Roman" w:eastAsia="宋体" w:cs="Times New Roman"/>
          <w:color w:val="000000"/>
          <w:sz w:val="24"/>
          <w:lang w:eastAsia="zh-CN"/>
        </w:rPr>
        <w:t>日</w:t>
      </w:r>
    </w:p>
    <w:p>
      <w:pPr>
        <w:pStyle w:val="16"/>
        <w:spacing w:before="0" w:after="0"/>
        <w:ind w:firstLine="480" w:firstLineChars="200"/>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注册地址：上海市静安区江场西路299弄5号601室</w:t>
      </w:r>
    </w:p>
    <w:p>
      <w:pPr>
        <w:pStyle w:val="16"/>
        <w:spacing w:before="0" w:after="0"/>
        <w:ind w:firstLine="480" w:firstLineChars="200"/>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注册资本：人民币</w:t>
      </w:r>
      <w:r>
        <w:rPr>
          <w:rFonts w:ascii="Times New Roman" w:hAnsi="Times New Roman" w:eastAsia="宋体" w:cs="Times New Roman"/>
          <w:sz w:val="24"/>
          <w:szCs w:val="24"/>
          <w:lang w:eastAsia="zh-CN"/>
        </w:rPr>
        <w:t>231,722,033</w:t>
      </w:r>
      <w:r>
        <w:rPr>
          <w:rFonts w:hint="eastAsia" w:ascii="Times New Roman" w:hAnsi="Times New Roman" w:eastAsia="宋体" w:cs="Times New Roman"/>
          <w:sz w:val="24"/>
          <w:szCs w:val="24"/>
          <w:lang w:eastAsia="zh-CN"/>
        </w:rPr>
        <w:t>元（公司2020年年度利润分配已于2021年6月1日实施完毕，其中用资本公积（股本溢价）按每10股转增2股的比例转增股本经本次转增后，公司总股本由193,101,694股增加至231,722,033股，新增股份已于2021年6月2日上市流通。公司将于2021年第一次临时股东大会审议通过相关议案后完成工商变更）</w:t>
      </w:r>
    </w:p>
    <w:p>
      <w:pPr>
        <w:pStyle w:val="16"/>
        <w:spacing w:before="0" w:after="0"/>
        <w:ind w:firstLine="480" w:firstLineChars="200"/>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法定代表人：</w:t>
      </w:r>
      <w:r>
        <w:rPr>
          <w:rFonts w:ascii="Times New Roman" w:hAnsi="Times New Roman" w:eastAsia="宋体" w:cs="Times New Roman"/>
          <w:sz w:val="24"/>
          <w:szCs w:val="24"/>
          <w:lang w:eastAsia="zh-CN"/>
        </w:rPr>
        <w:t>孔令钢</w:t>
      </w:r>
    </w:p>
    <w:p>
      <w:pPr>
        <w:pStyle w:val="16"/>
        <w:spacing w:before="0" w:after="0"/>
        <w:ind w:firstLine="480" w:firstLineChars="200"/>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经营范围：软件开发，软件生产，信息网络安全产品的研制、开发、销售，系统集成，专业四技服务（上述项目除专项规定），自有房屋租赁。（依法须经批准的项目，经相关部门批准后方可开展经营活动）</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（二）治理结构</w:t>
      </w:r>
    </w:p>
    <w:p>
      <w:pPr>
        <w:adjustRightInd w:val="0"/>
        <w:snapToGrid w:val="0"/>
        <w:ind w:firstLine="480" w:firstLineChars="200"/>
      </w:pPr>
      <w:r>
        <w:rPr>
          <w:rFonts w:hint="eastAsia"/>
        </w:rPr>
        <w:t>公司</w:t>
      </w:r>
      <w:r>
        <w:t>董事会由</w:t>
      </w:r>
      <w:r>
        <w:rPr>
          <w:rFonts w:hint="eastAsia"/>
        </w:rPr>
        <w:t>9名董事组成，其中独立董事3名；公司监事会由3名监事组成，其中职工监事1人；公司高级管理人员共有8人。</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（三）最近三年业绩情况</w:t>
      </w:r>
    </w:p>
    <w:p>
      <w:pPr>
        <w:adjustRightInd w:val="0"/>
        <w:snapToGrid w:val="0"/>
        <w:ind w:firstLine="200"/>
        <w:jc w:val="right"/>
        <w:rPr>
          <w:rFonts w:ascii="宋体" w:hAnsi="宋体"/>
          <w:sz w:val="21"/>
          <w:szCs w:val="21"/>
        </w:rPr>
      </w:pPr>
      <w:r>
        <w:rPr>
          <w:rFonts w:hint="eastAsia" w:ascii="宋体" w:hAnsi="宋体"/>
          <w:sz w:val="21"/>
          <w:szCs w:val="21"/>
        </w:rPr>
        <w:t>单位</w:t>
      </w:r>
      <w:r>
        <w:rPr>
          <w:rFonts w:ascii="宋体" w:hAnsi="宋体"/>
          <w:sz w:val="21"/>
          <w:szCs w:val="21"/>
        </w:rPr>
        <w:t>：元</w:t>
      </w:r>
      <w:r>
        <w:rPr>
          <w:rFonts w:hint="eastAsia" w:ascii="宋体" w:hAnsi="宋体"/>
          <w:sz w:val="21"/>
          <w:szCs w:val="21"/>
        </w:rPr>
        <w:t xml:space="preserve">  币种</w:t>
      </w:r>
      <w:r>
        <w:rPr>
          <w:rFonts w:ascii="宋体" w:hAnsi="宋体"/>
          <w:sz w:val="21"/>
          <w:szCs w:val="21"/>
        </w:rPr>
        <w:t>：人民币</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1701"/>
        <w:gridCol w:w="1736"/>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shd w:val="clear" w:color="auto" w:fill="F1F1F1" w:themeFill="background1" w:themeFillShade="F2"/>
            <w:vAlign w:val="center"/>
          </w:tcPr>
          <w:p>
            <w:pPr>
              <w:adjustRightInd w:val="0"/>
              <w:snapToGrid w:val="0"/>
              <w:spacing w:line="240" w:lineRule="auto"/>
              <w:jc w:val="center"/>
              <w:rPr>
                <w:rFonts w:ascii="宋体" w:hAnsi="宋体"/>
                <w:b/>
                <w:sz w:val="21"/>
              </w:rPr>
            </w:pPr>
            <w:r>
              <w:rPr>
                <w:rFonts w:hint="eastAsia" w:ascii="宋体" w:hAnsi="宋体"/>
                <w:b/>
                <w:sz w:val="21"/>
              </w:rPr>
              <w:t>主要会计数据</w:t>
            </w:r>
          </w:p>
        </w:tc>
        <w:tc>
          <w:tcPr>
            <w:tcW w:w="1701"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2020年</w:t>
            </w:r>
          </w:p>
        </w:tc>
        <w:tc>
          <w:tcPr>
            <w:tcW w:w="1736"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2019年</w:t>
            </w:r>
          </w:p>
        </w:tc>
        <w:tc>
          <w:tcPr>
            <w:tcW w:w="1745"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营业收入</w:t>
            </w:r>
          </w:p>
        </w:tc>
        <w:tc>
          <w:tcPr>
            <w:tcW w:w="1701" w:type="dxa"/>
            <w:vAlign w:val="center"/>
          </w:tcPr>
          <w:p>
            <w:pPr>
              <w:adjustRightInd w:val="0"/>
              <w:snapToGrid w:val="0"/>
              <w:spacing w:line="240" w:lineRule="auto"/>
              <w:jc w:val="center"/>
              <w:rPr>
                <w:rFonts w:cs="Times New Roman"/>
                <w:sz w:val="21"/>
              </w:rPr>
            </w:pPr>
            <w:r>
              <w:rPr>
                <w:rFonts w:cs="Times New Roman"/>
                <w:sz w:val="21"/>
              </w:rPr>
              <w:t>444,807,800.17</w:t>
            </w:r>
          </w:p>
        </w:tc>
        <w:tc>
          <w:tcPr>
            <w:tcW w:w="1736" w:type="dxa"/>
            <w:vAlign w:val="center"/>
          </w:tcPr>
          <w:p>
            <w:pPr>
              <w:adjustRightInd w:val="0"/>
              <w:snapToGrid w:val="0"/>
              <w:spacing w:line="240" w:lineRule="auto"/>
              <w:jc w:val="center"/>
              <w:rPr>
                <w:rFonts w:cs="Times New Roman"/>
                <w:sz w:val="21"/>
              </w:rPr>
            </w:pPr>
            <w:r>
              <w:rPr>
                <w:rFonts w:cs="Times New Roman"/>
                <w:sz w:val="21"/>
              </w:rPr>
              <w:t>370,541,320.66</w:t>
            </w:r>
          </w:p>
        </w:tc>
        <w:tc>
          <w:tcPr>
            <w:tcW w:w="1745" w:type="dxa"/>
            <w:vAlign w:val="center"/>
          </w:tcPr>
          <w:p>
            <w:pPr>
              <w:adjustRightInd w:val="0"/>
              <w:snapToGrid w:val="0"/>
              <w:spacing w:line="240" w:lineRule="auto"/>
              <w:jc w:val="center"/>
              <w:rPr>
                <w:rFonts w:cs="Times New Roman"/>
                <w:sz w:val="21"/>
              </w:rPr>
            </w:pPr>
            <w:r>
              <w:rPr>
                <w:rFonts w:cs="Times New Roman"/>
                <w:sz w:val="21"/>
              </w:rPr>
              <w:t>308,585,449.97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归属于上市公司股东的净利润</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5</w:t>
            </w:r>
            <w:r>
              <w:rPr>
                <w:rFonts w:cs="Times New Roman"/>
                <w:sz w:val="21"/>
              </w:rPr>
              <w:t>7,077,979.32</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7</w:t>
            </w:r>
            <w:r>
              <w:rPr>
                <w:rFonts w:cs="Times New Roman"/>
                <w:sz w:val="21"/>
              </w:rPr>
              <w:t>0,075,220.17</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7</w:t>
            </w:r>
            <w:r>
              <w:rPr>
                <w:rFonts w:cs="Times New Roman"/>
                <w:sz w:val="21"/>
              </w:rPr>
              <w:t>1,799,948.76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归属于上市公司股东的扣除非经常性损益的净利润</w:t>
            </w:r>
          </w:p>
        </w:tc>
        <w:tc>
          <w:tcPr>
            <w:tcW w:w="1701" w:type="dxa"/>
            <w:vAlign w:val="center"/>
          </w:tcPr>
          <w:p>
            <w:pPr>
              <w:adjustRightInd w:val="0"/>
              <w:snapToGrid w:val="0"/>
              <w:spacing w:line="240" w:lineRule="auto"/>
              <w:jc w:val="center"/>
              <w:rPr>
                <w:rFonts w:cs="Times New Roman"/>
                <w:sz w:val="21"/>
              </w:rPr>
            </w:pPr>
            <w:r>
              <w:rPr>
                <w:rFonts w:cs="Times New Roman"/>
                <w:sz w:val="21"/>
              </w:rPr>
              <w:t>46,018,600.15</w:t>
            </w:r>
          </w:p>
        </w:tc>
        <w:tc>
          <w:tcPr>
            <w:tcW w:w="1736" w:type="dxa"/>
            <w:vAlign w:val="center"/>
          </w:tcPr>
          <w:p>
            <w:pPr>
              <w:adjustRightInd w:val="0"/>
              <w:snapToGrid w:val="0"/>
              <w:spacing w:line="240" w:lineRule="auto"/>
              <w:jc w:val="center"/>
              <w:rPr>
                <w:rFonts w:cs="Times New Roman"/>
                <w:sz w:val="21"/>
              </w:rPr>
            </w:pPr>
            <w:r>
              <w:rPr>
                <w:rFonts w:cs="Times New Roman"/>
                <w:sz w:val="21"/>
              </w:rPr>
              <w:t>49,714,456.07</w:t>
            </w:r>
          </w:p>
        </w:tc>
        <w:tc>
          <w:tcPr>
            <w:tcW w:w="1745" w:type="dxa"/>
            <w:vAlign w:val="center"/>
          </w:tcPr>
          <w:p>
            <w:pPr>
              <w:adjustRightInd w:val="0"/>
              <w:snapToGrid w:val="0"/>
              <w:spacing w:line="240" w:lineRule="auto"/>
              <w:jc w:val="center"/>
              <w:rPr>
                <w:rFonts w:cs="Times New Roman"/>
                <w:sz w:val="21"/>
              </w:rPr>
            </w:pPr>
            <w:r>
              <w:rPr>
                <w:rFonts w:cs="Times New Roman"/>
                <w:sz w:val="21"/>
              </w:rPr>
              <w:t>56,863,292.57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经营活动产生的现金流量净额</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1</w:t>
            </w:r>
            <w:r>
              <w:rPr>
                <w:rFonts w:cs="Times New Roman"/>
                <w:sz w:val="21"/>
              </w:rPr>
              <w:t>45,981,400.36</w:t>
            </w:r>
          </w:p>
        </w:tc>
        <w:tc>
          <w:tcPr>
            <w:tcW w:w="1736" w:type="dxa"/>
            <w:vAlign w:val="center"/>
          </w:tcPr>
          <w:p>
            <w:pPr>
              <w:adjustRightInd w:val="0"/>
              <w:snapToGrid w:val="0"/>
              <w:spacing w:line="240" w:lineRule="auto"/>
              <w:jc w:val="center"/>
              <w:rPr>
                <w:rFonts w:cs="Times New Roman"/>
                <w:sz w:val="21"/>
              </w:rPr>
            </w:pPr>
            <w:r>
              <w:rPr>
                <w:rFonts w:cs="Times New Roman"/>
                <w:sz w:val="21"/>
              </w:rPr>
              <w:t>82,339,046.28</w:t>
            </w:r>
          </w:p>
        </w:tc>
        <w:tc>
          <w:tcPr>
            <w:tcW w:w="1745" w:type="dxa"/>
            <w:vAlign w:val="center"/>
          </w:tcPr>
          <w:p>
            <w:pPr>
              <w:adjustRightInd w:val="0"/>
              <w:snapToGrid w:val="0"/>
              <w:spacing w:line="240" w:lineRule="auto"/>
              <w:jc w:val="center"/>
              <w:rPr>
                <w:rFonts w:cs="Times New Roman"/>
                <w:sz w:val="21"/>
              </w:rPr>
            </w:pPr>
            <w:r>
              <w:rPr>
                <w:rFonts w:cs="Times New Roman"/>
                <w:sz w:val="21"/>
              </w:rPr>
              <w:t>-1,802,035.25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归属于上市公司股东的净资产</w:t>
            </w:r>
          </w:p>
        </w:tc>
        <w:tc>
          <w:tcPr>
            <w:tcW w:w="1701" w:type="dxa"/>
            <w:vAlign w:val="center"/>
          </w:tcPr>
          <w:p>
            <w:pPr>
              <w:adjustRightInd w:val="0"/>
              <w:snapToGrid w:val="0"/>
              <w:spacing w:line="240" w:lineRule="auto"/>
              <w:jc w:val="center"/>
              <w:rPr>
                <w:rFonts w:cs="Times New Roman"/>
                <w:sz w:val="21"/>
              </w:rPr>
            </w:pPr>
            <w:r>
              <w:rPr>
                <w:rFonts w:cs="Times New Roman"/>
                <w:sz w:val="21"/>
              </w:rPr>
              <w:t>1,329,185,719.39</w:t>
            </w:r>
          </w:p>
        </w:tc>
        <w:tc>
          <w:tcPr>
            <w:tcW w:w="1736" w:type="dxa"/>
            <w:vAlign w:val="center"/>
          </w:tcPr>
          <w:p>
            <w:pPr>
              <w:adjustRightInd w:val="0"/>
              <w:snapToGrid w:val="0"/>
              <w:spacing w:line="240" w:lineRule="auto"/>
              <w:jc w:val="center"/>
              <w:rPr>
                <w:rFonts w:cs="Times New Roman"/>
                <w:sz w:val="21"/>
              </w:rPr>
            </w:pPr>
            <w:r>
              <w:rPr>
                <w:rFonts w:cs="Times New Roman"/>
                <w:sz w:val="21"/>
              </w:rPr>
              <w:t>663,726,601.04</w:t>
            </w:r>
          </w:p>
        </w:tc>
        <w:tc>
          <w:tcPr>
            <w:tcW w:w="1745" w:type="dxa"/>
            <w:vAlign w:val="center"/>
          </w:tcPr>
          <w:p>
            <w:pPr>
              <w:adjustRightInd w:val="0"/>
              <w:snapToGrid w:val="0"/>
              <w:spacing w:line="240" w:lineRule="auto"/>
              <w:jc w:val="center"/>
              <w:rPr>
                <w:rFonts w:cs="Times New Roman"/>
                <w:sz w:val="21"/>
              </w:rPr>
            </w:pPr>
            <w:r>
              <w:rPr>
                <w:rFonts w:cs="Times New Roman"/>
                <w:sz w:val="21"/>
              </w:rPr>
              <w:t>621,779,025.43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tcBorders>
              <w:bottom w:val="single" w:color="auto" w:sz="4" w:space="0"/>
            </w:tcBorders>
            <w:vAlign w:val="center"/>
          </w:tcPr>
          <w:p>
            <w:pPr>
              <w:adjustRightInd w:val="0"/>
              <w:snapToGrid w:val="0"/>
              <w:spacing w:line="240" w:lineRule="auto"/>
              <w:jc w:val="left"/>
              <w:rPr>
                <w:rFonts w:ascii="宋体" w:hAnsi="宋体"/>
                <w:sz w:val="21"/>
              </w:rPr>
            </w:pPr>
            <w:r>
              <w:rPr>
                <w:rFonts w:hint="eastAsia" w:ascii="宋体" w:hAnsi="宋体"/>
                <w:sz w:val="21"/>
              </w:rPr>
              <w:t>总资产</w:t>
            </w:r>
          </w:p>
        </w:tc>
        <w:tc>
          <w:tcPr>
            <w:tcW w:w="1701" w:type="dxa"/>
            <w:tcBorders>
              <w:bottom w:val="single" w:color="auto" w:sz="4" w:space="0"/>
            </w:tcBorders>
            <w:vAlign w:val="center"/>
          </w:tcPr>
          <w:p>
            <w:pPr>
              <w:adjustRightInd w:val="0"/>
              <w:snapToGrid w:val="0"/>
              <w:spacing w:line="240" w:lineRule="auto"/>
              <w:jc w:val="center"/>
              <w:rPr>
                <w:rFonts w:cs="Times New Roman"/>
                <w:sz w:val="21"/>
              </w:rPr>
            </w:pPr>
            <w:r>
              <w:rPr>
                <w:rFonts w:cs="Times New Roman"/>
                <w:sz w:val="21"/>
              </w:rPr>
              <w:t>1,624,238,738.80</w:t>
            </w:r>
          </w:p>
        </w:tc>
        <w:tc>
          <w:tcPr>
            <w:tcW w:w="1736" w:type="dxa"/>
            <w:tcBorders>
              <w:bottom w:val="single" w:color="auto" w:sz="4" w:space="0"/>
            </w:tcBorders>
            <w:vAlign w:val="center"/>
          </w:tcPr>
          <w:p>
            <w:pPr>
              <w:adjustRightInd w:val="0"/>
              <w:snapToGrid w:val="0"/>
              <w:spacing w:line="240" w:lineRule="auto"/>
              <w:jc w:val="center"/>
              <w:rPr>
                <w:rFonts w:cs="Times New Roman"/>
                <w:sz w:val="21"/>
              </w:rPr>
            </w:pPr>
            <w:r>
              <w:rPr>
                <w:rFonts w:cs="Times New Roman"/>
                <w:sz w:val="21"/>
              </w:rPr>
              <w:t>855,164,697.68</w:t>
            </w:r>
          </w:p>
        </w:tc>
        <w:tc>
          <w:tcPr>
            <w:tcW w:w="1745" w:type="dxa"/>
            <w:tcBorders>
              <w:bottom w:val="single" w:color="auto" w:sz="4" w:space="0"/>
            </w:tcBorders>
            <w:vAlign w:val="center"/>
          </w:tcPr>
          <w:p>
            <w:pPr>
              <w:adjustRightInd w:val="0"/>
              <w:snapToGrid w:val="0"/>
              <w:spacing w:line="240" w:lineRule="auto"/>
              <w:jc w:val="center"/>
              <w:rPr>
                <w:rFonts w:cs="Times New Roman"/>
                <w:sz w:val="21"/>
              </w:rPr>
            </w:pPr>
            <w:r>
              <w:rPr>
                <w:rFonts w:cs="Times New Roman"/>
                <w:sz w:val="21"/>
              </w:rPr>
              <w:t>724,843,838.56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shd w:val="clear" w:color="auto" w:fill="F1F1F1" w:themeFill="background1" w:themeFillShade="F2"/>
            <w:vAlign w:val="center"/>
          </w:tcPr>
          <w:p>
            <w:pPr>
              <w:adjustRightInd w:val="0"/>
              <w:snapToGrid w:val="0"/>
              <w:spacing w:line="240" w:lineRule="auto"/>
              <w:jc w:val="center"/>
              <w:rPr>
                <w:rFonts w:ascii="宋体" w:hAnsi="宋体"/>
                <w:b/>
                <w:sz w:val="21"/>
              </w:rPr>
            </w:pPr>
            <w:r>
              <w:rPr>
                <w:rFonts w:hint="eastAsia" w:ascii="宋体" w:hAnsi="宋体"/>
                <w:b/>
                <w:sz w:val="21"/>
              </w:rPr>
              <w:t>主要</w:t>
            </w:r>
            <w:r>
              <w:rPr>
                <w:rFonts w:ascii="宋体" w:hAnsi="宋体"/>
                <w:b/>
                <w:sz w:val="21"/>
              </w:rPr>
              <w:t>财务指标</w:t>
            </w:r>
          </w:p>
        </w:tc>
        <w:tc>
          <w:tcPr>
            <w:tcW w:w="1701"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2020年</w:t>
            </w:r>
          </w:p>
        </w:tc>
        <w:tc>
          <w:tcPr>
            <w:tcW w:w="1736"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2019年</w:t>
            </w:r>
          </w:p>
        </w:tc>
        <w:tc>
          <w:tcPr>
            <w:tcW w:w="1745" w:type="dxa"/>
            <w:shd w:val="clear" w:color="auto" w:fill="F1F1F1" w:themeFill="background1" w:themeFillShade="F2"/>
            <w:vAlign w:val="center"/>
          </w:tcPr>
          <w:p>
            <w:pPr>
              <w:adjustRightInd w:val="0"/>
              <w:snapToGrid w:val="0"/>
              <w:spacing w:line="240" w:lineRule="auto"/>
              <w:jc w:val="center"/>
              <w:rPr>
                <w:rFonts w:cs="Times New Roman"/>
                <w:b/>
                <w:sz w:val="21"/>
              </w:rPr>
            </w:pPr>
            <w:r>
              <w:rPr>
                <w:rFonts w:cs="Times New Roman"/>
                <w:b/>
                <w:sz w:val="21"/>
              </w:rPr>
              <w:t>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sdt>
          <w:sdtPr>
            <w:rPr>
              <w:sz w:val="21"/>
            </w:rPr>
            <w:tag w:val="_PLD_d2029c032d9941d88b63fd2cb7b877be"/>
            <w:id w:val="-672563033"/>
          </w:sdtPr>
          <w:sdtEndPr>
            <w:rPr>
              <w:sz w:val="21"/>
            </w:rPr>
          </w:sdtEndPr>
          <w:sdtContent>
            <w:tc>
              <w:tcPr>
                <w:tcW w:w="3114" w:type="dxa"/>
                <w:vAlign w:val="center"/>
              </w:tcPr>
              <w:p>
                <w:pPr>
                  <w:adjustRightInd w:val="0"/>
                  <w:snapToGrid w:val="0"/>
                  <w:spacing w:line="240" w:lineRule="auto"/>
                  <w:jc w:val="left"/>
                  <w:rPr>
                    <w:rFonts w:ascii="宋体" w:hAnsi="宋体"/>
                    <w:sz w:val="21"/>
                  </w:rPr>
                </w:pPr>
                <w:r>
                  <w:rPr>
                    <w:rFonts w:hint="eastAsia"/>
                    <w:sz w:val="21"/>
                  </w:rPr>
                  <w:t>基本每股收益（元／股）</w:t>
                </w:r>
              </w:p>
            </w:tc>
          </w:sdtContent>
        </w:sdt>
        <w:tc>
          <w:tcPr>
            <w:tcW w:w="1701"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.32</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.41</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稀释每股收益（元</w:t>
            </w:r>
            <w:r>
              <w:rPr>
                <w:rFonts w:hint="eastAsia"/>
                <w:sz w:val="21"/>
              </w:rPr>
              <w:t>／</w:t>
            </w:r>
            <w:r>
              <w:rPr>
                <w:rFonts w:hint="eastAsia" w:ascii="宋体" w:hAnsi="宋体"/>
                <w:sz w:val="21"/>
              </w:rPr>
              <w:t>股）</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.32</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.41</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扣除非经常性损益后的基本每股收益（元/股）</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.26</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.29</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0</w:t>
            </w:r>
            <w:r>
              <w:rPr>
                <w:rFonts w:cs="Times New Roman"/>
                <w:sz w:val="21"/>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加权平均净资产收益率（</w:t>
            </w:r>
            <w:r>
              <w:rPr>
                <w:rFonts w:cs="Times New Roman"/>
                <w:sz w:val="21"/>
              </w:rPr>
              <w:t>%</w:t>
            </w:r>
            <w:r>
              <w:rPr>
                <w:rFonts w:hint="eastAsia" w:ascii="宋体" w:hAnsi="宋体"/>
                <w:sz w:val="21"/>
              </w:rPr>
              <w:t>）</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6</w:t>
            </w:r>
            <w:r>
              <w:rPr>
                <w:rFonts w:cs="Times New Roman"/>
                <w:sz w:val="21"/>
              </w:rPr>
              <w:t>.44</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1</w:t>
            </w:r>
            <w:r>
              <w:rPr>
                <w:rFonts w:cs="Times New Roman"/>
                <w:sz w:val="21"/>
              </w:rPr>
              <w:t>0.75</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1</w:t>
            </w:r>
            <w:r>
              <w:rPr>
                <w:rFonts w:cs="Times New Roman"/>
                <w:sz w:val="21"/>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4" w:type="dxa"/>
            <w:vAlign w:val="center"/>
          </w:tcPr>
          <w:p>
            <w:pPr>
              <w:adjustRightInd w:val="0"/>
              <w:snapToGrid w:val="0"/>
              <w:spacing w:line="240" w:lineRule="auto"/>
              <w:jc w:val="left"/>
              <w:rPr>
                <w:rFonts w:ascii="宋体" w:hAnsi="宋体"/>
                <w:sz w:val="21"/>
              </w:rPr>
            </w:pPr>
            <w:r>
              <w:rPr>
                <w:rFonts w:hint="eastAsia" w:ascii="宋体" w:hAnsi="宋体"/>
                <w:sz w:val="21"/>
              </w:rPr>
              <w:t>扣除非经常性损益后的加权平均净资产收益率（</w:t>
            </w:r>
            <w:r>
              <w:rPr>
                <w:rFonts w:cs="Times New Roman"/>
                <w:sz w:val="21"/>
              </w:rPr>
              <w:t>%</w:t>
            </w:r>
            <w:r>
              <w:rPr>
                <w:rFonts w:hint="eastAsia" w:ascii="宋体" w:hAnsi="宋体"/>
                <w:sz w:val="21"/>
              </w:rPr>
              <w:t>）</w:t>
            </w:r>
          </w:p>
        </w:tc>
        <w:tc>
          <w:tcPr>
            <w:tcW w:w="1701" w:type="dxa"/>
            <w:vAlign w:val="center"/>
          </w:tcPr>
          <w:p>
            <w:pPr>
              <w:adjustRightInd w:val="0"/>
              <w:snapToGrid w:val="0"/>
              <w:spacing w:line="240" w:lineRule="auto"/>
              <w:jc w:val="center"/>
              <w:rPr>
                <w:rFonts w:cs="Times New Roman"/>
                <w:sz w:val="21"/>
              </w:rPr>
            </w:pPr>
            <w:r>
              <w:rPr>
                <w:rFonts w:hint="eastAsia" w:cs="Times New Roman"/>
                <w:sz w:val="21"/>
              </w:rPr>
              <w:t>5</w:t>
            </w:r>
            <w:r>
              <w:rPr>
                <w:rFonts w:cs="Times New Roman"/>
                <w:sz w:val="21"/>
              </w:rPr>
              <w:t>.19</w:t>
            </w:r>
          </w:p>
        </w:tc>
        <w:tc>
          <w:tcPr>
            <w:tcW w:w="1736" w:type="dxa"/>
            <w:vAlign w:val="center"/>
          </w:tcPr>
          <w:p>
            <w:pPr>
              <w:adjustRightInd w:val="0"/>
              <w:snapToGrid w:val="0"/>
              <w:spacing w:line="240" w:lineRule="auto"/>
              <w:jc w:val="center"/>
              <w:rPr>
                <w:rFonts w:cs="Times New Roman"/>
                <w:sz w:val="21"/>
              </w:rPr>
            </w:pPr>
            <w:r>
              <w:rPr>
                <w:rFonts w:hint="eastAsia" w:cs="Times New Roman"/>
                <w:sz w:val="21"/>
              </w:rPr>
              <w:t>7</w:t>
            </w:r>
            <w:r>
              <w:rPr>
                <w:rFonts w:cs="Times New Roman"/>
                <w:sz w:val="21"/>
              </w:rPr>
              <w:t>.63</w:t>
            </w:r>
          </w:p>
        </w:tc>
        <w:tc>
          <w:tcPr>
            <w:tcW w:w="1745" w:type="dxa"/>
            <w:vAlign w:val="center"/>
          </w:tcPr>
          <w:p>
            <w:pPr>
              <w:adjustRightInd w:val="0"/>
              <w:snapToGrid w:val="0"/>
              <w:spacing w:line="240" w:lineRule="auto"/>
              <w:jc w:val="center"/>
              <w:rPr>
                <w:rFonts w:cs="Times New Roman"/>
                <w:sz w:val="21"/>
              </w:rPr>
            </w:pPr>
            <w:r>
              <w:rPr>
                <w:rFonts w:hint="eastAsia" w:cs="Times New Roman"/>
                <w:sz w:val="21"/>
              </w:rPr>
              <w:t>8</w:t>
            </w:r>
            <w:r>
              <w:rPr>
                <w:rFonts w:cs="Times New Roman"/>
                <w:sz w:val="21"/>
              </w:rPr>
              <w:t>.73</w:t>
            </w:r>
          </w:p>
        </w:tc>
      </w:tr>
    </w:tbl>
    <w:p>
      <w:pPr>
        <w:pStyle w:val="16"/>
        <w:spacing w:before="0" w:after="0"/>
        <w:ind w:firstLine="480" w:firstLineChars="200"/>
        <w:rPr>
          <w:rFonts w:hAnsiTheme="minorEastAsia"/>
          <w:sz w:val="24"/>
          <w:szCs w:val="24"/>
          <w:lang w:eastAsia="zh-C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ascii="Times New Roman" w:hAnsi="Times New Roman" w:eastAsia="宋体" w:cs="Times New Roman"/>
          <w:b/>
          <w:color w:val="000000"/>
          <w:spacing w:val="1"/>
          <w:sz w:val="24"/>
          <w:lang w:eastAsia="zh-CN"/>
        </w:rPr>
        <w:t>二、股权激励计划的目的</w:t>
      </w:r>
    </w:p>
    <w:p>
      <w:pPr>
        <w:pStyle w:val="16"/>
        <w:spacing w:before="0" w:after="0"/>
        <w:ind w:firstLine="480" w:firstLineChars="200"/>
        <w:rPr>
          <w:rFonts w:cs="Times New Roman" w:asciiTheme="minorEastAsia" w:hAnsiTheme="minorEastAsia"/>
          <w:color w:val="000000"/>
          <w:sz w:val="24"/>
          <w:szCs w:val="24"/>
          <w:lang w:eastAsia="zh-CN"/>
        </w:rPr>
      </w:pPr>
      <w:r>
        <w:rPr>
          <w:rFonts w:hAnsiTheme="minorEastAsia"/>
          <w:sz w:val="24"/>
          <w:szCs w:val="24"/>
          <w:lang w:eastAsia="zh-CN"/>
        </w:rPr>
        <w:t>为进一步完善公司法人治理结构，建立、健全公司长效激励约束机制，吸引和留住</w:t>
      </w:r>
      <w:r>
        <w:rPr>
          <w:rFonts w:hint="eastAsia" w:hAnsiTheme="minorEastAsia"/>
          <w:sz w:val="24"/>
          <w:szCs w:val="24"/>
          <w:lang w:eastAsia="zh-CN"/>
        </w:rPr>
        <w:t>优秀人才</w:t>
      </w:r>
      <w:r>
        <w:rPr>
          <w:rFonts w:hAnsiTheme="minorEastAsia"/>
          <w:sz w:val="24"/>
          <w:szCs w:val="24"/>
          <w:lang w:eastAsia="zh-CN"/>
        </w:rPr>
        <w:t>，充分调动</w:t>
      </w:r>
      <w:r>
        <w:rPr>
          <w:rFonts w:hint="eastAsia" w:hAnsiTheme="minorEastAsia"/>
          <w:sz w:val="24"/>
          <w:szCs w:val="24"/>
          <w:lang w:eastAsia="zh-CN"/>
        </w:rPr>
        <w:t>董事、高级管理人员</w:t>
      </w:r>
      <w:r>
        <w:rPr>
          <w:rFonts w:hint="eastAsia" w:ascii="Times New Roman" w:hAnsi="Times New Roman" w:eastAsia="宋体" w:cs="Times New Roman"/>
          <w:kern w:val="0"/>
          <w:sz w:val="24"/>
          <w:szCs w:val="24"/>
          <w:lang w:eastAsia="zh-CN"/>
        </w:rPr>
        <w:t>及核心骨干员工</w:t>
      </w:r>
      <w:r>
        <w:rPr>
          <w:rFonts w:hint="eastAsia" w:hAnsiTheme="minorEastAsia"/>
          <w:sz w:val="24"/>
          <w:szCs w:val="24"/>
          <w:lang w:eastAsia="zh-CN"/>
        </w:rPr>
        <w:t>的</w:t>
      </w:r>
      <w:r>
        <w:rPr>
          <w:rFonts w:hAnsiTheme="minorEastAsia"/>
          <w:sz w:val="24"/>
          <w:szCs w:val="24"/>
          <w:lang w:eastAsia="zh-CN"/>
        </w:rPr>
        <w:t>积极性和创造性，有效提升核心团队凝聚力和企业核心竞争力，有效地将股东、公司和核心团队三方利益结合在一起，使各方共同关注公司的长远发展，确保公司发展战略和经营目标的实现，</w:t>
      </w:r>
      <w:r>
        <w:rPr>
          <w:rFonts w:hint="eastAsia" w:cs="Times New Roman" w:asciiTheme="minorEastAsia" w:hAnsiTheme="minorEastAsia"/>
          <w:color w:val="000000"/>
          <w:sz w:val="24"/>
          <w:szCs w:val="24"/>
          <w:lang w:eastAsia="zh-CN"/>
        </w:rPr>
        <w:t>在充分保障股东利益的前提下，按照收益与贡献对等的原则，根据《中华人民共和国公司法》（以下简称</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《公司法》</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）、《中华人民共和国证券法》（以下简称</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《证券法》</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）、《上市公司股权激励管理办法》（以下简称</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《管理办法》</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）等有关法律、行政法规、规范性文件以及《公司章程》的规定，制定公司</w:t>
      </w:r>
      <w:r>
        <w:rPr>
          <w:rFonts w:ascii="Times New Roman" w:hAnsi="Times New Roman" w:cs="Times New Roman"/>
          <w:color w:val="000000"/>
          <w:sz w:val="24"/>
          <w:szCs w:val="24"/>
          <w:lang w:eastAsia="zh-CN"/>
        </w:rPr>
        <w:t>2021</w:t>
      </w:r>
      <w:r>
        <w:rPr>
          <w:rFonts w:hint="eastAsia" w:cs="Times New Roman" w:asciiTheme="minorEastAsia" w:hAnsiTheme="minorEastAsia"/>
          <w:color w:val="000000"/>
          <w:sz w:val="24"/>
          <w:szCs w:val="24"/>
          <w:lang w:eastAsia="zh-CN"/>
        </w:rPr>
        <w:t>年股票期权激励计划（以下简称</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本激励计划</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或</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本计划</w:t>
      </w:r>
      <w:r>
        <w:rPr>
          <w:rFonts w:cs="Times New Roman" w:asciiTheme="minorEastAsia" w:hAnsiTheme="minorEastAsia"/>
          <w:color w:val="000000"/>
          <w:sz w:val="24"/>
          <w:szCs w:val="24"/>
          <w:lang w:eastAsia="zh-CN"/>
        </w:rPr>
        <w:t>”</w:t>
      </w:r>
      <w:r>
        <w:rPr>
          <w:rFonts w:hint="eastAsia" w:cs="Times New Roman" w:asciiTheme="minorEastAsia" w:hAnsiTheme="minorEastAsia"/>
          <w:color w:val="000000"/>
          <w:sz w:val="24"/>
          <w:szCs w:val="24"/>
          <w:lang w:eastAsia="zh-CN"/>
        </w:rPr>
        <w:t>）。</w:t>
      </w:r>
    </w:p>
    <w:p>
      <w:pPr>
        <w:pStyle w:val="16"/>
        <w:spacing w:before="0" w:after="0"/>
        <w:ind w:firstLine="480" w:firstLineChars="200"/>
        <w:rPr>
          <w:rFonts w:cs="Times New Roman" w:asciiTheme="minorEastAsia" w:hAnsiTheme="minorEastAsia"/>
          <w:color w:val="000000"/>
          <w:sz w:val="24"/>
          <w:szCs w:val="24"/>
          <w:lang w:eastAsia="zh-C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三、股权激励方式及标的股票来源</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（一）股权激励方式</w:t>
      </w:r>
    </w:p>
    <w:p>
      <w:pPr>
        <w:ind w:firstLine="480" w:firstLineChars="200"/>
        <w:rPr>
          <w:rFonts w:cs="Times New Roman"/>
          <w:color w:val="000000"/>
          <w:kern w:val="0"/>
        </w:rPr>
      </w:pPr>
      <w:r>
        <w:rPr>
          <w:rFonts w:hint="eastAsia" w:cs="Times New Roman"/>
          <w:color w:val="000000"/>
          <w:kern w:val="0"/>
        </w:rPr>
        <w:t>本激励计划的激励方式为股票期权。</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（二）标的股票来源</w:t>
      </w:r>
    </w:p>
    <w:p>
      <w:pPr>
        <w:ind w:firstLine="480" w:firstLineChars="200"/>
        <w:rPr>
          <w:rFonts w:cs="Times New Roman"/>
          <w:color w:val="000000"/>
          <w:kern w:val="0"/>
        </w:rPr>
      </w:pPr>
      <w:r>
        <w:rPr>
          <w:rFonts w:hint="eastAsia" w:cs="Times New Roman"/>
          <w:color w:val="000000"/>
          <w:kern w:val="0"/>
        </w:rPr>
        <w:t>本激励计划的股票来源为公司向激励对象定向发行的本公司</w:t>
      </w:r>
      <w:r>
        <w:rPr>
          <w:rFonts w:eastAsiaTheme="minorEastAsia"/>
        </w:rPr>
        <w:t>人民币</w:t>
      </w:r>
      <w:r>
        <w:rPr>
          <w:rFonts w:cs="Times New Roman"/>
          <w:color w:val="000000"/>
          <w:kern w:val="0"/>
        </w:rPr>
        <w:t>A股普通股股票。</w:t>
      </w:r>
    </w:p>
    <w:p>
      <w:pPr>
        <w:ind w:firstLine="480" w:firstLineChars="200"/>
        <w:rPr>
          <w:rFonts w:cs="Times New Roman"/>
          <w:color w:val="000000"/>
          <w:kern w:val="0"/>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四、拟授出的权益数量</w:t>
      </w:r>
    </w:p>
    <w:p>
      <w:pPr>
        <w:ind w:firstLine="480" w:firstLineChars="200"/>
        <w:rPr>
          <w:rFonts w:cs="Times New Roman"/>
        </w:rPr>
      </w:pPr>
      <w:r>
        <w:rPr>
          <w:rFonts w:hint="eastAsia" w:cs="Times New Roman"/>
        </w:rPr>
        <w:t>本激励计划拟授予激励对象的股票期权数量为</w:t>
      </w:r>
      <w:r>
        <w:rPr>
          <w:rFonts w:cs="Times New Roman"/>
        </w:rPr>
        <w:t>700.00</w:t>
      </w:r>
      <w:r>
        <w:rPr>
          <w:rFonts w:hint="eastAsia" w:cs="Times New Roman"/>
        </w:rPr>
        <w:t>万份，约占本激励计划草案公告日公司股本总额</w:t>
      </w:r>
      <w:r>
        <w:rPr>
          <w:rFonts w:cs="Times New Roman"/>
        </w:rPr>
        <w:t>23172.2033</w:t>
      </w:r>
      <w:r>
        <w:rPr>
          <w:rFonts w:hint="eastAsia" w:cs="Times New Roman"/>
        </w:rPr>
        <w:t>万股的</w:t>
      </w:r>
      <w:r>
        <w:rPr>
          <w:rFonts w:cs="Times New Roman"/>
        </w:rPr>
        <w:t>3.02</w:t>
      </w:r>
      <w:r>
        <w:rPr>
          <w:rFonts w:hint="eastAsia" w:cs="Times New Roman"/>
        </w:rPr>
        <w:t>%。本次授予为一次性授予，无预留权益。本计划下授予的每份股票期权拥有在满足生效条件和生效安排的情况下，在可行权期内以行权价格购买1股本公司人民币A股普通股股票的权利。</w:t>
      </w:r>
    </w:p>
    <w:p>
      <w:pPr>
        <w:ind w:firstLine="480" w:firstLineChars="200"/>
        <w:rPr>
          <w:rFonts w:cs="Times New Roman"/>
        </w:rPr>
      </w:pPr>
      <w:r>
        <w:rPr>
          <w:rFonts w:hint="eastAsia" w:cs="Times New Roman"/>
        </w:rPr>
        <w:t>截至本激励计划草案公告日，公司全部有效期内股权激励计划所涉及的标的股票总数累计未超过公司股本总额的10.00%。本激励计划中任何一名激励对象通过全部有效期内的股权激励计划获授的公司股票数量累计未超过公司股本总额的1.00%。</w:t>
      </w:r>
    </w:p>
    <w:p>
      <w:pPr>
        <w:ind w:firstLine="480" w:firstLineChars="200"/>
        <w:rPr>
          <w:rFonts w:cs="Times New Roma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五、激励对象的范围及各自所获授的权益数量</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（一）激励对象的确定依据</w:t>
      </w:r>
    </w:p>
    <w:p>
      <w:pPr>
        <w:ind w:firstLine="480" w:firstLineChars="200"/>
        <w:rPr>
          <w:rFonts w:cs="Times New Roman"/>
        </w:rPr>
      </w:pPr>
      <w:r>
        <w:rPr>
          <w:rFonts w:cs="Times New Roman"/>
        </w:rPr>
        <w:t>1</w:t>
      </w:r>
      <w:r>
        <w:rPr>
          <w:rFonts w:hint="eastAsia" w:cs="Times New Roman"/>
        </w:rPr>
        <w:t>、激励对象确定的法律依据</w:t>
      </w:r>
    </w:p>
    <w:p>
      <w:pPr>
        <w:ind w:firstLine="480" w:firstLineChars="200"/>
        <w:rPr>
          <w:rFonts w:cs="Times New Roman"/>
          <w:color w:val="000000"/>
          <w:kern w:val="0"/>
        </w:rPr>
      </w:pPr>
      <w:r>
        <w:rPr>
          <w:rFonts w:hint="eastAsia" w:cs="Times New Roman"/>
          <w:color w:val="000000"/>
          <w:kern w:val="0"/>
        </w:rPr>
        <w:t>本激励计划激励对象根据《公司法》《证券法》《管理办法》等有关法律、行政法规、规范性文件和《公司章程》的相关规定，结合公司实际情况而确定。</w:t>
      </w:r>
    </w:p>
    <w:p>
      <w:pPr>
        <w:ind w:firstLine="480" w:firstLineChars="200"/>
        <w:rPr>
          <w:rFonts w:cs="Times New Roman"/>
        </w:rPr>
      </w:pPr>
      <w:r>
        <w:rPr>
          <w:rFonts w:cs="Times New Roman"/>
        </w:rPr>
        <w:t>2</w:t>
      </w:r>
      <w:r>
        <w:rPr>
          <w:rFonts w:hint="eastAsia" w:cs="Times New Roman"/>
        </w:rPr>
        <w:t>、激励对象确定的职务依据</w:t>
      </w:r>
    </w:p>
    <w:p>
      <w:pPr>
        <w:ind w:firstLine="480" w:firstLineChars="200"/>
        <w:rPr>
          <w:rFonts w:cs="Times New Roman"/>
          <w:color w:val="000000"/>
          <w:kern w:val="0"/>
        </w:rPr>
      </w:pPr>
      <w:r>
        <w:rPr>
          <w:rFonts w:hint="eastAsia" w:cs="Times New Roman"/>
          <w:color w:val="000000"/>
          <w:kern w:val="0"/>
        </w:rPr>
        <w:t>本激励计划的激励对象为</w:t>
      </w:r>
      <w:r>
        <w:rPr>
          <w:rFonts w:hAnsiTheme="minorEastAsia" w:eastAsiaTheme="minorEastAsia"/>
        </w:rPr>
        <w:t>公司（含子公司，下同）任职的董事、高级管理人员、</w:t>
      </w:r>
      <w:r>
        <w:rPr>
          <w:rFonts w:hint="eastAsia" w:hAnsiTheme="minorEastAsia" w:eastAsiaTheme="minorEastAsia"/>
        </w:rPr>
        <w:t>核心业务（技术）人员</w:t>
      </w:r>
      <w:r>
        <w:rPr>
          <w:rFonts w:hAnsiTheme="minorEastAsia" w:eastAsiaTheme="minorEastAsia"/>
        </w:rPr>
        <w:t>/</w:t>
      </w:r>
      <w:r>
        <w:rPr>
          <w:rFonts w:hint="eastAsia" w:hAnsiTheme="minorEastAsia" w:eastAsiaTheme="minorEastAsia"/>
        </w:rPr>
        <w:t>管理人员</w:t>
      </w:r>
      <w:r>
        <w:rPr>
          <w:rFonts w:hint="eastAsia" w:cs="Times New Roman"/>
          <w:color w:val="000000"/>
          <w:kern w:val="0"/>
        </w:rPr>
        <w:t>（不含格尔软件独立董事、监事、单独或合计持股5%以上的股东或实际控制人及其配偶、父母、子女）</w:t>
      </w:r>
      <w:r>
        <w:rPr>
          <w:rFonts w:cs="Times New Roman"/>
          <w:color w:val="000000"/>
          <w:kern w:val="0"/>
        </w:rPr>
        <w:t>。对符合本激励计划的激励对象范围的人员，由公司董事会薪酬与考核委员会</w:t>
      </w:r>
      <w:r>
        <w:rPr>
          <w:rFonts w:hint="eastAsia" w:cs="Times New Roman"/>
          <w:color w:val="000000"/>
          <w:kern w:val="0"/>
        </w:rPr>
        <w:t>（以下简称“薪酬委员会”）</w:t>
      </w:r>
      <w:r>
        <w:rPr>
          <w:rFonts w:cs="Times New Roman"/>
          <w:color w:val="000000"/>
          <w:kern w:val="0"/>
        </w:rPr>
        <w:t>拟定名单，并经公司监事会核实确定</w:t>
      </w:r>
      <w:r>
        <w:rPr>
          <w:rFonts w:hint="eastAsia" w:cs="Times New Roman"/>
          <w:color w:val="000000"/>
          <w:kern w:val="0"/>
        </w:rPr>
        <w:t>。</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（二）激励对象的人数</w:t>
      </w:r>
    </w:p>
    <w:p>
      <w:pPr>
        <w:ind w:firstLine="480" w:firstLineChars="200"/>
        <w:rPr>
          <w:rFonts w:cs="Times New Roman"/>
          <w:color w:val="000000"/>
          <w:kern w:val="0"/>
        </w:rPr>
      </w:pPr>
      <w:r>
        <w:rPr>
          <w:rFonts w:hint="eastAsia" w:cs="Times New Roman"/>
          <w:color w:val="000000"/>
          <w:kern w:val="0"/>
        </w:rPr>
        <w:t>本激励计划涉及的激励对象共计</w:t>
      </w:r>
      <w:r>
        <w:rPr>
          <w:rFonts w:cs="Times New Roman"/>
          <w:color w:val="000000"/>
          <w:kern w:val="0"/>
        </w:rPr>
        <w:t>163</w:t>
      </w:r>
      <w:r>
        <w:rPr>
          <w:rFonts w:hint="eastAsia" w:cs="Times New Roman"/>
          <w:color w:val="000000"/>
          <w:kern w:val="0"/>
        </w:rPr>
        <w:t>人</w:t>
      </w:r>
      <w:r>
        <w:rPr>
          <w:rFonts w:cs="Times New Roman"/>
          <w:color w:val="000000"/>
          <w:kern w:val="0"/>
        </w:rPr>
        <w:t>，激励对象占公司截至2020</w:t>
      </w:r>
      <w:r>
        <w:rPr>
          <w:rFonts w:hint="eastAsia" w:cs="Times New Roman"/>
          <w:color w:val="000000"/>
          <w:kern w:val="0"/>
        </w:rPr>
        <w:t>年</w:t>
      </w:r>
      <w:r>
        <w:rPr>
          <w:rFonts w:cs="Times New Roman"/>
          <w:color w:val="000000"/>
          <w:kern w:val="0"/>
        </w:rPr>
        <w:t>12</w:t>
      </w:r>
      <w:r>
        <w:rPr>
          <w:rFonts w:hint="eastAsia" w:cs="Times New Roman"/>
          <w:color w:val="000000"/>
          <w:kern w:val="0"/>
        </w:rPr>
        <w:t>月</w:t>
      </w:r>
      <w:r>
        <w:rPr>
          <w:rFonts w:cs="Times New Roman"/>
          <w:color w:val="000000"/>
          <w:kern w:val="0"/>
        </w:rPr>
        <w:t>31</w:t>
      </w:r>
      <w:r>
        <w:rPr>
          <w:rFonts w:hint="eastAsia" w:cs="Times New Roman"/>
          <w:color w:val="000000"/>
          <w:kern w:val="0"/>
        </w:rPr>
        <w:t>日员工总人数</w:t>
      </w:r>
      <w:r>
        <w:rPr>
          <w:rFonts w:cs="Times New Roman"/>
          <w:color w:val="000000"/>
          <w:kern w:val="0"/>
        </w:rPr>
        <w:t>730</w:t>
      </w:r>
      <w:r>
        <w:rPr>
          <w:rFonts w:hint="eastAsia" w:cs="Times New Roman"/>
          <w:color w:val="000000"/>
          <w:kern w:val="0"/>
        </w:rPr>
        <w:t>人的比例为</w:t>
      </w:r>
      <w:r>
        <w:rPr>
          <w:rFonts w:cs="Times New Roman"/>
          <w:color w:val="000000"/>
          <w:kern w:val="0"/>
        </w:rPr>
        <w:t>22.33%</w:t>
      </w:r>
      <w:r>
        <w:rPr>
          <w:rFonts w:hint="eastAsia" w:cs="Times New Roman"/>
          <w:color w:val="000000"/>
          <w:kern w:val="0"/>
        </w:rPr>
        <w:t>。</w:t>
      </w:r>
    </w:p>
    <w:p>
      <w:pPr>
        <w:ind w:firstLine="480" w:firstLineChars="200"/>
        <w:rPr>
          <w:rFonts w:cs="Times New Roman"/>
          <w:color w:val="000000"/>
          <w:kern w:val="0"/>
        </w:rPr>
      </w:pPr>
      <w:r>
        <w:rPr>
          <w:rFonts w:cs="Times New Roman"/>
          <w:color w:val="000000"/>
          <w:kern w:val="0"/>
        </w:rPr>
        <w:t>以上激励对象中，公司董事和高级管理人员必须经公司股东大会选举或公司董事会聘任。所有激励对象必须在本激励计划的考核期内与公司或子公司签署劳动合同或聘用合同。</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（三）激励对象名单及拟授出权益分配情况</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2185"/>
        <w:gridCol w:w="1891"/>
        <w:gridCol w:w="1564"/>
        <w:gridCol w:w="1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80"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adjustRightInd w:val="0"/>
              <w:snapToGrid w:val="0"/>
              <w:spacing w:line="240" w:lineRule="auto"/>
              <w:jc w:val="center"/>
              <w:rPr>
                <w:rFonts w:ascii="宋体" w:hAnsi="宋体"/>
                <w:b/>
                <w:sz w:val="21"/>
                <w:szCs w:val="21"/>
              </w:rPr>
            </w:pPr>
            <w:r>
              <w:rPr>
                <w:rFonts w:hint="eastAsia" w:ascii="宋体" w:hAnsi="宋体"/>
                <w:b/>
                <w:sz w:val="21"/>
                <w:szCs w:val="21"/>
              </w:rPr>
              <w:t>姓名</w:t>
            </w:r>
          </w:p>
        </w:tc>
        <w:tc>
          <w:tcPr>
            <w:tcW w:w="1281"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adjustRightInd w:val="0"/>
              <w:snapToGrid w:val="0"/>
              <w:spacing w:line="240" w:lineRule="auto"/>
              <w:jc w:val="center"/>
              <w:rPr>
                <w:rFonts w:ascii="宋体" w:hAnsi="宋体"/>
                <w:b/>
                <w:sz w:val="21"/>
                <w:szCs w:val="21"/>
              </w:rPr>
            </w:pPr>
            <w:r>
              <w:rPr>
                <w:rFonts w:hint="eastAsia" w:ascii="宋体" w:hAnsi="宋体"/>
                <w:b/>
                <w:sz w:val="21"/>
                <w:szCs w:val="21"/>
              </w:rPr>
              <w:t>职务</w:t>
            </w:r>
          </w:p>
        </w:tc>
        <w:tc>
          <w:tcPr>
            <w:tcW w:w="1109"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adjustRightInd w:val="0"/>
              <w:snapToGrid w:val="0"/>
              <w:spacing w:line="240" w:lineRule="auto"/>
              <w:jc w:val="center"/>
              <w:rPr>
                <w:rFonts w:ascii="宋体" w:hAnsi="宋体"/>
                <w:b/>
                <w:sz w:val="21"/>
                <w:szCs w:val="21"/>
              </w:rPr>
            </w:pPr>
            <w:r>
              <w:rPr>
                <w:rFonts w:hint="eastAsia" w:ascii="宋体" w:hAnsi="宋体"/>
                <w:b/>
                <w:sz w:val="21"/>
                <w:szCs w:val="21"/>
              </w:rPr>
              <w:t>获授的股票期权数量（万份）</w:t>
            </w:r>
          </w:p>
        </w:tc>
        <w:tc>
          <w:tcPr>
            <w:tcW w:w="917"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adjustRightInd w:val="0"/>
              <w:snapToGrid w:val="0"/>
              <w:spacing w:line="240" w:lineRule="auto"/>
              <w:jc w:val="center"/>
              <w:rPr>
                <w:rFonts w:ascii="宋体" w:hAnsi="宋体"/>
                <w:b/>
                <w:sz w:val="21"/>
                <w:szCs w:val="21"/>
              </w:rPr>
            </w:pPr>
            <w:r>
              <w:rPr>
                <w:b/>
                <w:sz w:val="21"/>
                <w:szCs w:val="21"/>
              </w:rPr>
              <w:t>占本激励计划授出权益数量的比例</w:t>
            </w:r>
          </w:p>
        </w:tc>
        <w:tc>
          <w:tcPr>
            <w:tcW w:w="1013"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adjustRightInd w:val="0"/>
              <w:snapToGrid w:val="0"/>
              <w:spacing w:line="240" w:lineRule="auto"/>
              <w:jc w:val="center"/>
              <w:rPr>
                <w:rFonts w:ascii="宋体" w:hAnsi="宋体"/>
                <w:b/>
                <w:sz w:val="21"/>
                <w:szCs w:val="21"/>
              </w:rPr>
            </w:pPr>
            <w:r>
              <w:rPr>
                <w:b/>
                <w:sz w:val="21"/>
                <w:szCs w:val="21"/>
              </w:rPr>
              <w:t>占本激励计划公告日股本总额比例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朱斌</w:t>
            </w:r>
          </w:p>
        </w:tc>
        <w:tc>
          <w:tcPr>
            <w:tcW w:w="1281" w:type="pct"/>
            <w:vAlign w:val="center"/>
          </w:tcPr>
          <w:p>
            <w:pPr>
              <w:adjustRightInd w:val="0"/>
              <w:snapToGrid w:val="0"/>
              <w:spacing w:line="240" w:lineRule="auto"/>
              <w:jc w:val="center"/>
              <w:rPr>
                <w:bCs/>
                <w:sz w:val="21"/>
                <w:szCs w:val="21"/>
              </w:rPr>
            </w:pPr>
            <w:r>
              <w:rPr>
                <w:rFonts w:hint="eastAsia"/>
                <w:sz w:val="21"/>
                <w:szCs w:val="21"/>
              </w:rPr>
              <w:t>董事、副总经理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30.00</w:t>
            </w:r>
          </w:p>
        </w:tc>
        <w:tc>
          <w:tcPr>
            <w:tcW w:w="917" w:type="pct"/>
            <w:vAlign w:val="center"/>
          </w:tcPr>
          <w:p>
            <w:pPr>
              <w:adjustRightInd w:val="0"/>
              <w:snapToGrid w:val="0"/>
              <w:spacing w:line="240" w:lineRule="auto"/>
              <w:jc w:val="center"/>
              <w:rPr>
                <w:rFonts w:cs="Times New Roman"/>
                <w:sz w:val="21"/>
                <w:szCs w:val="21"/>
              </w:rPr>
            </w:pPr>
            <w:r>
              <w:rPr>
                <w:sz w:val="21"/>
                <w:szCs w:val="21"/>
              </w:rPr>
              <w:t>4.29%</w:t>
            </w:r>
          </w:p>
        </w:tc>
        <w:tc>
          <w:tcPr>
            <w:tcW w:w="1013" w:type="pct"/>
            <w:vAlign w:val="center"/>
          </w:tcPr>
          <w:p>
            <w:pPr>
              <w:adjustRightInd w:val="0"/>
              <w:snapToGrid w:val="0"/>
              <w:spacing w:line="240" w:lineRule="auto"/>
              <w:jc w:val="center"/>
              <w:rPr>
                <w:rFonts w:cs="Times New Roman"/>
                <w:sz w:val="21"/>
                <w:szCs w:val="21"/>
              </w:rPr>
            </w:pPr>
            <w:r>
              <w:rPr>
                <w:sz w:val="21"/>
                <w:szCs w:val="21"/>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朱立通</w:t>
            </w:r>
          </w:p>
        </w:tc>
        <w:tc>
          <w:tcPr>
            <w:tcW w:w="1281" w:type="pct"/>
            <w:vAlign w:val="center"/>
          </w:tcPr>
          <w:p>
            <w:pPr>
              <w:adjustRightInd w:val="0"/>
              <w:snapToGrid w:val="0"/>
              <w:spacing w:line="240" w:lineRule="auto"/>
              <w:jc w:val="center"/>
              <w:rPr>
                <w:bCs/>
                <w:sz w:val="21"/>
                <w:szCs w:val="21"/>
              </w:rPr>
            </w:pPr>
            <w:r>
              <w:rPr>
                <w:rFonts w:hint="eastAsia"/>
                <w:sz w:val="21"/>
                <w:szCs w:val="21"/>
              </w:rPr>
              <w:t>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30.00</w:t>
            </w:r>
          </w:p>
        </w:tc>
        <w:tc>
          <w:tcPr>
            <w:tcW w:w="917" w:type="pct"/>
            <w:vAlign w:val="center"/>
          </w:tcPr>
          <w:p>
            <w:pPr>
              <w:adjustRightInd w:val="0"/>
              <w:snapToGrid w:val="0"/>
              <w:spacing w:line="240" w:lineRule="auto"/>
              <w:jc w:val="center"/>
              <w:rPr>
                <w:rFonts w:cs="Times New Roman"/>
                <w:sz w:val="21"/>
                <w:szCs w:val="21"/>
              </w:rPr>
            </w:pPr>
            <w:r>
              <w:rPr>
                <w:sz w:val="21"/>
                <w:szCs w:val="21"/>
              </w:rPr>
              <w:t>4.29%</w:t>
            </w:r>
          </w:p>
        </w:tc>
        <w:tc>
          <w:tcPr>
            <w:tcW w:w="1013" w:type="pct"/>
            <w:vAlign w:val="center"/>
          </w:tcPr>
          <w:p>
            <w:pPr>
              <w:adjustRightInd w:val="0"/>
              <w:snapToGrid w:val="0"/>
              <w:spacing w:line="240" w:lineRule="auto"/>
              <w:jc w:val="center"/>
              <w:rPr>
                <w:rFonts w:cs="Times New Roman"/>
                <w:sz w:val="21"/>
                <w:szCs w:val="21"/>
              </w:rPr>
            </w:pPr>
            <w:r>
              <w:rPr>
                <w:sz w:val="21"/>
                <w:szCs w:val="21"/>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叶枫</w:t>
            </w:r>
          </w:p>
        </w:tc>
        <w:tc>
          <w:tcPr>
            <w:tcW w:w="1281" w:type="pct"/>
            <w:vAlign w:val="center"/>
          </w:tcPr>
          <w:p>
            <w:pPr>
              <w:adjustRightInd w:val="0"/>
              <w:snapToGrid w:val="0"/>
              <w:spacing w:line="240" w:lineRule="auto"/>
              <w:jc w:val="center"/>
              <w:rPr>
                <w:bCs/>
                <w:sz w:val="21"/>
                <w:szCs w:val="21"/>
              </w:rPr>
            </w:pPr>
            <w:r>
              <w:rPr>
                <w:rFonts w:hint="eastAsia"/>
                <w:sz w:val="21"/>
                <w:szCs w:val="21"/>
              </w:rPr>
              <w:t>董事、副总经理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24.00</w:t>
            </w:r>
          </w:p>
        </w:tc>
        <w:tc>
          <w:tcPr>
            <w:tcW w:w="917" w:type="pct"/>
            <w:vAlign w:val="center"/>
          </w:tcPr>
          <w:p>
            <w:pPr>
              <w:adjustRightInd w:val="0"/>
              <w:snapToGrid w:val="0"/>
              <w:spacing w:line="240" w:lineRule="auto"/>
              <w:jc w:val="center"/>
              <w:rPr>
                <w:rFonts w:cs="Times New Roman"/>
                <w:sz w:val="21"/>
                <w:szCs w:val="21"/>
              </w:rPr>
            </w:pPr>
            <w:r>
              <w:rPr>
                <w:sz w:val="21"/>
                <w:szCs w:val="21"/>
              </w:rPr>
              <w:t>3.43%</w:t>
            </w:r>
          </w:p>
        </w:tc>
        <w:tc>
          <w:tcPr>
            <w:tcW w:w="1013" w:type="pct"/>
            <w:vAlign w:val="center"/>
          </w:tcPr>
          <w:p>
            <w:pPr>
              <w:adjustRightInd w:val="0"/>
              <w:snapToGrid w:val="0"/>
              <w:spacing w:line="240" w:lineRule="auto"/>
              <w:jc w:val="center"/>
              <w:rPr>
                <w:rFonts w:cs="Times New Roman"/>
                <w:sz w:val="21"/>
                <w:szCs w:val="21"/>
              </w:rPr>
            </w:pPr>
            <w:r>
              <w:rPr>
                <w:sz w:val="21"/>
                <w:szCs w:val="21"/>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顾峰</w:t>
            </w:r>
          </w:p>
        </w:tc>
        <w:tc>
          <w:tcPr>
            <w:tcW w:w="1281" w:type="pct"/>
            <w:vAlign w:val="center"/>
          </w:tcPr>
          <w:p>
            <w:pPr>
              <w:adjustRightInd w:val="0"/>
              <w:snapToGrid w:val="0"/>
              <w:spacing w:line="240" w:lineRule="auto"/>
              <w:jc w:val="center"/>
              <w:rPr>
                <w:bCs/>
                <w:sz w:val="21"/>
                <w:szCs w:val="21"/>
              </w:rPr>
            </w:pPr>
            <w:r>
              <w:rPr>
                <w:rFonts w:hint="eastAsia"/>
                <w:sz w:val="21"/>
                <w:szCs w:val="21"/>
              </w:rPr>
              <w:t>董事会秘书、财务总监</w:t>
            </w:r>
          </w:p>
        </w:tc>
        <w:tc>
          <w:tcPr>
            <w:tcW w:w="1109" w:type="pct"/>
            <w:vAlign w:val="center"/>
          </w:tcPr>
          <w:p>
            <w:pPr>
              <w:adjustRightInd w:val="0"/>
              <w:snapToGrid w:val="0"/>
              <w:spacing w:line="240" w:lineRule="auto"/>
              <w:jc w:val="center"/>
              <w:rPr>
                <w:rFonts w:cs="Times New Roman"/>
                <w:sz w:val="21"/>
                <w:szCs w:val="21"/>
              </w:rPr>
            </w:pPr>
            <w:r>
              <w:rPr>
                <w:sz w:val="21"/>
                <w:szCs w:val="21"/>
              </w:rPr>
              <w:t>18.00</w:t>
            </w:r>
          </w:p>
        </w:tc>
        <w:tc>
          <w:tcPr>
            <w:tcW w:w="917" w:type="pct"/>
            <w:vAlign w:val="center"/>
          </w:tcPr>
          <w:p>
            <w:pPr>
              <w:adjustRightInd w:val="0"/>
              <w:snapToGrid w:val="0"/>
              <w:spacing w:line="240" w:lineRule="auto"/>
              <w:jc w:val="center"/>
              <w:rPr>
                <w:rFonts w:cs="Times New Roman"/>
                <w:sz w:val="21"/>
                <w:szCs w:val="21"/>
              </w:rPr>
            </w:pPr>
            <w:r>
              <w:rPr>
                <w:sz w:val="21"/>
                <w:szCs w:val="21"/>
              </w:rPr>
              <w:t>2.57%</w:t>
            </w:r>
          </w:p>
        </w:tc>
        <w:tc>
          <w:tcPr>
            <w:tcW w:w="1013" w:type="pct"/>
            <w:vAlign w:val="center"/>
          </w:tcPr>
          <w:p>
            <w:pPr>
              <w:adjustRightInd w:val="0"/>
              <w:snapToGrid w:val="0"/>
              <w:spacing w:line="240" w:lineRule="auto"/>
              <w:jc w:val="center"/>
              <w:rPr>
                <w:rFonts w:cs="Times New Roman"/>
                <w:sz w:val="21"/>
                <w:szCs w:val="21"/>
              </w:rPr>
            </w:pPr>
            <w:r>
              <w:rPr>
                <w:sz w:val="21"/>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李祥明</w:t>
            </w:r>
          </w:p>
        </w:tc>
        <w:tc>
          <w:tcPr>
            <w:tcW w:w="1281" w:type="pct"/>
            <w:vAlign w:val="center"/>
          </w:tcPr>
          <w:p>
            <w:pPr>
              <w:adjustRightInd w:val="0"/>
              <w:snapToGrid w:val="0"/>
              <w:spacing w:line="240" w:lineRule="auto"/>
              <w:jc w:val="center"/>
              <w:rPr>
                <w:bCs/>
                <w:sz w:val="21"/>
                <w:szCs w:val="21"/>
              </w:rPr>
            </w:pPr>
            <w:r>
              <w:rPr>
                <w:rFonts w:hint="eastAsia"/>
                <w:sz w:val="21"/>
                <w:szCs w:val="21"/>
              </w:rPr>
              <w:t>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13.80</w:t>
            </w:r>
          </w:p>
        </w:tc>
        <w:tc>
          <w:tcPr>
            <w:tcW w:w="917" w:type="pct"/>
            <w:vAlign w:val="center"/>
          </w:tcPr>
          <w:p>
            <w:pPr>
              <w:adjustRightInd w:val="0"/>
              <w:snapToGrid w:val="0"/>
              <w:spacing w:line="240" w:lineRule="auto"/>
              <w:jc w:val="center"/>
              <w:rPr>
                <w:rFonts w:cs="Times New Roman"/>
                <w:sz w:val="21"/>
                <w:szCs w:val="21"/>
              </w:rPr>
            </w:pPr>
            <w:r>
              <w:rPr>
                <w:sz w:val="21"/>
                <w:szCs w:val="21"/>
              </w:rPr>
              <w:t>1.97%</w:t>
            </w:r>
          </w:p>
        </w:tc>
        <w:tc>
          <w:tcPr>
            <w:tcW w:w="1013" w:type="pct"/>
            <w:vAlign w:val="center"/>
          </w:tcPr>
          <w:p>
            <w:pPr>
              <w:adjustRightInd w:val="0"/>
              <w:snapToGrid w:val="0"/>
              <w:spacing w:line="240" w:lineRule="auto"/>
              <w:jc w:val="center"/>
              <w:rPr>
                <w:rFonts w:cs="Times New Roman"/>
                <w:sz w:val="21"/>
                <w:szCs w:val="21"/>
              </w:rPr>
            </w:pPr>
            <w:r>
              <w:rPr>
                <w:sz w:val="21"/>
                <w:szCs w:val="21"/>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范峰</w:t>
            </w:r>
          </w:p>
        </w:tc>
        <w:tc>
          <w:tcPr>
            <w:tcW w:w="1281" w:type="pct"/>
            <w:vAlign w:val="center"/>
          </w:tcPr>
          <w:p>
            <w:pPr>
              <w:adjustRightInd w:val="0"/>
              <w:snapToGrid w:val="0"/>
              <w:spacing w:line="240" w:lineRule="auto"/>
              <w:jc w:val="center"/>
              <w:rPr>
                <w:bCs/>
                <w:sz w:val="21"/>
                <w:szCs w:val="21"/>
              </w:rPr>
            </w:pPr>
            <w:r>
              <w:rPr>
                <w:rFonts w:hint="eastAsia"/>
                <w:sz w:val="21"/>
                <w:szCs w:val="21"/>
              </w:rPr>
              <w:t>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8.40</w:t>
            </w:r>
          </w:p>
        </w:tc>
        <w:tc>
          <w:tcPr>
            <w:tcW w:w="917" w:type="pct"/>
            <w:vAlign w:val="center"/>
          </w:tcPr>
          <w:p>
            <w:pPr>
              <w:adjustRightInd w:val="0"/>
              <w:snapToGrid w:val="0"/>
              <w:spacing w:line="240" w:lineRule="auto"/>
              <w:jc w:val="center"/>
              <w:rPr>
                <w:rFonts w:cs="Times New Roman"/>
                <w:sz w:val="21"/>
                <w:szCs w:val="21"/>
              </w:rPr>
            </w:pPr>
            <w:r>
              <w:rPr>
                <w:sz w:val="21"/>
                <w:szCs w:val="21"/>
              </w:rPr>
              <w:t>1.20%</w:t>
            </w:r>
          </w:p>
        </w:tc>
        <w:tc>
          <w:tcPr>
            <w:tcW w:w="1013" w:type="pct"/>
            <w:vAlign w:val="center"/>
          </w:tcPr>
          <w:p>
            <w:pPr>
              <w:adjustRightInd w:val="0"/>
              <w:snapToGrid w:val="0"/>
              <w:spacing w:line="240" w:lineRule="auto"/>
              <w:jc w:val="center"/>
              <w:rPr>
                <w:rFonts w:cs="Times New Roman"/>
                <w:sz w:val="21"/>
                <w:szCs w:val="21"/>
              </w:rPr>
            </w:pPr>
            <w:r>
              <w:rPr>
                <w:sz w:val="21"/>
                <w:szCs w:val="21"/>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pct"/>
            <w:vAlign w:val="center"/>
          </w:tcPr>
          <w:p>
            <w:pPr>
              <w:adjustRightInd w:val="0"/>
              <w:snapToGrid w:val="0"/>
              <w:spacing w:line="240" w:lineRule="auto"/>
              <w:jc w:val="center"/>
              <w:rPr>
                <w:sz w:val="21"/>
                <w:szCs w:val="21"/>
              </w:rPr>
            </w:pPr>
            <w:r>
              <w:rPr>
                <w:rFonts w:hint="eastAsia"/>
                <w:sz w:val="21"/>
                <w:szCs w:val="21"/>
              </w:rPr>
              <w:t>卫杰</w:t>
            </w:r>
          </w:p>
        </w:tc>
        <w:tc>
          <w:tcPr>
            <w:tcW w:w="1281" w:type="pct"/>
            <w:vAlign w:val="center"/>
          </w:tcPr>
          <w:p>
            <w:pPr>
              <w:adjustRightInd w:val="0"/>
              <w:snapToGrid w:val="0"/>
              <w:spacing w:line="240" w:lineRule="auto"/>
              <w:jc w:val="center"/>
              <w:rPr>
                <w:bCs/>
                <w:sz w:val="21"/>
                <w:szCs w:val="21"/>
              </w:rPr>
            </w:pPr>
            <w:r>
              <w:rPr>
                <w:rFonts w:hint="eastAsia"/>
                <w:sz w:val="21"/>
                <w:szCs w:val="21"/>
              </w:rPr>
              <w:t>副总经理</w:t>
            </w:r>
          </w:p>
        </w:tc>
        <w:tc>
          <w:tcPr>
            <w:tcW w:w="1109" w:type="pct"/>
            <w:vAlign w:val="center"/>
          </w:tcPr>
          <w:p>
            <w:pPr>
              <w:adjustRightInd w:val="0"/>
              <w:snapToGrid w:val="0"/>
              <w:spacing w:line="240" w:lineRule="auto"/>
              <w:jc w:val="center"/>
              <w:rPr>
                <w:rFonts w:cs="Times New Roman"/>
                <w:sz w:val="21"/>
                <w:szCs w:val="21"/>
              </w:rPr>
            </w:pPr>
            <w:r>
              <w:rPr>
                <w:sz w:val="21"/>
                <w:szCs w:val="21"/>
              </w:rPr>
              <w:t>7.20</w:t>
            </w:r>
          </w:p>
        </w:tc>
        <w:tc>
          <w:tcPr>
            <w:tcW w:w="917" w:type="pct"/>
            <w:vAlign w:val="center"/>
          </w:tcPr>
          <w:p>
            <w:pPr>
              <w:adjustRightInd w:val="0"/>
              <w:snapToGrid w:val="0"/>
              <w:spacing w:line="240" w:lineRule="auto"/>
              <w:jc w:val="center"/>
              <w:rPr>
                <w:rFonts w:cs="Times New Roman"/>
                <w:sz w:val="21"/>
                <w:szCs w:val="21"/>
              </w:rPr>
            </w:pPr>
            <w:r>
              <w:rPr>
                <w:sz w:val="21"/>
                <w:szCs w:val="21"/>
              </w:rPr>
              <w:t>1.03%</w:t>
            </w:r>
          </w:p>
        </w:tc>
        <w:tc>
          <w:tcPr>
            <w:tcW w:w="1013" w:type="pct"/>
            <w:vAlign w:val="center"/>
          </w:tcPr>
          <w:p>
            <w:pPr>
              <w:adjustRightInd w:val="0"/>
              <w:snapToGrid w:val="0"/>
              <w:spacing w:line="240" w:lineRule="auto"/>
              <w:jc w:val="center"/>
              <w:rPr>
                <w:rFonts w:cs="Times New Roman"/>
                <w:sz w:val="21"/>
                <w:szCs w:val="21"/>
              </w:rPr>
            </w:pPr>
            <w:r>
              <w:rPr>
                <w:sz w:val="21"/>
                <w:szCs w:val="21"/>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961" w:type="pct"/>
            <w:gridSpan w:val="2"/>
            <w:vAlign w:val="center"/>
          </w:tcPr>
          <w:p>
            <w:pPr>
              <w:adjustRightInd w:val="0"/>
              <w:snapToGrid w:val="0"/>
              <w:spacing w:line="240" w:lineRule="auto"/>
              <w:jc w:val="center"/>
              <w:rPr>
                <w:sz w:val="21"/>
                <w:szCs w:val="21"/>
              </w:rPr>
            </w:pPr>
            <w:r>
              <w:rPr>
                <w:rFonts w:hint="eastAsia"/>
                <w:sz w:val="21"/>
                <w:szCs w:val="21"/>
              </w:rPr>
              <w:t>核心业务（技术）人员</w:t>
            </w:r>
            <w:r>
              <w:rPr>
                <w:sz w:val="21"/>
                <w:szCs w:val="21"/>
              </w:rPr>
              <w:t>/</w:t>
            </w:r>
            <w:r>
              <w:rPr>
                <w:rFonts w:hint="eastAsia"/>
                <w:sz w:val="21"/>
                <w:szCs w:val="21"/>
              </w:rPr>
              <w:t>管理人员（</w:t>
            </w:r>
            <w:r>
              <w:rPr>
                <w:sz w:val="21"/>
                <w:szCs w:val="21"/>
              </w:rPr>
              <w:t>156</w:t>
            </w:r>
            <w:r>
              <w:rPr>
                <w:rFonts w:hint="eastAsia"/>
                <w:sz w:val="21"/>
                <w:szCs w:val="21"/>
              </w:rPr>
              <w:t>人）</w:t>
            </w:r>
          </w:p>
        </w:tc>
        <w:tc>
          <w:tcPr>
            <w:tcW w:w="1109" w:type="pct"/>
            <w:vAlign w:val="center"/>
          </w:tcPr>
          <w:p>
            <w:pPr>
              <w:adjustRightInd w:val="0"/>
              <w:snapToGrid w:val="0"/>
              <w:spacing w:line="240" w:lineRule="auto"/>
              <w:jc w:val="center"/>
              <w:rPr>
                <w:rFonts w:cs="Times New Roman"/>
                <w:sz w:val="21"/>
                <w:szCs w:val="21"/>
              </w:rPr>
            </w:pPr>
            <w:r>
              <w:rPr>
                <w:color w:val="000000"/>
                <w:kern w:val="0"/>
                <w:sz w:val="21"/>
                <w:szCs w:val="21"/>
                <w:lang w:bidi="ar"/>
              </w:rPr>
              <w:t>56</w:t>
            </w:r>
            <w:r>
              <w:rPr>
                <w:rFonts w:hint="eastAsia"/>
                <w:color w:val="000000"/>
                <w:kern w:val="0"/>
                <w:sz w:val="21"/>
                <w:szCs w:val="21"/>
                <w:lang w:bidi="ar"/>
              </w:rPr>
              <w:t>8</w:t>
            </w:r>
            <w:r>
              <w:rPr>
                <w:color w:val="000000"/>
                <w:kern w:val="0"/>
                <w:sz w:val="21"/>
                <w:szCs w:val="21"/>
                <w:lang w:bidi="ar"/>
              </w:rPr>
              <w:t>.</w:t>
            </w:r>
            <w:r>
              <w:rPr>
                <w:rFonts w:hint="eastAsia"/>
                <w:color w:val="000000"/>
                <w:kern w:val="0"/>
                <w:sz w:val="21"/>
                <w:szCs w:val="21"/>
                <w:lang w:bidi="ar"/>
              </w:rPr>
              <w:t>6</w:t>
            </w:r>
            <w:r>
              <w:rPr>
                <w:color w:val="000000"/>
                <w:kern w:val="0"/>
                <w:sz w:val="21"/>
                <w:szCs w:val="21"/>
                <w:lang w:bidi="ar"/>
              </w:rPr>
              <w:t>0</w:t>
            </w:r>
          </w:p>
        </w:tc>
        <w:tc>
          <w:tcPr>
            <w:tcW w:w="917" w:type="pct"/>
            <w:vAlign w:val="center"/>
          </w:tcPr>
          <w:p>
            <w:pPr>
              <w:adjustRightInd w:val="0"/>
              <w:snapToGrid w:val="0"/>
              <w:spacing w:line="240" w:lineRule="auto"/>
              <w:jc w:val="center"/>
              <w:rPr>
                <w:rFonts w:cs="Times New Roman"/>
                <w:sz w:val="21"/>
                <w:szCs w:val="21"/>
              </w:rPr>
            </w:pPr>
            <w:r>
              <w:rPr>
                <w:color w:val="000000"/>
                <w:sz w:val="21"/>
                <w:szCs w:val="21"/>
              </w:rPr>
              <w:t>81.</w:t>
            </w:r>
            <w:r>
              <w:rPr>
                <w:rFonts w:hint="eastAsia"/>
                <w:color w:val="000000"/>
                <w:sz w:val="21"/>
                <w:szCs w:val="21"/>
              </w:rPr>
              <w:t>23</w:t>
            </w:r>
            <w:r>
              <w:rPr>
                <w:color w:val="000000"/>
                <w:sz w:val="21"/>
                <w:szCs w:val="21"/>
              </w:rPr>
              <w:t>%</w:t>
            </w:r>
          </w:p>
        </w:tc>
        <w:tc>
          <w:tcPr>
            <w:tcW w:w="1013" w:type="pct"/>
            <w:vAlign w:val="center"/>
          </w:tcPr>
          <w:p>
            <w:pPr>
              <w:adjustRightInd w:val="0"/>
              <w:snapToGrid w:val="0"/>
              <w:spacing w:line="240" w:lineRule="auto"/>
              <w:jc w:val="center"/>
              <w:rPr>
                <w:rFonts w:cs="Times New Roman"/>
                <w:sz w:val="21"/>
                <w:szCs w:val="21"/>
              </w:rPr>
            </w:pPr>
            <w:r>
              <w:rPr>
                <w:color w:val="000000"/>
                <w:sz w:val="21"/>
                <w:szCs w:val="21"/>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1" w:type="pct"/>
            <w:gridSpan w:val="2"/>
            <w:shd w:val="clear" w:color="auto" w:fill="auto"/>
            <w:vAlign w:val="center"/>
          </w:tcPr>
          <w:p>
            <w:pPr>
              <w:spacing w:line="240" w:lineRule="auto"/>
              <w:jc w:val="center"/>
              <w:rPr>
                <w:rFonts w:cs="Times New Roman"/>
                <w:sz w:val="21"/>
                <w:szCs w:val="21"/>
              </w:rPr>
            </w:pPr>
            <w:r>
              <w:rPr>
                <w:rFonts w:hint="eastAsia" w:cs="Times New Roman"/>
                <w:sz w:val="21"/>
                <w:szCs w:val="21"/>
              </w:rPr>
              <w:t>合计</w:t>
            </w:r>
          </w:p>
        </w:tc>
        <w:tc>
          <w:tcPr>
            <w:tcW w:w="1109" w:type="pct"/>
            <w:shd w:val="clear" w:color="auto" w:fill="auto"/>
            <w:vAlign w:val="center"/>
          </w:tcPr>
          <w:p>
            <w:pPr>
              <w:spacing w:line="240" w:lineRule="auto"/>
              <w:jc w:val="center"/>
              <w:rPr>
                <w:rFonts w:cs="Times New Roman"/>
                <w:sz w:val="21"/>
                <w:szCs w:val="21"/>
              </w:rPr>
            </w:pPr>
            <w:r>
              <w:rPr>
                <w:rFonts w:cs="Times New Roman"/>
                <w:bCs/>
                <w:sz w:val="21"/>
                <w:szCs w:val="21"/>
              </w:rPr>
              <w:t>700.00</w:t>
            </w:r>
          </w:p>
        </w:tc>
        <w:tc>
          <w:tcPr>
            <w:tcW w:w="917" w:type="pct"/>
            <w:shd w:val="clear" w:color="auto" w:fill="auto"/>
            <w:vAlign w:val="center"/>
          </w:tcPr>
          <w:p>
            <w:pPr>
              <w:spacing w:line="240" w:lineRule="auto"/>
              <w:jc w:val="center"/>
              <w:rPr>
                <w:rFonts w:cs="Times New Roman"/>
                <w:color w:val="000000"/>
                <w:kern w:val="0"/>
                <w:sz w:val="21"/>
                <w:szCs w:val="21"/>
              </w:rPr>
            </w:pPr>
            <w:r>
              <w:rPr>
                <w:rFonts w:cs="Times New Roman"/>
                <w:bCs/>
                <w:sz w:val="21"/>
                <w:szCs w:val="21"/>
              </w:rPr>
              <w:t>100.00%</w:t>
            </w:r>
          </w:p>
        </w:tc>
        <w:tc>
          <w:tcPr>
            <w:tcW w:w="1013" w:type="pct"/>
            <w:shd w:val="clear" w:color="auto" w:fill="auto"/>
            <w:vAlign w:val="center"/>
          </w:tcPr>
          <w:p>
            <w:pPr>
              <w:spacing w:line="240" w:lineRule="auto"/>
              <w:jc w:val="center"/>
              <w:rPr>
                <w:rFonts w:cs="Times New Roman"/>
                <w:sz w:val="21"/>
                <w:szCs w:val="21"/>
              </w:rPr>
            </w:pPr>
            <w:r>
              <w:rPr>
                <w:rFonts w:cs="Times New Roman"/>
                <w:bCs/>
                <w:sz w:val="21"/>
                <w:szCs w:val="21"/>
              </w:rPr>
              <w:t>3.02%</w:t>
            </w:r>
          </w:p>
        </w:tc>
      </w:tr>
    </w:tbl>
    <w:p>
      <w:pPr>
        <w:spacing w:line="276" w:lineRule="auto"/>
        <w:ind w:firstLine="369" w:firstLineChars="176"/>
        <w:rPr>
          <w:rFonts w:cs="Times New Roman"/>
          <w:sz w:val="21"/>
          <w:szCs w:val="21"/>
        </w:rPr>
      </w:pPr>
      <w:r>
        <w:rPr>
          <w:rFonts w:cs="Times New Roman"/>
          <w:sz w:val="21"/>
          <w:szCs w:val="21"/>
        </w:rPr>
        <w:t>注：</w:t>
      </w:r>
      <w:r>
        <w:rPr>
          <w:rFonts w:hint="eastAsia" w:cs="Times New Roman"/>
          <w:sz w:val="21"/>
          <w:szCs w:val="21"/>
        </w:rPr>
        <w:t>上表</w:t>
      </w:r>
      <w:r>
        <w:rPr>
          <w:rFonts w:cs="Times New Roman"/>
          <w:sz w:val="21"/>
          <w:szCs w:val="21"/>
        </w:rPr>
        <w:t>中部分合计数与各明细数相加之和在尾数上如有差异，系以上百分比结果四舍五入所致，下同。</w:t>
      </w:r>
    </w:p>
    <w:p>
      <w:pPr>
        <w:ind w:firstLine="480" w:firstLineChars="200"/>
        <w:rPr>
          <w:rFonts w:cs="Times New Roman"/>
        </w:rPr>
      </w:pPr>
      <w:r>
        <w:rPr>
          <w:rFonts w:hint="eastAsia" w:cs="Times New Roman"/>
        </w:rPr>
        <w:t>本激励计划激励对象名单详见公司于</w:t>
      </w:r>
      <w:r>
        <w:rPr>
          <w:rFonts w:cs="Times New Roman"/>
        </w:rPr>
        <w:t>2021年</w:t>
      </w:r>
      <w:r>
        <w:rPr>
          <w:rFonts w:hint="eastAsia" w:cs="Times New Roman"/>
        </w:rPr>
        <w:t>7月10日</w:t>
      </w:r>
      <w:r>
        <w:rPr>
          <w:rFonts w:cs="Times New Roman"/>
        </w:rPr>
        <w:t>在上海证券交易所网站</w:t>
      </w:r>
      <w:r>
        <w:rPr>
          <w:rFonts w:hint="eastAsia" w:cs="Times New Roman"/>
        </w:rPr>
        <w:t>（</w:t>
      </w:r>
      <w:r>
        <w:t>www.sse.com.cn</w:t>
      </w:r>
      <w:r>
        <w:rPr>
          <w:rFonts w:hint="eastAsia" w:cs="Times New Roman"/>
        </w:rPr>
        <w:t>）上披露的《公司</w:t>
      </w:r>
      <w:r>
        <w:rPr>
          <w:rFonts w:cs="Times New Roman"/>
        </w:rPr>
        <w:t>2021年</w:t>
      </w:r>
      <w:r>
        <w:rPr>
          <w:rFonts w:hint="eastAsia" w:cs="Times New Roman"/>
        </w:rPr>
        <w:t>股票期权激励计划激励对象名单》。</w:t>
      </w:r>
    </w:p>
    <w:p>
      <w:pPr>
        <w:pStyle w:val="16"/>
        <w:spacing w:before="0" w:after="0"/>
        <w:ind w:firstLine="484" w:firstLineChars="200"/>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（四）以上激励对象中，不包括公司独立董事、监事和单独或合计持有公司</w:t>
      </w:r>
      <w:r>
        <w:rPr>
          <w:rFonts w:ascii="Times New Roman" w:hAnsi="Times New Roman" w:eastAsia="宋体" w:cs="Times New Roman"/>
          <w:color w:val="000000"/>
          <w:spacing w:val="1"/>
          <w:sz w:val="24"/>
          <w:lang w:eastAsia="zh-CN"/>
        </w:rPr>
        <w:t>5%</w:t>
      </w:r>
      <w:r>
        <w:rPr>
          <w:rFonts w:hint="eastAsia" w:ascii="Times New Roman" w:hAnsi="Times New Roman" w:eastAsia="宋体" w:cs="Times New Roman"/>
          <w:color w:val="000000"/>
          <w:spacing w:val="1"/>
          <w:sz w:val="24"/>
          <w:lang w:eastAsia="zh-CN"/>
        </w:rPr>
        <w:t>以上股份的股东或实际控制人及其配偶、父母、子女。</w:t>
      </w:r>
    </w:p>
    <w:p>
      <w:pPr>
        <w:pStyle w:val="16"/>
        <w:spacing w:before="0" w:after="0"/>
        <w:ind w:firstLine="484" w:firstLineChars="200"/>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（五）激励对象不存在同时参加两家或两家以上上市公司股权激励计划的情形。</w:t>
      </w:r>
    </w:p>
    <w:p>
      <w:pPr>
        <w:pStyle w:val="16"/>
        <w:spacing w:before="0" w:after="0"/>
        <w:ind w:firstLine="484" w:firstLineChars="200"/>
        <w:rPr>
          <w:rFonts w:ascii="Times New Roman" w:hAnsi="Times New Roman" w:eastAsia="宋体" w:cs="Times New Roman"/>
          <w:color w:val="000000"/>
          <w:spacing w:val="1"/>
          <w:sz w:val="24"/>
          <w:lang w:eastAsia="zh-CN"/>
        </w:rPr>
      </w:pPr>
      <w:r>
        <w:rPr>
          <w:rFonts w:ascii="Times New Roman" w:hAnsi="Times New Roman" w:eastAsia="宋体" w:cs="Times New Roman"/>
          <w:color w:val="000000"/>
          <w:spacing w:val="1"/>
          <w:sz w:val="24"/>
          <w:lang w:eastAsia="zh-CN"/>
        </w:rPr>
        <w:t>（</w:t>
      </w:r>
      <w:r>
        <w:rPr>
          <w:rFonts w:hint="eastAsia" w:ascii="Times New Roman" w:hAnsi="Times New Roman" w:eastAsia="宋体" w:cs="Times New Roman"/>
          <w:color w:val="000000"/>
          <w:spacing w:val="1"/>
          <w:sz w:val="24"/>
          <w:lang w:eastAsia="zh-CN"/>
        </w:rPr>
        <w:t>六</w:t>
      </w:r>
      <w:r>
        <w:rPr>
          <w:rFonts w:ascii="Times New Roman" w:hAnsi="Times New Roman" w:eastAsia="宋体" w:cs="Times New Roman"/>
          <w:color w:val="000000"/>
          <w:spacing w:val="1"/>
          <w:sz w:val="24"/>
          <w:lang w:eastAsia="zh-CN"/>
        </w:rPr>
        <w:t>）若在本激励计划实施过程中，激励对象发生不符合《管理办法》及本激励计划规定的情况时，公司将终止其参与本激励计划的权利，</w:t>
      </w:r>
      <w:r>
        <w:rPr>
          <w:rFonts w:hint="eastAsia" w:ascii="Times New Roman" w:hAnsi="Times New Roman" w:eastAsia="宋体" w:cs="Times New Roman"/>
          <w:color w:val="000000"/>
          <w:spacing w:val="1"/>
          <w:sz w:val="24"/>
          <w:lang w:eastAsia="zh-CN"/>
        </w:rPr>
        <w:t>注销其已获授但尚未行权的股票期权</w:t>
      </w:r>
      <w:r>
        <w:rPr>
          <w:rFonts w:ascii="Times New Roman" w:hAnsi="Times New Roman" w:eastAsia="宋体" w:cs="Times New Roman"/>
          <w:color w:val="000000"/>
          <w:spacing w:val="1"/>
          <w:sz w:val="24"/>
          <w:lang w:eastAsia="zh-CN"/>
        </w:rPr>
        <w:t>。</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六、股票期权的行权价格及确定方法</w:t>
      </w:r>
    </w:p>
    <w:p>
      <w:pPr>
        <w:pStyle w:val="16"/>
        <w:spacing w:before="0" w:after="0"/>
        <w:ind w:firstLine="484" w:firstLineChars="200"/>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（一）股</w:t>
      </w:r>
      <w:bookmarkStart w:id="2" w:name="_GoBack"/>
      <w:bookmarkEnd w:id="2"/>
      <w:r>
        <w:rPr>
          <w:rFonts w:hint="eastAsia" w:ascii="Times New Roman" w:hAnsi="Times New Roman" w:eastAsia="宋体" w:cs="Times New Roman"/>
          <w:color w:val="000000"/>
          <w:spacing w:val="1"/>
          <w:sz w:val="24"/>
          <w:lang w:eastAsia="zh-CN"/>
        </w:rPr>
        <w:t>票期权的行权价格</w:t>
      </w:r>
    </w:p>
    <w:p>
      <w:pPr>
        <w:ind w:firstLine="480" w:firstLineChars="200"/>
        <w:rPr>
          <w:rFonts w:cs="Times New Roman"/>
          <w:color w:val="000000"/>
          <w:kern w:val="0"/>
        </w:rPr>
      </w:pPr>
      <w:r>
        <w:rPr>
          <w:rFonts w:hint="eastAsia" w:cs="Times New Roman"/>
          <w:color w:val="000000"/>
          <w:kern w:val="0"/>
        </w:rPr>
        <w:t>本激励计划授予股票期权的行权价格为</w:t>
      </w:r>
      <w:r>
        <w:rPr>
          <w:rFonts w:hint="eastAsia"/>
        </w:rPr>
        <w:t>1</w:t>
      </w:r>
      <w:r>
        <w:t>3.58</w:t>
      </w:r>
      <w:r>
        <w:rPr>
          <w:rFonts w:hint="eastAsia"/>
        </w:rPr>
        <w:t>元</w:t>
      </w:r>
      <w:r>
        <w:rPr>
          <w:rFonts w:cs="Times New Roman"/>
        </w:rPr>
        <w:t>/</w:t>
      </w:r>
      <w:r>
        <w:t>股</w:t>
      </w:r>
      <w:r>
        <w:rPr>
          <w:rFonts w:hint="eastAsia" w:cs="Times New Roman"/>
          <w:color w:val="000000"/>
          <w:kern w:val="0"/>
        </w:rPr>
        <w:t>。即满足行权条件后，激励对象获授的每份股票期权可以1</w:t>
      </w:r>
      <w:r>
        <w:rPr>
          <w:rFonts w:cs="Times New Roman"/>
          <w:color w:val="000000"/>
          <w:kern w:val="0"/>
        </w:rPr>
        <w:t>3.58</w:t>
      </w:r>
      <w:r>
        <w:rPr>
          <w:rFonts w:hint="eastAsia" w:cs="Times New Roman"/>
          <w:color w:val="000000"/>
          <w:kern w:val="0"/>
        </w:rPr>
        <w:t>元的价格购买1股公司股票。</w:t>
      </w:r>
    </w:p>
    <w:p>
      <w:pPr>
        <w:pStyle w:val="16"/>
        <w:spacing w:before="0" w:after="0"/>
        <w:ind w:firstLine="484" w:firstLineChars="200"/>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（二）股票期权的行权价格的确定方法</w:t>
      </w:r>
    </w:p>
    <w:p>
      <w:pPr>
        <w:pStyle w:val="16"/>
        <w:spacing w:before="0" w:after="0"/>
        <w:ind w:firstLine="484" w:firstLineChars="200"/>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1、确定方法</w:t>
      </w:r>
    </w:p>
    <w:p>
      <w:pPr>
        <w:ind w:firstLine="480" w:firstLineChars="200"/>
        <w:rPr>
          <w:rFonts w:cs="Times New Roman"/>
        </w:rPr>
      </w:pPr>
      <w:r>
        <w:rPr>
          <w:rFonts w:hint="eastAsia" w:cs="Times New Roman"/>
        </w:rPr>
        <w:t>本激励计划授予的股票期权的行权价格不低于股票票面金额，且原则上不得低于下列价格较高者：</w:t>
      </w:r>
    </w:p>
    <w:p>
      <w:pPr>
        <w:ind w:firstLine="480" w:firstLineChars="200"/>
        <w:rPr>
          <w:rFonts w:cs="Times New Roman"/>
        </w:rPr>
      </w:pPr>
      <w:r>
        <w:rPr>
          <w:rFonts w:hint="eastAsia" w:cs="Times New Roman"/>
        </w:rPr>
        <w:t>（1）本激励计划草案公布前</w:t>
      </w:r>
      <w:r>
        <w:rPr>
          <w:rFonts w:cs="Times New Roman"/>
        </w:rPr>
        <w:t>1</w:t>
      </w:r>
      <w:r>
        <w:rPr>
          <w:rFonts w:hint="eastAsia" w:cs="Times New Roman"/>
        </w:rPr>
        <w:t>个交易日的公司股票交易均价的8</w:t>
      </w:r>
      <w:r>
        <w:rPr>
          <w:rFonts w:cs="Times New Roman"/>
        </w:rPr>
        <w:t>0%</w:t>
      </w:r>
      <w:r>
        <w:rPr>
          <w:rFonts w:hint="eastAsia" w:cs="Times New Roman"/>
        </w:rPr>
        <w:t>，为每股</w:t>
      </w:r>
      <w:r>
        <w:rPr>
          <w:rFonts w:hint="eastAsia" w:cs="Times New Roman"/>
          <w:kern w:val="0"/>
        </w:rPr>
        <w:t>1</w:t>
      </w:r>
      <w:r>
        <w:rPr>
          <w:rFonts w:cs="Times New Roman"/>
          <w:kern w:val="0"/>
        </w:rPr>
        <w:t>3.58</w:t>
      </w:r>
      <w:r>
        <w:rPr>
          <w:rFonts w:cs="Times New Roman"/>
        </w:rPr>
        <w:t>元；</w:t>
      </w:r>
    </w:p>
    <w:p>
      <w:pPr>
        <w:ind w:firstLine="480" w:firstLineChars="200"/>
        <w:rPr>
          <w:rFonts w:cs="Times New Roman"/>
        </w:rPr>
      </w:pPr>
      <w:r>
        <w:rPr>
          <w:rFonts w:hint="eastAsia" w:cs="Times New Roman"/>
        </w:rPr>
        <w:t>（2）</w:t>
      </w:r>
      <w:r>
        <w:rPr>
          <w:rFonts w:cs="Times New Roman"/>
        </w:rPr>
        <w:t>本激励计划草案公布前</w:t>
      </w:r>
      <w:r>
        <w:rPr>
          <w:rFonts w:hint="eastAsia" w:cs="Times New Roman"/>
          <w:kern w:val="0"/>
        </w:rPr>
        <w:t>1</w:t>
      </w:r>
      <w:r>
        <w:rPr>
          <w:rFonts w:cs="Times New Roman"/>
          <w:kern w:val="0"/>
        </w:rPr>
        <w:t>20</w:t>
      </w:r>
      <w:r>
        <w:rPr>
          <w:rFonts w:cs="Times New Roman"/>
        </w:rPr>
        <w:t>个交易日的公司股票交易均价的</w:t>
      </w:r>
      <w:r>
        <w:rPr>
          <w:rFonts w:hint="eastAsia" w:cs="Times New Roman"/>
        </w:rPr>
        <w:t>8</w:t>
      </w:r>
      <w:r>
        <w:rPr>
          <w:rFonts w:cs="Times New Roman"/>
        </w:rPr>
        <w:t>0%，为每股</w:t>
      </w:r>
      <w:r>
        <w:rPr>
          <w:rFonts w:hint="eastAsia" w:cs="Times New Roman"/>
          <w:kern w:val="0"/>
        </w:rPr>
        <w:t>1</w:t>
      </w:r>
      <w:r>
        <w:rPr>
          <w:rFonts w:cs="Times New Roman"/>
          <w:kern w:val="0"/>
        </w:rPr>
        <w:t>2.88</w:t>
      </w:r>
      <w:r>
        <w:rPr>
          <w:rFonts w:cs="Times New Roman"/>
        </w:rPr>
        <w:t>元。</w:t>
      </w:r>
    </w:p>
    <w:p>
      <w:pPr>
        <w:pStyle w:val="16"/>
        <w:spacing w:before="0" w:after="0"/>
        <w:ind w:firstLine="484" w:firstLineChars="200"/>
        <w:rPr>
          <w:rFonts w:ascii="Times New Roman" w:hAnsi="Times New Roman" w:eastAsia="宋体" w:cs="Times New Roman"/>
          <w:color w:val="000000"/>
          <w:spacing w:val="1"/>
          <w:sz w:val="24"/>
          <w:lang w:eastAsia="zh-CN"/>
        </w:rPr>
      </w:pPr>
      <w:r>
        <w:rPr>
          <w:rFonts w:ascii="Times New Roman" w:hAnsi="Times New Roman" w:eastAsia="宋体" w:cs="Times New Roman"/>
          <w:color w:val="000000"/>
          <w:spacing w:val="1"/>
          <w:sz w:val="24"/>
          <w:lang w:eastAsia="zh-CN"/>
        </w:rPr>
        <w:t>2</w:t>
      </w:r>
      <w:r>
        <w:rPr>
          <w:rFonts w:hint="eastAsia" w:ascii="Times New Roman" w:hAnsi="Times New Roman" w:eastAsia="宋体" w:cs="Times New Roman"/>
          <w:color w:val="000000"/>
          <w:spacing w:val="1"/>
          <w:sz w:val="24"/>
          <w:lang w:eastAsia="zh-CN"/>
        </w:rPr>
        <w:t>、定价方式的合理性说明</w:t>
      </w:r>
    </w:p>
    <w:p>
      <w:pPr>
        <w:pStyle w:val="16"/>
        <w:spacing w:before="0" w:after="0"/>
        <w:ind w:firstLine="484" w:firstLineChars="200"/>
        <w:rPr>
          <w:rFonts w:ascii="Times New Roman" w:hAnsi="Times New Roman" w:eastAsia="宋体" w:cs="Times New Roman"/>
          <w:color w:val="000000"/>
          <w:spacing w:val="1"/>
          <w:sz w:val="24"/>
          <w:szCs w:val="24"/>
          <w:lang w:eastAsia="zh-CN"/>
        </w:rPr>
      </w:pPr>
      <w:r>
        <w:rPr>
          <w:rFonts w:hint="eastAsia" w:ascii="Times New Roman" w:hAnsi="Times New Roman" w:eastAsia="宋体" w:cs="Times New Roman"/>
          <w:color w:val="000000"/>
          <w:spacing w:val="1"/>
          <w:sz w:val="24"/>
          <w:szCs w:val="24"/>
          <w:lang w:eastAsia="zh-CN"/>
        </w:rPr>
        <w:t>本次股票期权行权价格的定价依据参考了《管理办法》第二十九条的规定；定价方式以促进公司发展、维护股东利益、稳定核心团队为根本目的，本着“重点激励、有效激励”的原则予以确定。</w:t>
      </w:r>
    </w:p>
    <w:p>
      <w:pPr>
        <w:ind w:firstLine="480" w:firstLineChars="200"/>
      </w:pPr>
      <w:r>
        <w:rPr>
          <w:rFonts w:hint="eastAsia"/>
        </w:rPr>
        <w:t>公司专注于信息安全行业PKI领域，主要从事以公钥基础设施PKI（Public Key Infrastructure）为核心的商用密码软件产品的研发、生产和销售及服务业务，以密码技术为核心，面向政务、金融、军工、企业提供基于密码的可信身份认证及可信数据保障等多层次、全方位的综合性安全解决方案，为其信息系统提供关键的安全支撑与保障。</w:t>
      </w:r>
    </w:p>
    <w:p>
      <w:pPr>
        <w:ind w:firstLine="480" w:firstLineChars="200"/>
      </w:pPr>
      <w:r>
        <w:rPr>
          <w:rFonts w:hint="eastAsia" w:cs="Times New Roman"/>
        </w:rPr>
        <w:t>近年来，基于政策扶持、需求扩张、应用升级等方面的驱动，我国网络安全产业发展进入快速成长期。同时网络安全行业属于研发及管理投入较高的行业，</w:t>
      </w:r>
      <w:r>
        <w:rPr>
          <w:rFonts w:hint="eastAsia"/>
        </w:rPr>
        <w:t>经过二十余年的发展，公司建立了技术精湛、经验丰富、团结合作的研发团队和管理团队，为公司的可持续发展奠定了坚实的基础。激励方案的实施有助于公司留住核心人才，不断提升公司核心竞争力；也有助于增加公司对行业内人才的吸引力，为公司核心队伍的建设起到积极的促进作用。</w:t>
      </w:r>
    </w:p>
    <w:p>
      <w:pPr>
        <w:spacing w:before="156" w:beforeLines="50" w:after="156" w:afterLines="50" w:line="360" w:lineRule="auto"/>
        <w:ind w:firstLine="480" w:firstLineChars="200"/>
        <w:rPr>
          <w:rFonts w:cs="Times New Roman"/>
          <w:highlight w:val="yellow"/>
        </w:rPr>
      </w:pPr>
      <w:r>
        <w:rPr>
          <w:rFonts w:hint="eastAsia" w:cs="Times New Roman"/>
        </w:rPr>
        <w:t>为了推动公司整体经营继续平稳、快速发展，维护股东利益，公司必须持续建设并巩固股权激励这一有效促进公司发展的制度；抓住公司发展中的核心力量和团队，予以良好有效的激励，在公司业绩作为核心考核指标的基础上，公司确定了本次股票期权授予的对象：包括公司</w:t>
      </w:r>
      <w:r>
        <w:rPr>
          <w:rFonts w:hAnsi="宋体" w:cs="Times New Roman"/>
        </w:rPr>
        <w:t>董事、高级管理人员、</w:t>
      </w:r>
      <w:r>
        <w:rPr>
          <w:rFonts w:hint="eastAsia" w:hAnsi="宋体" w:cs="Times New Roman"/>
        </w:rPr>
        <w:t>核心业务（技术）人员</w:t>
      </w:r>
      <w:r>
        <w:rPr>
          <w:rFonts w:hAnsi="宋体" w:cs="Times New Roman"/>
        </w:rPr>
        <w:t>/</w:t>
      </w:r>
      <w:r>
        <w:rPr>
          <w:rFonts w:hint="eastAsia" w:hAnsi="宋体" w:cs="Times New Roman"/>
        </w:rPr>
        <w:t>管理人员</w:t>
      </w:r>
      <w:r>
        <w:rPr>
          <w:rFonts w:hint="eastAsia" w:cs="Times New Roman"/>
        </w:rPr>
        <w:t>。其中，一部分激励对象承担着制订公司发展战略、引领公司前进方向的重大责任；一部分激励对象是公司业务板块和管理工作的直接负责人；还有部分激励对象是公司重要工作的承担者，对于公司的发展均具有举足轻重的作用。公司认为，在依法合规的基础上，以较低的激励成本实现对这些核心人员的激励，可以真正提升激励对象的工作热情和责任感，有效地统一激励对象</w:t>
      </w:r>
      <w:r>
        <w:rPr>
          <w:rFonts w:cs="Times New Roman"/>
        </w:rPr>
        <w:t>、</w:t>
      </w:r>
      <w:r>
        <w:rPr>
          <w:rFonts w:hint="eastAsia" w:cs="Times New Roman"/>
        </w:rPr>
        <w:t>公司及公司股东的利益，从而推动激励目标的实现。公司已聘请了独立财务顾问按照《管理办法》第三十六条的要求发表专业意见。</w:t>
      </w:r>
    </w:p>
    <w:p>
      <w:pPr>
        <w:ind w:firstLine="484" w:firstLineChars="200"/>
        <w:rPr>
          <w:rFonts w:cs="Times New Roman"/>
          <w:color w:val="000000"/>
          <w:spacing w:val="1"/>
        </w:rPr>
      </w:pPr>
      <w:r>
        <w:rPr>
          <w:rFonts w:hint="eastAsia" w:cs="Times New Roman"/>
          <w:color w:val="000000"/>
          <w:spacing w:val="1"/>
        </w:rPr>
        <w:t>基于以上目的，并综合激励对象取得相应的股票期权所需承担的出资金额、纳税义务等实际成本，在符合相关法律法规、规范性文件的基础上，公司决定将本次股票期权的行权价格确定为1</w:t>
      </w:r>
      <w:r>
        <w:rPr>
          <w:rFonts w:cs="Times New Roman"/>
          <w:color w:val="000000"/>
          <w:spacing w:val="1"/>
        </w:rPr>
        <w:t>3.58</w:t>
      </w:r>
      <w:r>
        <w:rPr>
          <w:rFonts w:hint="eastAsia" w:cs="Times New Roman"/>
          <w:color w:val="000000"/>
          <w:spacing w:val="1"/>
        </w:rPr>
        <w:t>元/股。</w:t>
      </w:r>
    </w:p>
    <w:p>
      <w:pPr>
        <w:ind w:firstLine="480" w:firstLineChars="200"/>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七、等待期、行权安排</w:t>
      </w:r>
    </w:p>
    <w:p>
      <w:pPr>
        <w:snapToGrid w:val="0"/>
        <w:ind w:firstLine="480" w:firstLineChars="200"/>
        <w:rPr>
          <w:rFonts w:cs="Times New Roman"/>
        </w:rPr>
      </w:pPr>
      <w:r>
        <w:rPr>
          <w:rFonts w:hint="eastAsia" w:cs="Times New Roman"/>
        </w:rPr>
        <w:t>激励对象获授的全部股票期权适用不同的等待期，均自授权完成登记日起计。授权日与首次可行权日之间的间隔不得少于12个月。</w:t>
      </w:r>
    </w:p>
    <w:p>
      <w:pPr>
        <w:tabs>
          <w:tab w:val="left" w:pos="625"/>
        </w:tabs>
        <w:snapToGrid w:val="0"/>
        <w:ind w:firstLine="480" w:firstLineChars="200"/>
      </w:pPr>
      <w:r>
        <w:t>本激励计划授予的股票期权的行权安排如下表所示：</w:t>
      </w:r>
    </w:p>
    <w:tbl>
      <w:tblPr>
        <w:tblStyle w:val="10"/>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5064"/>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29" w:type="pct"/>
            <w:shd w:val="clear" w:color="auto" w:fill="F1F1F1" w:themeFill="background1" w:themeFillShade="F2"/>
            <w:vAlign w:val="center"/>
          </w:tcPr>
          <w:p>
            <w:pPr>
              <w:snapToGrid w:val="0"/>
              <w:spacing w:line="240" w:lineRule="auto"/>
              <w:jc w:val="center"/>
              <w:rPr>
                <w:b/>
                <w:sz w:val="21"/>
                <w:szCs w:val="21"/>
              </w:rPr>
            </w:pPr>
            <w:r>
              <w:rPr>
                <w:b/>
                <w:sz w:val="21"/>
                <w:szCs w:val="21"/>
              </w:rPr>
              <w:t>行权安排</w:t>
            </w:r>
          </w:p>
        </w:tc>
        <w:tc>
          <w:tcPr>
            <w:tcW w:w="2969" w:type="pct"/>
            <w:shd w:val="clear" w:color="auto" w:fill="F1F1F1" w:themeFill="background1" w:themeFillShade="F2"/>
            <w:vAlign w:val="center"/>
          </w:tcPr>
          <w:p>
            <w:pPr>
              <w:snapToGrid w:val="0"/>
              <w:spacing w:line="240" w:lineRule="auto"/>
              <w:jc w:val="center"/>
              <w:rPr>
                <w:b/>
                <w:sz w:val="21"/>
                <w:szCs w:val="21"/>
              </w:rPr>
            </w:pPr>
            <w:r>
              <w:rPr>
                <w:b/>
                <w:sz w:val="21"/>
                <w:szCs w:val="21"/>
              </w:rPr>
              <w:t>行权期间</w:t>
            </w:r>
          </w:p>
        </w:tc>
        <w:tc>
          <w:tcPr>
            <w:tcW w:w="902" w:type="pct"/>
            <w:shd w:val="clear" w:color="auto" w:fill="F1F1F1" w:themeFill="background1" w:themeFillShade="F2"/>
            <w:vAlign w:val="center"/>
          </w:tcPr>
          <w:p>
            <w:pPr>
              <w:snapToGrid w:val="0"/>
              <w:spacing w:line="240" w:lineRule="auto"/>
              <w:jc w:val="center"/>
              <w:rPr>
                <w:b/>
                <w:sz w:val="21"/>
                <w:szCs w:val="21"/>
              </w:rPr>
            </w:pPr>
            <w:r>
              <w:rPr>
                <w:b/>
                <w:sz w:val="21"/>
                <w:szCs w:val="21"/>
              </w:rPr>
              <w:t>行权比例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129" w:type="pct"/>
            <w:vAlign w:val="center"/>
          </w:tcPr>
          <w:p>
            <w:pPr>
              <w:snapToGrid w:val="0"/>
              <w:spacing w:line="240" w:lineRule="auto"/>
              <w:jc w:val="center"/>
              <w:rPr>
                <w:sz w:val="21"/>
                <w:szCs w:val="21"/>
              </w:rPr>
            </w:pPr>
            <w:r>
              <w:rPr>
                <w:sz w:val="21"/>
                <w:szCs w:val="21"/>
              </w:rPr>
              <w:t>第一个行权期</w:t>
            </w:r>
          </w:p>
        </w:tc>
        <w:tc>
          <w:tcPr>
            <w:tcW w:w="2969" w:type="pct"/>
            <w:vAlign w:val="center"/>
          </w:tcPr>
          <w:p>
            <w:pPr>
              <w:snapToGrid w:val="0"/>
              <w:spacing w:line="276" w:lineRule="auto"/>
              <w:rPr>
                <w:sz w:val="21"/>
                <w:szCs w:val="21"/>
              </w:rPr>
            </w:pPr>
            <w:r>
              <w:rPr>
                <w:sz w:val="21"/>
                <w:szCs w:val="21"/>
              </w:rPr>
              <w:t>自股票期权授权日起12个月后的首个交易日起至股票期权授权日起24个月内的最后一个交易日当日止</w:t>
            </w:r>
          </w:p>
        </w:tc>
        <w:tc>
          <w:tcPr>
            <w:tcW w:w="902" w:type="pct"/>
            <w:vAlign w:val="center"/>
          </w:tcPr>
          <w:p>
            <w:pPr>
              <w:snapToGrid w:val="0"/>
              <w:spacing w:line="240" w:lineRule="auto"/>
              <w:jc w:val="center"/>
              <w:rPr>
                <w:sz w:val="21"/>
                <w:szCs w:val="21"/>
              </w:rPr>
            </w:pPr>
            <w:r>
              <w:rPr>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29" w:type="pct"/>
            <w:vAlign w:val="center"/>
          </w:tcPr>
          <w:p>
            <w:pPr>
              <w:snapToGrid w:val="0"/>
              <w:spacing w:line="240" w:lineRule="auto"/>
              <w:jc w:val="center"/>
              <w:rPr>
                <w:sz w:val="21"/>
                <w:szCs w:val="21"/>
              </w:rPr>
            </w:pPr>
            <w:r>
              <w:rPr>
                <w:sz w:val="21"/>
                <w:szCs w:val="21"/>
              </w:rPr>
              <w:t>第二个行权期</w:t>
            </w:r>
          </w:p>
        </w:tc>
        <w:tc>
          <w:tcPr>
            <w:tcW w:w="2969" w:type="pct"/>
            <w:vAlign w:val="center"/>
          </w:tcPr>
          <w:p>
            <w:pPr>
              <w:snapToGrid w:val="0"/>
              <w:spacing w:line="276" w:lineRule="auto"/>
              <w:rPr>
                <w:sz w:val="21"/>
                <w:szCs w:val="21"/>
              </w:rPr>
            </w:pPr>
            <w:r>
              <w:rPr>
                <w:sz w:val="21"/>
                <w:szCs w:val="21"/>
              </w:rPr>
              <w:t>自股票期权授权日起24个月后的首个交易日起至股票期权授权日起36个月内的最后一个交易日当日止</w:t>
            </w:r>
          </w:p>
        </w:tc>
        <w:tc>
          <w:tcPr>
            <w:tcW w:w="902" w:type="pct"/>
            <w:vAlign w:val="center"/>
          </w:tcPr>
          <w:p>
            <w:pPr>
              <w:snapToGrid w:val="0"/>
              <w:spacing w:line="240" w:lineRule="auto"/>
              <w:jc w:val="center"/>
              <w:rPr>
                <w:sz w:val="21"/>
                <w:szCs w:val="21"/>
              </w:rPr>
            </w:pPr>
            <w:r>
              <w:rPr>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29" w:type="pct"/>
            <w:vAlign w:val="center"/>
          </w:tcPr>
          <w:p>
            <w:pPr>
              <w:snapToGrid w:val="0"/>
              <w:spacing w:line="240" w:lineRule="auto"/>
              <w:jc w:val="center"/>
              <w:rPr>
                <w:sz w:val="21"/>
                <w:szCs w:val="21"/>
              </w:rPr>
            </w:pPr>
            <w:r>
              <w:rPr>
                <w:sz w:val="21"/>
                <w:szCs w:val="21"/>
              </w:rPr>
              <w:t>第三个行权期</w:t>
            </w:r>
          </w:p>
        </w:tc>
        <w:tc>
          <w:tcPr>
            <w:tcW w:w="2969" w:type="pct"/>
            <w:vAlign w:val="center"/>
          </w:tcPr>
          <w:p>
            <w:pPr>
              <w:snapToGrid w:val="0"/>
              <w:spacing w:line="276" w:lineRule="auto"/>
              <w:rPr>
                <w:sz w:val="21"/>
                <w:szCs w:val="21"/>
              </w:rPr>
            </w:pPr>
            <w:r>
              <w:rPr>
                <w:sz w:val="21"/>
                <w:szCs w:val="21"/>
              </w:rPr>
              <w:t>自股票期权授权日起36个月后的首个交易日起至股票期权授权日起48个月内的最后一个交易日当日止</w:t>
            </w:r>
          </w:p>
        </w:tc>
        <w:tc>
          <w:tcPr>
            <w:tcW w:w="902" w:type="pct"/>
            <w:vAlign w:val="center"/>
          </w:tcPr>
          <w:p>
            <w:pPr>
              <w:snapToGrid w:val="0"/>
              <w:spacing w:line="240" w:lineRule="auto"/>
              <w:jc w:val="center"/>
              <w:rPr>
                <w:sz w:val="21"/>
                <w:szCs w:val="21"/>
              </w:rPr>
            </w:pPr>
            <w:r>
              <w:rPr>
                <w:rFonts w:hint="eastAsia"/>
                <w:sz w:val="21"/>
                <w:szCs w:val="21"/>
              </w:rPr>
              <w:t>4</w:t>
            </w:r>
            <w:r>
              <w:rPr>
                <w:sz w:val="21"/>
                <w:szCs w:val="21"/>
              </w:rPr>
              <w:t>0%</w:t>
            </w:r>
          </w:p>
        </w:tc>
      </w:tr>
    </w:tbl>
    <w:p>
      <w:pPr>
        <w:snapToGrid w:val="0"/>
        <w:ind w:firstLine="480"/>
        <w:rPr>
          <w:rFonts w:cs="Times New Roman"/>
        </w:rPr>
      </w:pPr>
      <w:r>
        <w:rPr>
          <w:rFonts w:cs="Times New Roman"/>
        </w:rPr>
        <w:t>在上述约定期间因行权条件未成就的股票期权，不得行权或递延至下期行权，并由公司按本激励计划规定的原则注销激励对象相应的股票期权。在股票期权各行权期结束后，激励对象未行权的当期股票期权应当终止行权，公司将予以注销。</w:t>
      </w:r>
    </w:p>
    <w:p>
      <w:pPr>
        <w:snapToGrid w:val="0"/>
        <w:ind w:firstLine="480"/>
      </w:pPr>
      <w:r>
        <w:t>在满足股票期权行权条件后</w:t>
      </w:r>
      <w:r>
        <w:rPr>
          <w:rFonts w:hint="eastAsia"/>
        </w:rPr>
        <w:t>，</w:t>
      </w:r>
      <w:r>
        <w:t>公司将为激励对象办理满足行权条件的股票期权行权事宜</w:t>
      </w:r>
      <w:r>
        <w:rPr>
          <w:rFonts w:hint="eastAsia"/>
        </w:rPr>
        <w:t>。</w:t>
      </w:r>
    </w:p>
    <w:p>
      <w:pPr>
        <w:snapToGrid w:val="0"/>
      </w:pPr>
    </w:p>
    <w:p>
      <w:pPr>
        <w:pStyle w:val="16"/>
        <w:spacing w:before="0" w:after="0"/>
        <w:ind w:firstLine="486" w:firstLineChars="200"/>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八、股票期权的授予与行权条件</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（一）股票期权的授予条件</w:t>
      </w:r>
    </w:p>
    <w:p>
      <w:pPr>
        <w:ind w:firstLine="480" w:firstLineChars="200"/>
        <w:rPr>
          <w:rFonts w:cs="Times New Roman"/>
          <w:b/>
          <w:bCs/>
        </w:rPr>
      </w:pPr>
      <w:r>
        <w:rPr>
          <w:rFonts w:hint="eastAsia" w:cs="Times New Roman"/>
        </w:rPr>
        <w:t>只有在同时满足下列条件时，公司向激励对象授予股票期权；反之，若下列任一授予条件未达成，则不能向激励对象授予股票期权。</w:t>
      </w:r>
    </w:p>
    <w:p>
      <w:pPr>
        <w:ind w:firstLine="480" w:firstLineChars="200"/>
        <w:rPr>
          <w:rFonts w:cs="Times New Roman"/>
          <w:b/>
          <w:bCs/>
        </w:rPr>
      </w:pPr>
      <w:r>
        <w:rPr>
          <w:rFonts w:cs="Times New Roman"/>
        </w:rPr>
        <w:t>1</w:t>
      </w:r>
      <w:r>
        <w:rPr>
          <w:rFonts w:hint="eastAsia" w:cs="Times New Roman"/>
        </w:rPr>
        <w:t>、公司未发生如下任一情形：</w:t>
      </w:r>
    </w:p>
    <w:p>
      <w:pPr>
        <w:ind w:firstLine="480" w:firstLineChars="200"/>
        <w:rPr>
          <w:rFonts w:cs="Times New Roman"/>
        </w:rPr>
      </w:pPr>
      <w:r>
        <w:rPr>
          <w:rFonts w:hint="eastAsia" w:cs="Times New Roman"/>
        </w:rPr>
        <w:t>（</w:t>
      </w:r>
      <w:r>
        <w:rPr>
          <w:rFonts w:cs="Times New Roman"/>
        </w:rPr>
        <w:t>1</w:t>
      </w:r>
      <w:r>
        <w:rPr>
          <w:rFonts w:hint="eastAsia" w:cs="Times New Roman"/>
        </w:rPr>
        <w:t>）最近一个会计年度财务会计报告被注册会计师出具否定意见或者无法表示意见的审计报告；</w:t>
      </w:r>
    </w:p>
    <w:p>
      <w:pPr>
        <w:ind w:firstLine="480" w:firstLineChars="200"/>
        <w:rPr>
          <w:rFonts w:cs="Times New Roman"/>
        </w:rPr>
      </w:pPr>
      <w:r>
        <w:rPr>
          <w:rFonts w:hint="eastAsia" w:cs="Times New Roman"/>
        </w:rPr>
        <w:t>（</w:t>
      </w:r>
      <w:r>
        <w:rPr>
          <w:rFonts w:cs="Times New Roman"/>
        </w:rPr>
        <w:t>2</w:t>
      </w:r>
      <w:r>
        <w:rPr>
          <w:rFonts w:hint="eastAsia" w:cs="Times New Roman"/>
        </w:rPr>
        <w:t>）最近一个会计年度财务报告内部控制被注册会计师出具否定意见或无法表示意见的审计报告；</w:t>
      </w:r>
    </w:p>
    <w:p>
      <w:pPr>
        <w:ind w:firstLine="480" w:firstLineChars="200"/>
        <w:rPr>
          <w:rFonts w:cs="Times New Roman"/>
        </w:rPr>
      </w:pPr>
      <w:r>
        <w:rPr>
          <w:rFonts w:hint="eastAsia" w:cs="Times New Roman"/>
        </w:rPr>
        <w:t>（</w:t>
      </w:r>
      <w:r>
        <w:rPr>
          <w:rFonts w:cs="Times New Roman"/>
        </w:rPr>
        <w:t>3</w:t>
      </w:r>
      <w:r>
        <w:rPr>
          <w:rFonts w:hint="eastAsia" w:cs="Times New Roman"/>
        </w:rPr>
        <w:t>）上市后最近</w:t>
      </w:r>
      <w:r>
        <w:rPr>
          <w:rFonts w:cs="Times New Roman"/>
        </w:rPr>
        <w:t>36</w:t>
      </w:r>
      <w:r>
        <w:rPr>
          <w:rFonts w:hint="eastAsia" w:cs="Times New Roman"/>
        </w:rPr>
        <w:t>个月内出现过未按法律法规、《公司章程》、公开承诺进行利润分配的情形；</w:t>
      </w:r>
    </w:p>
    <w:p>
      <w:pPr>
        <w:ind w:firstLine="480" w:firstLineChars="200"/>
        <w:rPr>
          <w:rFonts w:cs="Times New Roman"/>
        </w:rPr>
      </w:pPr>
      <w:r>
        <w:rPr>
          <w:rFonts w:hint="eastAsia" w:cs="Times New Roman"/>
        </w:rPr>
        <w:t>（</w:t>
      </w:r>
      <w:r>
        <w:rPr>
          <w:rFonts w:cs="Times New Roman"/>
        </w:rPr>
        <w:t>4</w:t>
      </w:r>
      <w:r>
        <w:rPr>
          <w:rFonts w:hint="eastAsia" w:cs="Times New Roman"/>
        </w:rPr>
        <w:t>）法律法规规定不得实行股权激励的；</w:t>
      </w:r>
    </w:p>
    <w:p>
      <w:pPr>
        <w:ind w:firstLine="480" w:firstLineChars="200"/>
        <w:rPr>
          <w:rFonts w:cs="Times New Roman"/>
        </w:rPr>
      </w:pPr>
      <w:r>
        <w:rPr>
          <w:rFonts w:hint="eastAsia" w:cs="Times New Roman"/>
        </w:rPr>
        <w:t>（</w:t>
      </w:r>
      <w:r>
        <w:rPr>
          <w:rFonts w:cs="Times New Roman"/>
        </w:rPr>
        <w:t>5</w:t>
      </w:r>
      <w:r>
        <w:rPr>
          <w:rFonts w:hint="eastAsia" w:cs="Times New Roman"/>
        </w:rPr>
        <w:t>）中国证券监督管理委员会（以下简称“中国证监会”）认定的其他情形。</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、激励对象未发生以下任一情形：</w:t>
      </w:r>
    </w:p>
    <w:p>
      <w:pPr>
        <w:ind w:firstLine="480" w:firstLineChars="200"/>
        <w:rPr>
          <w:rFonts w:cs="Times New Roman"/>
        </w:rPr>
      </w:pPr>
      <w:r>
        <w:rPr>
          <w:rFonts w:hint="eastAsia" w:cs="Times New Roman"/>
        </w:rPr>
        <w:t>（</w:t>
      </w:r>
      <w:r>
        <w:rPr>
          <w:rFonts w:cs="Times New Roman"/>
        </w:rPr>
        <w:t>1</w:t>
      </w:r>
      <w:r>
        <w:rPr>
          <w:rFonts w:hint="eastAsia" w:cs="Times New Roman"/>
        </w:rPr>
        <w:t>）最近</w:t>
      </w:r>
      <w:r>
        <w:rPr>
          <w:rFonts w:cs="Times New Roman"/>
        </w:rPr>
        <w:t>12</w:t>
      </w:r>
      <w:r>
        <w:rPr>
          <w:rFonts w:hint="eastAsia" w:cs="Times New Roman"/>
        </w:rPr>
        <w:t>个月内被证券交易所认定为不适当人选的；</w:t>
      </w:r>
    </w:p>
    <w:p>
      <w:pPr>
        <w:ind w:firstLine="480" w:firstLineChars="200"/>
        <w:rPr>
          <w:rFonts w:cs="Times New Roman"/>
        </w:rPr>
      </w:pPr>
      <w:r>
        <w:rPr>
          <w:rFonts w:hint="eastAsia" w:cs="Times New Roman"/>
        </w:rPr>
        <w:t>（</w:t>
      </w:r>
      <w:r>
        <w:rPr>
          <w:rFonts w:cs="Times New Roman"/>
        </w:rPr>
        <w:t>2</w:t>
      </w:r>
      <w:r>
        <w:rPr>
          <w:rFonts w:hint="eastAsia" w:cs="Times New Roman"/>
        </w:rPr>
        <w:t>）最近</w:t>
      </w:r>
      <w:r>
        <w:rPr>
          <w:rFonts w:cs="Times New Roman"/>
        </w:rPr>
        <w:t>12</w:t>
      </w:r>
      <w:r>
        <w:rPr>
          <w:rFonts w:hint="eastAsia" w:cs="Times New Roman"/>
        </w:rPr>
        <w:t>个月内被中国证监会及其派出机构认定为不适当人选；</w:t>
      </w:r>
    </w:p>
    <w:p>
      <w:pPr>
        <w:ind w:firstLine="480" w:firstLineChars="200"/>
        <w:rPr>
          <w:rFonts w:cs="Times New Roman"/>
        </w:rPr>
      </w:pPr>
      <w:r>
        <w:rPr>
          <w:rFonts w:hint="eastAsia" w:cs="Times New Roman"/>
        </w:rPr>
        <w:t>（</w:t>
      </w:r>
      <w:r>
        <w:rPr>
          <w:rFonts w:cs="Times New Roman"/>
        </w:rPr>
        <w:t>3</w:t>
      </w:r>
      <w:r>
        <w:rPr>
          <w:rFonts w:hint="eastAsia" w:cs="Times New Roman"/>
        </w:rPr>
        <w:t>）最近</w:t>
      </w:r>
      <w:r>
        <w:rPr>
          <w:rFonts w:cs="Times New Roman"/>
        </w:rPr>
        <w:t>12</w:t>
      </w:r>
      <w:r>
        <w:rPr>
          <w:rFonts w:hint="eastAsia" w:cs="Times New Roman"/>
        </w:rPr>
        <w:t>个月内因重大违法违规行为被中国证监会及其派出机构行政处罚或者采取市场禁入措施；</w:t>
      </w:r>
    </w:p>
    <w:p>
      <w:pPr>
        <w:ind w:firstLine="480" w:firstLineChars="200"/>
        <w:rPr>
          <w:rFonts w:cs="Times New Roman"/>
        </w:rPr>
      </w:pPr>
      <w:r>
        <w:rPr>
          <w:rFonts w:hint="eastAsia" w:cs="Times New Roman"/>
        </w:rPr>
        <w:t>（</w:t>
      </w:r>
      <w:r>
        <w:rPr>
          <w:rFonts w:cs="Times New Roman"/>
        </w:rPr>
        <w:t>4</w:t>
      </w:r>
      <w:r>
        <w:rPr>
          <w:rFonts w:hint="eastAsia" w:cs="Times New Roman"/>
        </w:rPr>
        <w:t>）具有《公司法》规定的不得担任公司董事、高级管理人员情形的；</w:t>
      </w:r>
    </w:p>
    <w:p>
      <w:pPr>
        <w:ind w:firstLine="480" w:firstLineChars="200"/>
        <w:rPr>
          <w:rFonts w:cs="Times New Roman"/>
        </w:rPr>
      </w:pPr>
      <w:r>
        <w:rPr>
          <w:rFonts w:hint="eastAsia" w:cs="Times New Roman"/>
        </w:rPr>
        <w:t>（</w:t>
      </w:r>
      <w:r>
        <w:rPr>
          <w:rFonts w:cs="Times New Roman"/>
        </w:rPr>
        <w:t>5</w:t>
      </w:r>
      <w:r>
        <w:rPr>
          <w:rFonts w:hint="eastAsia" w:cs="Times New Roman"/>
        </w:rPr>
        <w:t>）法律法规规定不得参与上市公司股权激励的；</w:t>
      </w:r>
    </w:p>
    <w:p>
      <w:pPr>
        <w:ind w:firstLine="480" w:firstLineChars="200"/>
        <w:rPr>
          <w:rFonts w:cs="Times New Roman"/>
        </w:rPr>
      </w:pPr>
      <w:r>
        <w:rPr>
          <w:rFonts w:hint="eastAsia" w:cs="Times New Roman"/>
        </w:rPr>
        <w:t>（</w:t>
      </w:r>
      <w:r>
        <w:rPr>
          <w:rFonts w:cs="Times New Roman"/>
        </w:rPr>
        <w:t>6</w:t>
      </w:r>
      <w:r>
        <w:rPr>
          <w:rFonts w:hint="eastAsia" w:cs="Times New Roman"/>
        </w:rPr>
        <w:t>）中国证监会认定的其他情形。</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（二）股票期权的行权条件</w:t>
      </w:r>
    </w:p>
    <w:p>
      <w:pPr>
        <w:ind w:firstLine="480" w:firstLineChars="200"/>
        <w:rPr>
          <w:rFonts w:cs="Times New Roman"/>
        </w:rPr>
      </w:pPr>
      <w:r>
        <w:rPr>
          <w:rFonts w:hint="eastAsia" w:cs="Times New Roman"/>
        </w:rPr>
        <w:t>行权期内同时满足下列条件时，激励对象获授的股票期权方可行权：</w:t>
      </w:r>
    </w:p>
    <w:p>
      <w:pPr>
        <w:ind w:firstLine="480" w:firstLineChars="200"/>
        <w:rPr>
          <w:rFonts w:cs="Times New Roman"/>
        </w:rPr>
      </w:pPr>
      <w:r>
        <w:rPr>
          <w:rFonts w:cs="Times New Roman"/>
        </w:rPr>
        <w:t>1</w:t>
      </w:r>
      <w:r>
        <w:rPr>
          <w:rFonts w:hint="eastAsia" w:cs="Times New Roman"/>
        </w:rPr>
        <w:t>、本公司未发生如下任一情形：</w:t>
      </w:r>
    </w:p>
    <w:p>
      <w:pPr>
        <w:ind w:firstLine="480" w:firstLineChars="200"/>
        <w:rPr>
          <w:rFonts w:cs="Times New Roman"/>
        </w:rPr>
      </w:pPr>
      <w:r>
        <w:rPr>
          <w:rFonts w:hint="eastAsia" w:cs="Times New Roman"/>
        </w:rPr>
        <w:t>（</w:t>
      </w:r>
      <w:r>
        <w:rPr>
          <w:rFonts w:cs="Times New Roman"/>
        </w:rPr>
        <w:t>1</w:t>
      </w:r>
      <w:r>
        <w:rPr>
          <w:rFonts w:hint="eastAsia" w:cs="Times New Roman"/>
        </w:rPr>
        <w:t>）最近一个会计年度财务会计报告被注册会计师出具否定意见或者无法表示意见的审计报告；</w:t>
      </w:r>
    </w:p>
    <w:p>
      <w:pPr>
        <w:ind w:firstLine="480" w:firstLineChars="200"/>
        <w:rPr>
          <w:rFonts w:cs="Times New Roman"/>
        </w:rPr>
      </w:pPr>
      <w:r>
        <w:rPr>
          <w:rFonts w:hint="eastAsia" w:cs="Times New Roman"/>
        </w:rPr>
        <w:t>（</w:t>
      </w:r>
      <w:r>
        <w:rPr>
          <w:rFonts w:cs="Times New Roman"/>
        </w:rPr>
        <w:t>2</w:t>
      </w:r>
      <w:r>
        <w:rPr>
          <w:rFonts w:hint="eastAsia" w:cs="Times New Roman"/>
        </w:rPr>
        <w:t>）最近一个会计年度财务报告内部控制被注册会计师出具否定意见或无法表示意见的审计报告；</w:t>
      </w:r>
    </w:p>
    <w:p>
      <w:pPr>
        <w:ind w:firstLine="480" w:firstLineChars="200"/>
        <w:rPr>
          <w:rFonts w:cs="Times New Roman"/>
        </w:rPr>
      </w:pPr>
      <w:r>
        <w:rPr>
          <w:rFonts w:hint="eastAsia" w:cs="Times New Roman"/>
        </w:rPr>
        <w:t>（</w:t>
      </w:r>
      <w:r>
        <w:rPr>
          <w:rFonts w:cs="Times New Roman"/>
        </w:rPr>
        <w:t>3</w:t>
      </w:r>
      <w:r>
        <w:rPr>
          <w:rFonts w:hint="eastAsia" w:cs="Times New Roman"/>
        </w:rPr>
        <w:t>）上市后最近</w:t>
      </w:r>
      <w:r>
        <w:rPr>
          <w:rFonts w:cs="Times New Roman"/>
        </w:rPr>
        <w:t>36</w:t>
      </w:r>
      <w:r>
        <w:rPr>
          <w:rFonts w:hint="eastAsia" w:cs="Times New Roman"/>
        </w:rPr>
        <w:t>个月内出现过未按法律法规、《公司章程》、公开承诺进行利润分配的情形；</w:t>
      </w:r>
    </w:p>
    <w:p>
      <w:pPr>
        <w:ind w:firstLine="480" w:firstLineChars="200"/>
        <w:rPr>
          <w:rFonts w:cs="Times New Roman"/>
        </w:rPr>
      </w:pPr>
      <w:r>
        <w:rPr>
          <w:rFonts w:hint="eastAsia" w:cs="Times New Roman"/>
        </w:rPr>
        <w:t>（</w:t>
      </w:r>
      <w:r>
        <w:rPr>
          <w:rFonts w:cs="Times New Roman"/>
        </w:rPr>
        <w:t>4</w:t>
      </w:r>
      <w:r>
        <w:rPr>
          <w:rFonts w:hint="eastAsia" w:cs="Times New Roman"/>
        </w:rPr>
        <w:t>）法律法规规定不得实行股权激励的；</w:t>
      </w:r>
    </w:p>
    <w:p>
      <w:pPr>
        <w:ind w:firstLine="480" w:firstLineChars="200"/>
        <w:rPr>
          <w:rFonts w:cs="Times New Roman"/>
        </w:rPr>
      </w:pPr>
      <w:r>
        <w:rPr>
          <w:rFonts w:hint="eastAsia" w:cs="Times New Roman"/>
        </w:rPr>
        <w:t>（</w:t>
      </w:r>
      <w:r>
        <w:rPr>
          <w:rFonts w:cs="Times New Roman"/>
        </w:rPr>
        <w:t>5</w:t>
      </w:r>
      <w:r>
        <w:rPr>
          <w:rFonts w:hint="eastAsia" w:cs="Times New Roman"/>
        </w:rPr>
        <w:t>）中国证监会认定的其他情形。</w:t>
      </w:r>
    </w:p>
    <w:p>
      <w:pPr>
        <w:ind w:firstLine="480" w:firstLineChars="200"/>
      </w:pPr>
      <w:r>
        <w:rPr>
          <w:rFonts w:hint="eastAsia" w:cs="Times New Roman"/>
        </w:rPr>
        <w:t>公司发生上述第</w:t>
      </w:r>
      <w:r>
        <w:rPr>
          <w:rFonts w:cs="Times New Roman"/>
        </w:rPr>
        <w:t>1</w:t>
      </w:r>
      <w:r>
        <w:rPr>
          <w:rFonts w:hint="eastAsia" w:cs="Times New Roman"/>
        </w:rPr>
        <w:t>条规定情形之一的，</w:t>
      </w:r>
      <w:r>
        <w:t>激励对象根据本计划已获授但尚未行权的股票期权应当由公司注销。</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、激励对象未发生如下任一情形：</w:t>
      </w:r>
    </w:p>
    <w:p>
      <w:pPr>
        <w:ind w:firstLine="480" w:firstLineChars="200"/>
        <w:rPr>
          <w:rFonts w:cs="Times New Roman"/>
          <w:b/>
          <w:bCs/>
        </w:rPr>
      </w:pPr>
      <w:r>
        <w:rPr>
          <w:rFonts w:hint="eastAsia" w:cs="Times New Roman"/>
        </w:rPr>
        <w:t>（</w:t>
      </w:r>
      <w:r>
        <w:rPr>
          <w:rFonts w:cs="Times New Roman"/>
        </w:rPr>
        <w:t>1</w:t>
      </w:r>
      <w:r>
        <w:rPr>
          <w:rFonts w:hint="eastAsia" w:cs="Times New Roman"/>
        </w:rPr>
        <w:t>）最近</w:t>
      </w:r>
      <w:r>
        <w:rPr>
          <w:rFonts w:cs="Times New Roman"/>
        </w:rPr>
        <w:t>12</w:t>
      </w:r>
      <w:r>
        <w:rPr>
          <w:rFonts w:hint="eastAsia" w:cs="Times New Roman"/>
        </w:rPr>
        <w:t>个月内被证券交易所认定为不适当人选；</w:t>
      </w:r>
    </w:p>
    <w:p>
      <w:pPr>
        <w:ind w:firstLine="480" w:firstLineChars="200"/>
        <w:rPr>
          <w:rFonts w:cs="Times New Roman"/>
          <w:b/>
          <w:bCs/>
        </w:rPr>
      </w:pPr>
      <w:r>
        <w:rPr>
          <w:rFonts w:hint="eastAsia" w:cs="Times New Roman"/>
        </w:rPr>
        <w:t>（</w:t>
      </w:r>
      <w:r>
        <w:rPr>
          <w:rFonts w:cs="Times New Roman"/>
        </w:rPr>
        <w:t>2</w:t>
      </w:r>
      <w:r>
        <w:rPr>
          <w:rFonts w:hint="eastAsia" w:cs="Times New Roman"/>
        </w:rPr>
        <w:t>）最近</w:t>
      </w:r>
      <w:r>
        <w:rPr>
          <w:rFonts w:cs="Times New Roman"/>
        </w:rPr>
        <w:t>12</w:t>
      </w:r>
      <w:r>
        <w:rPr>
          <w:rFonts w:hint="eastAsia" w:cs="Times New Roman"/>
        </w:rPr>
        <w:t>个月内被中国证监会及其派出机构认定为不适当人选；</w:t>
      </w:r>
    </w:p>
    <w:p>
      <w:pPr>
        <w:ind w:firstLine="480" w:firstLineChars="200"/>
        <w:rPr>
          <w:rFonts w:cs="Times New Roman"/>
        </w:rPr>
      </w:pPr>
      <w:r>
        <w:rPr>
          <w:rFonts w:hint="eastAsia" w:cs="Times New Roman"/>
        </w:rPr>
        <w:t>（</w:t>
      </w:r>
      <w:r>
        <w:rPr>
          <w:rFonts w:cs="Times New Roman"/>
        </w:rPr>
        <w:t>3</w:t>
      </w:r>
      <w:r>
        <w:rPr>
          <w:rFonts w:hint="eastAsia" w:cs="Times New Roman"/>
        </w:rPr>
        <w:t>）最近</w:t>
      </w:r>
      <w:r>
        <w:rPr>
          <w:rFonts w:cs="Times New Roman"/>
        </w:rPr>
        <w:t>12</w:t>
      </w:r>
      <w:r>
        <w:rPr>
          <w:rFonts w:hint="eastAsia" w:cs="Times New Roman"/>
        </w:rPr>
        <w:t>个月内因重大违法违规行为被中国证监会及其派出机构行政处罚或者采取市场禁入措施；</w:t>
      </w:r>
    </w:p>
    <w:p>
      <w:pPr>
        <w:ind w:firstLine="480" w:firstLineChars="200"/>
        <w:rPr>
          <w:rFonts w:cs="Times New Roman"/>
        </w:rPr>
      </w:pPr>
      <w:r>
        <w:rPr>
          <w:rFonts w:hint="eastAsia" w:cs="Times New Roman"/>
        </w:rPr>
        <w:t>（</w:t>
      </w:r>
      <w:r>
        <w:rPr>
          <w:rFonts w:cs="Times New Roman"/>
        </w:rPr>
        <w:t>4</w:t>
      </w:r>
      <w:r>
        <w:rPr>
          <w:rFonts w:hint="eastAsia" w:cs="Times New Roman"/>
        </w:rPr>
        <w:t>）具有《公司法》规定的不得担任公司董事、高级管理人员的情形；</w:t>
      </w:r>
    </w:p>
    <w:p>
      <w:pPr>
        <w:ind w:firstLine="480" w:firstLineChars="200"/>
        <w:rPr>
          <w:rFonts w:cs="Times New Roman"/>
          <w:b/>
          <w:bCs/>
        </w:rPr>
      </w:pPr>
      <w:r>
        <w:rPr>
          <w:rFonts w:hint="eastAsia" w:cs="Times New Roman"/>
        </w:rPr>
        <w:t>（</w:t>
      </w:r>
      <w:r>
        <w:rPr>
          <w:rFonts w:cs="Times New Roman"/>
        </w:rPr>
        <w:t>5</w:t>
      </w:r>
      <w:r>
        <w:rPr>
          <w:rFonts w:hint="eastAsia" w:cs="Times New Roman"/>
        </w:rPr>
        <w:t>）法律法规规定不得参与上市公司股权激励的；</w:t>
      </w:r>
    </w:p>
    <w:p>
      <w:pPr>
        <w:ind w:firstLine="480" w:firstLineChars="200"/>
        <w:rPr>
          <w:rFonts w:cs="Times New Roman"/>
        </w:rPr>
      </w:pPr>
      <w:r>
        <w:rPr>
          <w:rFonts w:hint="eastAsia" w:cs="Times New Roman"/>
        </w:rPr>
        <w:t>（</w:t>
      </w:r>
      <w:r>
        <w:rPr>
          <w:rFonts w:cs="Times New Roman"/>
        </w:rPr>
        <w:t>6</w:t>
      </w:r>
      <w:r>
        <w:rPr>
          <w:rFonts w:hint="eastAsia" w:cs="Times New Roman"/>
        </w:rPr>
        <w:t>）中国证监会认定的其他情形。</w:t>
      </w:r>
    </w:p>
    <w:p>
      <w:pPr>
        <w:ind w:firstLine="480" w:firstLineChars="200"/>
      </w:pPr>
      <w:r>
        <w:rPr>
          <w:rFonts w:hint="eastAsia" w:cs="Times New Roman"/>
        </w:rPr>
        <w:t>某一激励对象出现上述第</w:t>
      </w:r>
      <w:r>
        <w:rPr>
          <w:rFonts w:cs="Times New Roman"/>
        </w:rPr>
        <w:t>2</w:t>
      </w:r>
      <w:r>
        <w:rPr>
          <w:rFonts w:hint="eastAsia" w:cs="Times New Roman"/>
        </w:rPr>
        <w:t>条规定情形之一的，</w:t>
      </w:r>
      <w:r>
        <w:t>公司将终止其参与本激励计划的权利，该激励对象根据本激励计划已获授但尚未行权的股票期权应当由公司注销。</w:t>
      </w:r>
    </w:p>
    <w:p>
      <w:pPr>
        <w:ind w:firstLine="480" w:firstLineChars="200"/>
        <w:rPr>
          <w:rFonts w:cs="Times New Roman"/>
          <w:color w:val="000000"/>
          <w:kern w:val="0"/>
        </w:rPr>
      </w:pPr>
      <w:r>
        <w:rPr>
          <w:rFonts w:cs="Times New Roman"/>
          <w:color w:val="000000"/>
          <w:kern w:val="0"/>
        </w:rPr>
        <w:t>3</w:t>
      </w:r>
      <w:r>
        <w:rPr>
          <w:rFonts w:hint="eastAsia" w:cs="Times New Roman"/>
          <w:color w:val="000000"/>
          <w:kern w:val="0"/>
        </w:rPr>
        <w:t>、公司层面的业绩考核要求：</w:t>
      </w:r>
    </w:p>
    <w:p>
      <w:pPr>
        <w:ind w:firstLine="480" w:firstLineChars="200"/>
      </w:pPr>
      <w:r>
        <w:t>本激励计划在</w:t>
      </w:r>
      <w:r>
        <w:rPr>
          <w:rFonts w:cs="Times New Roman"/>
        </w:rPr>
        <w:t>2021</w:t>
      </w:r>
      <w:r>
        <w:t>年至</w:t>
      </w:r>
      <w:r>
        <w:rPr>
          <w:rFonts w:cs="Times New Roman"/>
        </w:rPr>
        <w:t>2023</w:t>
      </w:r>
      <w:r>
        <w:t>年会计年度中，分年度对公司的业绩指标进行考核，以达到业绩考核目标作为激励对象当年度的行权条件之一。本次</w:t>
      </w:r>
      <w:r>
        <w:rPr>
          <w:rFonts w:hint="eastAsia"/>
        </w:rPr>
        <w:t>授予的股票期权的业绩考核目标如下表所示：</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6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277" w:type="pct"/>
            <w:tcBorders>
              <w:top w:val="single" w:color="auto" w:sz="4" w:space="0"/>
              <w:left w:val="single" w:color="auto" w:sz="4" w:space="0"/>
              <w:bottom w:val="single" w:color="auto" w:sz="4" w:space="0"/>
              <w:right w:val="single" w:color="auto" w:sz="4" w:space="0"/>
            </w:tcBorders>
            <w:shd w:val="clear" w:color="auto" w:fill="F2F2F2"/>
            <w:vAlign w:val="center"/>
          </w:tcPr>
          <w:p>
            <w:pPr>
              <w:spacing w:line="240" w:lineRule="auto"/>
              <w:ind w:firstLine="357"/>
              <w:jc w:val="center"/>
              <w:rPr>
                <w:rFonts w:cs="Times New Roman"/>
                <w:b/>
                <w:sz w:val="21"/>
                <w:szCs w:val="18"/>
              </w:rPr>
            </w:pPr>
            <w:r>
              <w:rPr>
                <w:rFonts w:hint="eastAsia" w:cs="Times New Roman"/>
                <w:b/>
                <w:sz w:val="21"/>
                <w:szCs w:val="18"/>
              </w:rPr>
              <w:t>行权</w:t>
            </w:r>
            <w:r>
              <w:rPr>
                <w:rFonts w:cs="Times New Roman"/>
                <w:b/>
                <w:sz w:val="21"/>
                <w:szCs w:val="18"/>
              </w:rPr>
              <w:t>期</w:t>
            </w:r>
          </w:p>
        </w:tc>
        <w:tc>
          <w:tcPr>
            <w:tcW w:w="3723" w:type="pct"/>
            <w:tcBorders>
              <w:top w:val="single" w:color="auto" w:sz="4" w:space="0"/>
              <w:left w:val="single" w:color="auto" w:sz="4" w:space="0"/>
              <w:bottom w:val="single" w:color="auto" w:sz="4" w:space="0"/>
              <w:right w:val="single" w:color="auto" w:sz="4" w:space="0"/>
            </w:tcBorders>
            <w:shd w:val="clear" w:color="auto" w:fill="F2F2F2"/>
            <w:vAlign w:val="center"/>
          </w:tcPr>
          <w:p>
            <w:pPr>
              <w:spacing w:line="240" w:lineRule="auto"/>
              <w:ind w:firstLine="357"/>
              <w:jc w:val="center"/>
              <w:rPr>
                <w:rFonts w:cs="Times New Roman"/>
                <w:b/>
                <w:sz w:val="21"/>
                <w:szCs w:val="18"/>
              </w:rPr>
            </w:pPr>
            <w:r>
              <w:rPr>
                <w:rFonts w:cs="Times New Roman"/>
                <w:b/>
                <w:sz w:val="21"/>
                <w:szCs w:val="18"/>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77" w:type="pct"/>
            <w:vAlign w:val="center"/>
          </w:tcPr>
          <w:p>
            <w:pPr>
              <w:spacing w:line="240" w:lineRule="auto"/>
              <w:jc w:val="center"/>
              <w:rPr>
                <w:rFonts w:cs="Times New Roman"/>
                <w:sz w:val="21"/>
                <w:szCs w:val="21"/>
              </w:rPr>
            </w:pPr>
            <w:r>
              <w:rPr>
                <w:rFonts w:cs="Times New Roman"/>
                <w:sz w:val="21"/>
                <w:szCs w:val="21"/>
              </w:rPr>
              <w:t>第一个</w:t>
            </w:r>
            <w:r>
              <w:rPr>
                <w:rFonts w:hint="eastAsia" w:cs="Times New Roman"/>
                <w:sz w:val="21"/>
                <w:szCs w:val="21"/>
              </w:rPr>
              <w:t>行权</w:t>
            </w:r>
            <w:r>
              <w:rPr>
                <w:rFonts w:cs="Times New Roman"/>
                <w:sz w:val="21"/>
                <w:szCs w:val="21"/>
              </w:rPr>
              <w:t>期</w:t>
            </w:r>
          </w:p>
        </w:tc>
        <w:tc>
          <w:tcPr>
            <w:tcW w:w="3723" w:type="pct"/>
            <w:vAlign w:val="center"/>
          </w:tcPr>
          <w:p>
            <w:pPr>
              <w:spacing w:line="240" w:lineRule="auto"/>
              <w:rPr>
                <w:rFonts w:cs="Times New Roman"/>
                <w:sz w:val="21"/>
                <w:szCs w:val="21"/>
              </w:rPr>
            </w:pPr>
            <w:r>
              <w:rPr>
                <w:rFonts w:hint="eastAsia" w:cs="Times New Roman"/>
                <w:sz w:val="21"/>
                <w:szCs w:val="21"/>
              </w:rPr>
              <w:t>以</w:t>
            </w:r>
            <w:r>
              <w:rPr>
                <w:rFonts w:cs="Times New Roman"/>
                <w:sz w:val="21"/>
                <w:szCs w:val="21"/>
              </w:rPr>
              <w:t>2020</w:t>
            </w:r>
            <w:r>
              <w:rPr>
                <w:rFonts w:hint="eastAsia" w:cs="Times New Roman"/>
                <w:sz w:val="21"/>
                <w:szCs w:val="21"/>
              </w:rPr>
              <w:t>年的净利润为基数，</w:t>
            </w:r>
            <w:r>
              <w:rPr>
                <w:rFonts w:cs="Times New Roman"/>
                <w:sz w:val="21"/>
                <w:szCs w:val="21"/>
              </w:rPr>
              <w:t>2021</w:t>
            </w:r>
            <w:r>
              <w:rPr>
                <w:rFonts w:hint="eastAsia" w:cs="Times New Roman"/>
                <w:sz w:val="21"/>
                <w:szCs w:val="21"/>
              </w:rPr>
              <w:t>年的净利润增长率不低于</w:t>
            </w:r>
            <w:r>
              <w:rPr>
                <w:rFonts w:cs="Times New Roman"/>
                <w:sz w:val="21"/>
                <w:szCs w:val="21"/>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36" w:type="dxa"/>
            <w:vAlign w:val="center"/>
          </w:tcPr>
          <w:p>
            <w:pPr>
              <w:spacing w:line="240" w:lineRule="auto"/>
              <w:jc w:val="center"/>
              <w:rPr>
                <w:rFonts w:cs="Times New Roman"/>
                <w:sz w:val="21"/>
                <w:szCs w:val="21"/>
              </w:rPr>
            </w:pPr>
            <w:r>
              <w:rPr>
                <w:rFonts w:cs="Times New Roman"/>
                <w:sz w:val="21"/>
                <w:szCs w:val="21"/>
              </w:rPr>
              <w:t>第二个</w:t>
            </w:r>
            <w:r>
              <w:rPr>
                <w:rFonts w:hint="eastAsia" w:cs="Times New Roman"/>
                <w:sz w:val="21"/>
                <w:szCs w:val="21"/>
              </w:rPr>
              <w:t>行权</w:t>
            </w:r>
            <w:r>
              <w:rPr>
                <w:rFonts w:cs="Times New Roman"/>
                <w:sz w:val="21"/>
                <w:szCs w:val="21"/>
              </w:rPr>
              <w:t>期</w:t>
            </w:r>
          </w:p>
        </w:tc>
        <w:tc>
          <w:tcPr>
            <w:tcW w:w="6518" w:type="dxa"/>
            <w:vAlign w:val="center"/>
          </w:tcPr>
          <w:p>
            <w:pPr>
              <w:spacing w:line="240" w:lineRule="auto"/>
              <w:rPr>
                <w:rFonts w:cs="Times New Roman"/>
                <w:sz w:val="21"/>
                <w:szCs w:val="21"/>
              </w:rPr>
            </w:pPr>
            <w:r>
              <w:rPr>
                <w:rFonts w:hint="eastAsia" w:cs="Times New Roman"/>
                <w:sz w:val="21"/>
                <w:szCs w:val="21"/>
              </w:rPr>
              <w:t>以</w:t>
            </w:r>
            <w:r>
              <w:rPr>
                <w:rFonts w:cs="Times New Roman"/>
                <w:sz w:val="21"/>
                <w:szCs w:val="21"/>
              </w:rPr>
              <w:t>2020</w:t>
            </w:r>
            <w:r>
              <w:rPr>
                <w:rFonts w:hint="eastAsia" w:cs="Times New Roman"/>
                <w:sz w:val="21"/>
                <w:szCs w:val="21"/>
              </w:rPr>
              <w:t>年的净利润为基数，</w:t>
            </w:r>
            <w:r>
              <w:rPr>
                <w:rFonts w:cs="Times New Roman"/>
                <w:sz w:val="21"/>
                <w:szCs w:val="21"/>
              </w:rPr>
              <w:t>2022</w:t>
            </w:r>
            <w:r>
              <w:rPr>
                <w:rFonts w:hint="eastAsia" w:cs="Times New Roman"/>
                <w:sz w:val="21"/>
                <w:szCs w:val="21"/>
              </w:rPr>
              <w:t>年的净利润增长率不低于</w:t>
            </w:r>
            <w:r>
              <w:rPr>
                <w:rFonts w:cs="Times New Roman"/>
                <w:sz w:val="21"/>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236" w:type="dxa"/>
            <w:vAlign w:val="center"/>
          </w:tcPr>
          <w:p>
            <w:pPr>
              <w:spacing w:line="240" w:lineRule="auto"/>
              <w:jc w:val="center"/>
              <w:rPr>
                <w:rFonts w:cs="Times New Roman"/>
                <w:sz w:val="21"/>
                <w:szCs w:val="21"/>
              </w:rPr>
            </w:pPr>
            <w:r>
              <w:rPr>
                <w:rFonts w:cs="Times New Roman"/>
                <w:sz w:val="21"/>
                <w:szCs w:val="21"/>
              </w:rPr>
              <w:t>第三个</w:t>
            </w:r>
            <w:r>
              <w:rPr>
                <w:rFonts w:hint="eastAsia" w:cs="Times New Roman"/>
                <w:sz w:val="21"/>
                <w:szCs w:val="21"/>
              </w:rPr>
              <w:t>行权</w:t>
            </w:r>
            <w:r>
              <w:rPr>
                <w:rFonts w:cs="Times New Roman"/>
                <w:sz w:val="21"/>
                <w:szCs w:val="21"/>
              </w:rPr>
              <w:t>期</w:t>
            </w:r>
          </w:p>
        </w:tc>
        <w:tc>
          <w:tcPr>
            <w:tcW w:w="6518" w:type="dxa"/>
            <w:vAlign w:val="center"/>
          </w:tcPr>
          <w:p>
            <w:pPr>
              <w:spacing w:line="240" w:lineRule="auto"/>
              <w:rPr>
                <w:rFonts w:cs="Times New Roman"/>
                <w:sz w:val="21"/>
                <w:szCs w:val="21"/>
              </w:rPr>
            </w:pPr>
            <w:r>
              <w:rPr>
                <w:rFonts w:hint="eastAsia" w:cs="Times New Roman"/>
                <w:sz w:val="21"/>
                <w:szCs w:val="21"/>
              </w:rPr>
              <w:t>以</w:t>
            </w:r>
            <w:r>
              <w:rPr>
                <w:rFonts w:cs="Times New Roman"/>
                <w:sz w:val="21"/>
                <w:szCs w:val="21"/>
              </w:rPr>
              <w:t>2020</w:t>
            </w:r>
            <w:r>
              <w:rPr>
                <w:rFonts w:hint="eastAsia" w:cs="Times New Roman"/>
                <w:sz w:val="21"/>
                <w:szCs w:val="21"/>
              </w:rPr>
              <w:t>年的净利润为基数，</w:t>
            </w:r>
            <w:r>
              <w:rPr>
                <w:rFonts w:cs="Times New Roman"/>
                <w:sz w:val="21"/>
                <w:szCs w:val="21"/>
              </w:rPr>
              <w:t>2023</w:t>
            </w:r>
            <w:r>
              <w:rPr>
                <w:rFonts w:hint="eastAsia" w:cs="Times New Roman"/>
                <w:sz w:val="21"/>
                <w:szCs w:val="21"/>
              </w:rPr>
              <w:t>年的净利润增长率不低于</w:t>
            </w:r>
            <w:r>
              <w:rPr>
                <w:rFonts w:cs="Times New Roman"/>
                <w:sz w:val="21"/>
                <w:szCs w:val="21"/>
              </w:rPr>
              <w:t>105%</w:t>
            </w:r>
          </w:p>
        </w:tc>
      </w:tr>
    </w:tbl>
    <w:p>
      <w:pPr>
        <w:spacing w:line="240" w:lineRule="auto"/>
        <w:ind w:firstLine="420" w:firstLineChars="200"/>
        <w:rPr>
          <w:sz w:val="21"/>
          <w:szCs w:val="21"/>
        </w:rPr>
      </w:pPr>
      <w:r>
        <w:rPr>
          <w:rFonts w:ascii="宋体" w:hAnsi="宋体" w:cs="Arial"/>
          <w:sz w:val="21"/>
          <w:szCs w:val="21"/>
        </w:rPr>
        <w:t>注</w:t>
      </w:r>
      <w:r>
        <w:rPr>
          <w:rFonts w:hint="eastAsia" w:ascii="宋体" w:hAnsi="宋体" w:cs="Arial"/>
          <w:sz w:val="21"/>
          <w:szCs w:val="21"/>
        </w:rPr>
        <w:t>：上述“净利润”指经审计的归属于上市公司股东的净利润，</w:t>
      </w:r>
      <w:r>
        <w:rPr>
          <w:rFonts w:ascii="宋体" w:hAnsi="宋体" w:cs="Arial"/>
          <w:sz w:val="21"/>
          <w:szCs w:val="21"/>
        </w:rPr>
        <w:t>但</w:t>
      </w:r>
      <w:r>
        <w:rPr>
          <w:rFonts w:hint="eastAsia" w:ascii="宋体" w:hAnsi="宋体" w:cs="Arial"/>
          <w:sz w:val="21"/>
          <w:szCs w:val="21"/>
        </w:rPr>
        <w:t>剔除本次及其它激励计划股份支付费用影响的数值作为计算依据。</w:t>
      </w:r>
    </w:p>
    <w:p>
      <w:pPr>
        <w:ind w:firstLine="480" w:firstLineChars="200"/>
        <w:rPr>
          <w:rFonts w:asciiTheme="minorEastAsia" w:hAnsiTheme="minorEastAsia"/>
          <w:color w:val="000000"/>
        </w:rPr>
      </w:pPr>
      <w:r>
        <w:rPr>
          <w:rFonts w:hint="eastAsia" w:asciiTheme="minorEastAsia" w:hAnsiTheme="minorEastAsia"/>
          <w:color w:val="000000"/>
        </w:rPr>
        <w:t>行权期内，公司为满足行权条件的激励对象办理行权事宜。若各行权期内，公司当期业绩水平未达到业绩考核目标条件的，所有激励对象对应考核当年可行权的股票期权均不得行权，公司注销激励对象股票期权当期可行权份额。</w:t>
      </w:r>
    </w:p>
    <w:p>
      <w:pPr>
        <w:ind w:firstLine="480" w:firstLineChars="200"/>
        <w:rPr>
          <w:rFonts w:cs="Times New Roman"/>
          <w:color w:val="000000"/>
          <w:kern w:val="0"/>
        </w:rPr>
      </w:pPr>
      <w:r>
        <w:rPr>
          <w:rFonts w:cs="Times New Roman"/>
          <w:color w:val="000000"/>
          <w:kern w:val="0"/>
        </w:rPr>
        <w:t>4</w:t>
      </w:r>
      <w:r>
        <w:rPr>
          <w:rFonts w:hint="eastAsia" w:cs="Times New Roman"/>
          <w:color w:val="000000"/>
          <w:kern w:val="0"/>
        </w:rPr>
        <w:t>、激励对象个人层面的绩效考核要求：</w:t>
      </w:r>
    </w:p>
    <w:p>
      <w:pPr>
        <w:ind w:firstLine="480" w:firstLineChars="200"/>
        <w:rPr>
          <w:color w:val="000000"/>
        </w:rPr>
      </w:pPr>
      <w:r>
        <w:rPr>
          <w:color w:val="000000"/>
        </w:rPr>
        <w:t>激励对象个人层面的考核根据公司内部绩效考核相关制度实施。激励对象个人考核评价结果</w:t>
      </w:r>
      <w:r>
        <w:rPr>
          <w:rFonts w:hint="eastAsia"/>
          <w:color w:val="000000"/>
        </w:rPr>
        <w:t>分为</w:t>
      </w:r>
      <w:r>
        <w:rPr>
          <w:color w:val="000000"/>
        </w:rPr>
        <w:t>“</w:t>
      </w:r>
      <w:r>
        <w:rPr>
          <w:rFonts w:hint="eastAsia"/>
          <w:color w:val="000000"/>
        </w:rPr>
        <w:t>合格</w:t>
      </w:r>
      <w:r>
        <w:rPr>
          <w:color w:val="000000"/>
        </w:rPr>
        <w:t>”</w:t>
      </w:r>
      <w:r>
        <w:rPr>
          <w:rFonts w:hint="eastAsia"/>
          <w:color w:val="000000"/>
        </w:rPr>
        <w:t>、</w:t>
      </w:r>
      <w:r>
        <w:rPr>
          <w:color w:val="000000"/>
        </w:rPr>
        <w:t>“</w:t>
      </w:r>
      <w:r>
        <w:rPr>
          <w:rFonts w:hint="eastAsia"/>
          <w:color w:val="000000"/>
        </w:rPr>
        <w:t>不合格</w:t>
      </w:r>
      <w:r>
        <w:rPr>
          <w:color w:val="000000"/>
        </w:rPr>
        <w:t>”</w:t>
      </w:r>
      <w:r>
        <w:rPr>
          <w:rFonts w:hint="eastAsia"/>
          <w:color w:val="000000"/>
        </w:rPr>
        <w:t>两个</w:t>
      </w:r>
      <w:r>
        <w:rPr>
          <w:color w:val="000000"/>
        </w:rPr>
        <w:t>等级</w:t>
      </w:r>
      <w:r>
        <w:rPr>
          <w:rFonts w:hint="eastAsia"/>
          <w:color w:val="000000"/>
        </w:rPr>
        <w:t>。</w:t>
      </w:r>
    </w:p>
    <w:p>
      <w:pPr>
        <w:ind w:firstLine="480" w:firstLineChars="200"/>
        <w:rPr>
          <w:color w:val="000000"/>
        </w:rPr>
      </w:pPr>
      <w:r>
        <w:rPr>
          <w:rFonts w:hint="eastAsia"/>
          <w:color w:val="000000"/>
        </w:rPr>
        <w:t>在公司业绩目标达成的前提下，若激励对象上一年度个人绩效考核结果达到“合格”，则激励对象对应考核当年的股票期权可全部行权；若激励对象上一年度个人绩效考核结果</w:t>
      </w:r>
      <w:r>
        <w:rPr>
          <w:rFonts w:hint="eastAsia" w:asciiTheme="minorEastAsia" w:hAnsiTheme="minorEastAsia" w:eastAsiaTheme="minorEastAsia"/>
          <w:color w:val="000000"/>
        </w:rPr>
        <w:t>“不合格”</w:t>
      </w:r>
      <w:r>
        <w:rPr>
          <w:rFonts w:hint="eastAsia"/>
          <w:color w:val="000000"/>
        </w:rPr>
        <w:t>，则激励对象对应考核当年可行权的股票期权全部不得行权。激励对象未能行权的股票期权由公司注销。</w:t>
      </w:r>
    </w:p>
    <w:p>
      <w:pPr>
        <w:ind w:firstLine="480" w:firstLineChars="200"/>
        <w:rPr>
          <w:rFonts w:cs="Times New Roman"/>
        </w:rPr>
      </w:pPr>
      <w:r>
        <w:rPr>
          <w:rFonts w:hint="eastAsia" w:cs="Times New Roman"/>
        </w:rPr>
        <w:t>本激励计划具体考核内容依据《格尔软件股份有限公司</w:t>
      </w:r>
      <w:r>
        <w:rPr>
          <w:rFonts w:cs="Times New Roman"/>
        </w:rPr>
        <w:t>2021年</w:t>
      </w:r>
      <w:r>
        <w:rPr>
          <w:rFonts w:hint="eastAsia" w:cs="Times New Roman"/>
        </w:rPr>
        <w:t>股票期权激励计划实施考核管理办法》（以下简称“《公司考核管理办法》”）执行。</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（三）公司业绩考核指标设定科学性、合理性说明</w:t>
      </w:r>
    </w:p>
    <w:p>
      <w:pPr>
        <w:spacing w:line="360" w:lineRule="auto"/>
        <w:ind w:firstLine="480" w:firstLineChars="200"/>
        <w:rPr>
          <w:rFonts w:cs="Times New Roman"/>
        </w:rPr>
      </w:pPr>
      <w:r>
        <w:rPr>
          <w:rFonts w:hint="eastAsia" w:cs="Times New Roman"/>
        </w:rPr>
        <w:t>公司专注于信息安全行业PKI领域，主要从事以公钥基础设施PKI（Public Key Infrastructure）为核心的商用密码软件产品的研发、生产和销售及服务业务。近年来，基于政策扶持、需求扩张、应用升级等方面的驱动，我国网络安全产业发展进入快速成长期。2019年9月工信部《关于促进网络安全产业发展的指导意见（征求意见稿）》公开征求意见，提出“到2025年培育形成一批年营收超过20亿的网络安全企业，形成若干具有影响力的网络安全骨干企业，网络安全产业规模超过2000亿”的发展目标。目前我国网络安全产业总体与欧美等国家相比规模较小，网络安全与信息化发展还存在一定的不平衡，网络安全市场需求呈多元化、定制化发展的趋势，行业相关的各细分领域厂商通过差异化定位为用户提供各类信息安全产品，不同厂商的产品覆盖面、所擅长的细分领域和具体产品也不尽相同。可以说，安全产品市场缺乏真正的龙头企业，机会和挑战并存。</w:t>
      </w:r>
    </w:p>
    <w:p>
      <w:pPr>
        <w:spacing w:line="360" w:lineRule="auto"/>
        <w:ind w:firstLine="480" w:firstLineChars="200"/>
        <w:rPr>
          <w:rFonts w:cs="Times New Roman"/>
        </w:rPr>
      </w:pPr>
      <w:r>
        <w:rPr>
          <w:rFonts w:hint="eastAsia" w:cs="Times New Roman"/>
        </w:rPr>
        <w:t>近年来，国内传统网络安全行业企业不断加强对新兴领域的探索，并向安全服务转型。随着新技术和新的应用场景的拓展，拥有核心技术实力、行业先发优势、客户资源、人才储备、行业相关前沿技术研发优势等方面优势的各细分领域相关企业，将成为信息安全行业的领头者。各细分领域内的企业将通过其在细分领域建立的基础，继续深挖自身核心技术优势，探索新技术与不同应用场景相结合的模式，同时将逐步向其他细分领域进行渗透。秉承“规范、健康、持续、稳健”的经营方针，公司在继续专注于自身主营业务能力提升的同时，公司将继续加强不同场景、不同行业下安全需求的研究，针对云计算、工业互联网、车联网、区块链等新兴领域的关键信息基础设施，推进技术研究，加强产学合作。</w:t>
      </w:r>
    </w:p>
    <w:p>
      <w:pPr>
        <w:spacing w:line="360" w:lineRule="auto"/>
        <w:ind w:firstLine="480" w:firstLineChars="200"/>
        <w:rPr>
          <w:rFonts w:cs="Times New Roman"/>
        </w:rPr>
      </w:pPr>
      <w:r>
        <w:rPr>
          <w:rFonts w:hint="eastAsia" w:cs="Times New Roman"/>
        </w:rPr>
        <w:t>为实现公司战略规划、经营目标、保持综合竞争力，本激励计划决定选用经审计的归属于上市公司股东净利润剔除股权激励影响后的数值作为公司层面业绩考核指标，该指标能够直接反映公司的主营业务的经营情况和盈利能力。</w:t>
      </w:r>
    </w:p>
    <w:p>
      <w:pPr>
        <w:widowControl w:val="0"/>
        <w:spacing w:line="360" w:lineRule="auto"/>
        <w:ind w:firstLine="480" w:firstLineChars="200"/>
        <w:rPr>
          <w:rFonts w:cs="Times New Roman"/>
        </w:rPr>
      </w:pPr>
      <w:r>
        <w:rPr>
          <w:rFonts w:hint="eastAsia" w:cs="Times New Roman"/>
        </w:rPr>
        <w:t>根据本激励计划业绩指标的设定，公司</w:t>
      </w:r>
      <w:r>
        <w:rPr>
          <w:rFonts w:cs="Times New Roman"/>
        </w:rPr>
        <w:t>2021</w:t>
      </w:r>
      <w:r>
        <w:rPr>
          <w:rFonts w:hint="eastAsia" w:cs="Times New Roman"/>
        </w:rPr>
        <w:t>年～</w:t>
      </w:r>
      <w:r>
        <w:rPr>
          <w:rFonts w:cs="Times New Roman"/>
        </w:rPr>
        <w:t>2023</w:t>
      </w:r>
      <w:r>
        <w:rPr>
          <w:rFonts w:hint="eastAsia" w:cs="Times New Roman"/>
        </w:rPr>
        <w:t>年</w:t>
      </w:r>
      <w:bookmarkStart w:id="0" w:name="OLE_LINK2"/>
      <w:r>
        <w:rPr>
          <w:rFonts w:hint="eastAsia" w:cs="Times New Roman"/>
        </w:rPr>
        <w:t>经审计的归属于上市公司股东净利润剔除股权激励影响后的数值较</w:t>
      </w:r>
      <w:r>
        <w:rPr>
          <w:rFonts w:cs="Times New Roman"/>
        </w:rPr>
        <w:t>2020</w:t>
      </w:r>
      <w:r>
        <w:rPr>
          <w:rFonts w:hint="eastAsia" w:cs="Times New Roman"/>
        </w:rPr>
        <w:t>年增长分别不低于</w:t>
      </w:r>
      <w:r>
        <w:rPr>
          <w:rFonts w:cs="Times New Roman"/>
        </w:rPr>
        <w:t xml:space="preserve"> 35%</w:t>
      </w:r>
      <w:r>
        <w:rPr>
          <w:rFonts w:hint="eastAsia" w:cs="Times New Roman"/>
        </w:rPr>
        <w:t>、</w:t>
      </w:r>
      <w:r>
        <w:rPr>
          <w:rFonts w:cs="Times New Roman"/>
        </w:rPr>
        <w:t>70%</w:t>
      </w:r>
      <w:r>
        <w:rPr>
          <w:rFonts w:hint="eastAsia" w:cs="Times New Roman"/>
        </w:rPr>
        <w:t>和</w:t>
      </w:r>
      <w:r>
        <w:rPr>
          <w:rFonts w:cs="Times New Roman"/>
        </w:rPr>
        <w:t>105%</w:t>
      </w:r>
      <w:bookmarkEnd w:id="0"/>
      <w:r>
        <w:rPr>
          <w:rFonts w:hint="eastAsia" w:cs="Times New Roman"/>
        </w:rPr>
        <w:t>。该业绩指标的设定是结合了公司现状、未来战略规划以及行业的发展等因素综合考虑而制定，设定的考核指标对未来发展具有一定挑战性，该指标一方面有助于提升公司竞争能力以及调动员工的工作积极性，另一方面，能聚焦公司未来发展战略方向，稳定经营目标的实现。</w:t>
      </w:r>
      <w:r>
        <w:rPr>
          <w:rFonts w:cs="Times New Roman"/>
        </w:rPr>
        <w:t>确保公司未来发展战略和经营目标的实现，为股东带来更高效、更持久的回报。</w:t>
      </w:r>
    </w:p>
    <w:p>
      <w:pPr>
        <w:widowControl w:val="0"/>
        <w:spacing w:line="360" w:lineRule="auto"/>
        <w:ind w:firstLine="480" w:firstLineChars="200"/>
        <w:rPr>
          <w:rFonts w:cs="Times New Roman"/>
        </w:rPr>
      </w:pPr>
      <w:r>
        <w:rPr>
          <w:rFonts w:cs="Times New Roman"/>
        </w:rPr>
        <w:t>除公司层面的业绩考核外，公司对个人还设置了严密的绩效考核体系，能够对激励对象的工作绩效作出较为准确、全面的综合评价。公司将根据激励对象前一年度绩效考评结果，确定激励对象个人是否达到行权的条件。</w:t>
      </w:r>
    </w:p>
    <w:p>
      <w:pPr>
        <w:spacing w:line="360" w:lineRule="auto"/>
        <w:ind w:firstLine="480" w:firstLineChars="200"/>
        <w:rPr>
          <w:rFonts w:cs="Times New Roman"/>
        </w:rPr>
      </w:pPr>
      <w:r>
        <w:rPr>
          <w:rFonts w:cs="Times New Roman"/>
        </w:rPr>
        <w:t>综上，公司本次激励计划的考核体系具有全面性、综合性及可操作性，考核指标设定具有良好的科学性和合理性，同时对激励对象具有约束效果，能够达到本次激励计划的考核目的。</w:t>
      </w:r>
    </w:p>
    <w:p>
      <w:pPr>
        <w:spacing w:line="360" w:lineRule="auto"/>
        <w:ind w:firstLine="480" w:firstLineChars="200"/>
        <w:rPr>
          <w:rFonts w:cs="Times New Roma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ascii="Times New Roman" w:hAnsi="Times New Roman" w:eastAsia="宋体" w:cs="Times New Roman"/>
          <w:b/>
          <w:color w:val="000000"/>
          <w:spacing w:val="1"/>
          <w:sz w:val="24"/>
          <w:lang w:eastAsia="zh-CN"/>
        </w:rPr>
        <w:t>九、本激励计划的有效期、授</w:t>
      </w:r>
      <w:r>
        <w:rPr>
          <w:rFonts w:hint="eastAsia" w:ascii="Times New Roman" w:hAnsi="Times New Roman" w:eastAsia="宋体" w:cs="Times New Roman"/>
          <w:b/>
          <w:color w:val="000000"/>
          <w:spacing w:val="1"/>
          <w:sz w:val="24"/>
          <w:lang w:eastAsia="zh-CN"/>
        </w:rPr>
        <w:t>权</w:t>
      </w:r>
      <w:r>
        <w:rPr>
          <w:rFonts w:ascii="Times New Roman" w:hAnsi="Times New Roman" w:eastAsia="宋体" w:cs="Times New Roman"/>
          <w:b/>
          <w:color w:val="000000"/>
          <w:spacing w:val="1"/>
          <w:sz w:val="24"/>
          <w:lang w:eastAsia="zh-CN"/>
        </w:rPr>
        <w:t>日</w:t>
      </w:r>
      <w:r>
        <w:rPr>
          <w:rFonts w:hint="eastAsia" w:ascii="Times New Roman" w:hAnsi="Times New Roman" w:eastAsia="宋体" w:cs="Times New Roman"/>
          <w:b/>
          <w:color w:val="000000"/>
          <w:spacing w:val="1"/>
          <w:sz w:val="24"/>
          <w:lang w:eastAsia="zh-CN"/>
        </w:rPr>
        <w:t>、等待期、可行权日</w:t>
      </w:r>
      <w:r>
        <w:rPr>
          <w:rFonts w:ascii="Times New Roman" w:hAnsi="Times New Roman" w:eastAsia="宋体" w:cs="Times New Roman"/>
          <w:b/>
          <w:color w:val="000000"/>
          <w:spacing w:val="1"/>
          <w:sz w:val="24"/>
          <w:lang w:eastAsia="zh-CN"/>
        </w:rPr>
        <w:t>和禁售期</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（一）本激励计划的有效期</w:t>
      </w:r>
    </w:p>
    <w:p>
      <w:pPr>
        <w:ind w:firstLine="480" w:firstLineChars="200"/>
      </w:pPr>
      <w:r>
        <w:t>本激励计划的有效期为自股票期权授权之日起至激励对象获授的股票期权全部行权或注销完毕之日止，最长不超</w:t>
      </w:r>
      <w:r>
        <w:rPr>
          <w:rFonts w:hint="eastAsia"/>
        </w:rPr>
        <w:t>过</w:t>
      </w:r>
      <w:r>
        <w:t>48个月。</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（二）本激励计划的授权日</w:t>
      </w:r>
    </w:p>
    <w:p>
      <w:pPr>
        <w:ind w:firstLine="480" w:firstLineChars="200"/>
      </w:pPr>
      <w:r>
        <w:t>本激励计划经公司股东大会审议通过后，公司将在60日内</w:t>
      </w:r>
      <w:r>
        <w:rPr>
          <w:rFonts w:hint="eastAsia"/>
        </w:rPr>
        <w:t>（有获授权益条件的，从条件成就后起算）</w:t>
      </w:r>
      <w:r>
        <w:t>按相关规定召开董事会向激励对象授予权益，并完成登记、公告等相关程序。公司未能在60日内完成上述工作的，应当及时披露不能完成的原因，并宣告终止实施本激励计划，根据《管理办法》规定不得授出权益的期间不计算在60日内。</w:t>
      </w:r>
    </w:p>
    <w:p>
      <w:pPr>
        <w:ind w:firstLine="480" w:firstLineChars="200"/>
      </w:pPr>
      <w:r>
        <w:t>股票期权授权日必须为交易日。若根据以上原则确定的日期为非交易日，则授权日顺延至其后的第一个交易日为准。</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（三）本激励计划的等待期</w:t>
      </w:r>
    </w:p>
    <w:p>
      <w:pPr>
        <w:ind w:firstLine="480" w:firstLineChars="200"/>
      </w:pPr>
      <w:r>
        <w:rPr>
          <w:rFonts w:hint="eastAsia"/>
        </w:rPr>
        <w:t>激励对象获授的全部股票期权适用不同的等待期，均自授权完成登记日起计。授权日与首次可行权日之间的间隔不得少于12个月。</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（四）本激励计划的可行权日</w:t>
      </w:r>
    </w:p>
    <w:p>
      <w:pPr>
        <w:ind w:firstLine="480" w:firstLineChars="200"/>
      </w:pPr>
      <w:r>
        <w:t>本激励计划的激励对象自等待期满后方可开始行权，可行权日必须为本激励计划有效期内的交易日，但下列期间内不得行权：</w:t>
      </w:r>
    </w:p>
    <w:p>
      <w:pPr>
        <w:ind w:firstLine="480" w:firstLineChars="200"/>
        <w:rPr>
          <w:rFonts w:cs="Times New Roman"/>
        </w:rPr>
      </w:pPr>
      <w:r>
        <w:rPr>
          <w:rFonts w:cs="Times New Roman"/>
        </w:rPr>
        <w:t>1、公司定期报告公告前30</w:t>
      </w:r>
      <w:r>
        <w:rPr>
          <w:rFonts w:hint="eastAsia" w:cs="Times New Roman"/>
        </w:rPr>
        <w:t>日内，因特殊原因推迟定期报告公告日期的，自原预约公告日前</w:t>
      </w:r>
      <w:r>
        <w:rPr>
          <w:rFonts w:cs="Times New Roman"/>
        </w:rPr>
        <w:t>30</w:t>
      </w:r>
      <w:r>
        <w:rPr>
          <w:rFonts w:hint="eastAsia" w:cs="Times New Roman"/>
        </w:rPr>
        <w:t>日起算，至公告前</w:t>
      </w:r>
      <w:r>
        <w:rPr>
          <w:rFonts w:cs="Times New Roman"/>
        </w:rPr>
        <w:t>1</w:t>
      </w:r>
      <w:r>
        <w:rPr>
          <w:rFonts w:hint="eastAsia" w:cs="Times New Roman"/>
        </w:rPr>
        <w:t>日；</w:t>
      </w:r>
    </w:p>
    <w:p>
      <w:pPr>
        <w:ind w:firstLine="480" w:firstLineChars="200"/>
        <w:rPr>
          <w:rFonts w:cs="Times New Roman"/>
        </w:rPr>
      </w:pPr>
      <w:r>
        <w:rPr>
          <w:rFonts w:cs="Times New Roman"/>
        </w:rPr>
        <w:t>2</w:t>
      </w:r>
      <w:r>
        <w:rPr>
          <w:rFonts w:hint="eastAsia" w:cs="Times New Roman"/>
        </w:rPr>
        <w:t>、公司业绩预告、业绩快报公告前</w:t>
      </w:r>
      <w:r>
        <w:rPr>
          <w:rFonts w:cs="Times New Roman"/>
        </w:rPr>
        <w:t>10日内；</w:t>
      </w:r>
    </w:p>
    <w:p>
      <w:pPr>
        <w:ind w:firstLine="480" w:firstLineChars="200"/>
        <w:rPr>
          <w:rFonts w:cs="Times New Roman"/>
        </w:rPr>
      </w:pPr>
      <w:r>
        <w:rPr>
          <w:rFonts w:cs="Times New Roman"/>
        </w:rPr>
        <w:t>3</w:t>
      </w:r>
      <w:r>
        <w:rPr>
          <w:rFonts w:hint="eastAsia" w:cs="Times New Roman"/>
        </w:rPr>
        <w:t>、</w:t>
      </w:r>
      <w:r>
        <w:rPr>
          <w:rFonts w:cs="Times New Roman"/>
        </w:rPr>
        <w:t>自可能对公司股票及其衍生品种交易价格产生较大影响的重大事件发生之日或者进入决策程序之日，至依法披露后2个交易日内；</w:t>
      </w:r>
    </w:p>
    <w:p>
      <w:pPr>
        <w:ind w:firstLine="480" w:firstLineChars="200"/>
        <w:rPr>
          <w:rFonts w:cs="Times New Roman"/>
        </w:rPr>
      </w:pPr>
      <w:r>
        <w:rPr>
          <w:rFonts w:cs="Times New Roman"/>
        </w:rPr>
        <w:t>4</w:t>
      </w:r>
      <w:r>
        <w:rPr>
          <w:rFonts w:hint="eastAsia" w:cs="Times New Roman"/>
        </w:rPr>
        <w:t>、中国证监会及证券交易所规定的其他期间。</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（五）本激励计划的禁售期</w:t>
      </w:r>
    </w:p>
    <w:p>
      <w:pPr>
        <w:ind w:firstLine="480" w:firstLineChars="200"/>
        <w:rPr>
          <w:rFonts w:cs="Times New Roman"/>
        </w:rPr>
      </w:pPr>
      <w:r>
        <w:rPr>
          <w:rFonts w:hint="eastAsia" w:cs="Times New Roman"/>
        </w:rPr>
        <w:t>激励对象通过本激励计划所获授公司股票的禁售规定，按照《公司法》《证券法》等相关法律、行政法规、规范性文件和《公司章程》执行，具体内容如下：</w:t>
      </w:r>
    </w:p>
    <w:p>
      <w:pPr>
        <w:ind w:firstLine="480" w:firstLineChars="200"/>
        <w:rPr>
          <w:rFonts w:eastAsiaTheme="minorEastAsia"/>
        </w:rPr>
      </w:pPr>
      <w:r>
        <w:rPr>
          <w:rFonts w:cs="Times New Roman"/>
        </w:rPr>
        <w:t>1</w:t>
      </w:r>
      <w:r>
        <w:rPr>
          <w:rFonts w:hint="eastAsia" w:cs="Times New Roman"/>
        </w:rPr>
        <w:t>、激励对象为公司董事和高级管理人员的，其在任职期间每年转让的股份不得超过其所持有本公司股份总数的</w:t>
      </w:r>
      <w:r>
        <w:rPr>
          <w:rFonts w:cs="Times New Roman"/>
        </w:rPr>
        <w:t>25%</w:t>
      </w:r>
      <w:r>
        <w:rPr>
          <w:rFonts w:hint="eastAsia" w:cs="Times New Roman"/>
        </w:rPr>
        <w:t>；在离职后半年内，不得转让其所持有的本公司股份。</w:t>
      </w:r>
    </w:p>
    <w:p>
      <w:pPr>
        <w:ind w:firstLine="480" w:firstLineChars="200"/>
        <w:rPr>
          <w:rFonts w:cs="Times New Roman"/>
        </w:rPr>
      </w:pPr>
      <w:r>
        <w:rPr>
          <w:rFonts w:cs="Times New Roman"/>
        </w:rPr>
        <w:t>2</w:t>
      </w:r>
      <w:r>
        <w:rPr>
          <w:rFonts w:hint="eastAsia" w:cs="Times New Roman"/>
        </w:rPr>
        <w:t>、激励对象为公司董事、高级管理人员及其配偶、父母、子女的，将其持有的本公司股票在买入后</w:t>
      </w:r>
      <w:r>
        <w:rPr>
          <w:rFonts w:cs="Times New Roman"/>
        </w:rPr>
        <w:t>6</w:t>
      </w:r>
      <w:r>
        <w:rPr>
          <w:rFonts w:hint="eastAsia" w:cs="Times New Roman"/>
        </w:rPr>
        <w:t>个月内卖出，或者在卖出后</w:t>
      </w:r>
      <w:r>
        <w:rPr>
          <w:rFonts w:cs="Times New Roman"/>
        </w:rPr>
        <w:t>6</w:t>
      </w:r>
      <w:r>
        <w:rPr>
          <w:rFonts w:hint="eastAsia" w:cs="Times New Roman"/>
        </w:rPr>
        <w:t>个月内又买入，由此所得收益归本公司所有，本公司董事会将收回其所得收益。</w:t>
      </w:r>
    </w:p>
    <w:p>
      <w:pPr>
        <w:ind w:firstLine="480" w:firstLineChars="200"/>
        <w:rPr>
          <w:rFonts w:cs="Times New Roman"/>
        </w:rPr>
      </w:pPr>
      <w:r>
        <w:rPr>
          <w:rFonts w:cs="Times New Roman"/>
        </w:rPr>
        <w:t>3</w:t>
      </w:r>
      <w:r>
        <w:rPr>
          <w:rFonts w:hint="eastAsia" w:cs="Times New Roman"/>
        </w:rPr>
        <w:t>、在本激励计划的有效期内，如果《公司法》《证券法》等相关法律、行政法规、规范性文件和《公司章程》中对公司董事和高级管理人员持有股份转让的有关规定发生了变化，则这部分激励对象转让其所持有的公司股票应当在转让时符合修改后的《公司法》《证券法》等相关法律、法规、规范性文件和《公司章程》的规定。</w:t>
      </w:r>
    </w:p>
    <w:p>
      <w:pPr>
        <w:ind w:firstLine="480" w:firstLineChars="200"/>
        <w:rPr>
          <w:rFonts w:cs="Times New Roma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十、本激励计划的调整方法和程序</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（一）股票期权数量的调整方法</w:t>
      </w:r>
    </w:p>
    <w:p>
      <w:pPr>
        <w:ind w:firstLine="480" w:firstLineChars="200"/>
        <w:rPr>
          <w:rFonts w:cs="Times New Roman"/>
        </w:rPr>
      </w:pPr>
      <w:r>
        <w:rPr>
          <w:rFonts w:hint="eastAsia" w:cs="Times New Roman"/>
        </w:rPr>
        <w:t>若在本激励计划公告当日至激励对象完成股票期权股份登记期间，公司有资本公积转增股本、派送股票红利、股票拆细、配股、缩股等事项，应对股票期权数量进行相应的调整。调整方法如下：</w:t>
      </w:r>
    </w:p>
    <w:p>
      <w:pPr>
        <w:ind w:firstLine="480" w:firstLineChars="200"/>
        <w:rPr>
          <w:rFonts w:cs="Times New Roman"/>
          <w:bCs/>
        </w:rPr>
      </w:pPr>
      <w:r>
        <w:rPr>
          <w:rFonts w:cs="Times New Roman"/>
          <w:bCs/>
        </w:rPr>
        <w:t>1</w:t>
      </w:r>
      <w:r>
        <w:rPr>
          <w:rFonts w:hint="eastAsia" w:cs="Times New Roman"/>
          <w:bCs/>
        </w:rPr>
        <w:t>、资本公积转增股本、派送股票红利、股票拆细</w:t>
      </w:r>
    </w:p>
    <w:p>
      <w:pPr>
        <w:ind w:firstLine="480" w:firstLineChars="200"/>
        <w:rPr>
          <w:rFonts w:cs="Times New Roman"/>
          <w:vertAlign w:val="subscript"/>
        </w:rPr>
      </w:pPr>
      <w:r>
        <w:rPr>
          <w:rFonts w:cs="Times New Roman"/>
        </w:rPr>
        <w:t>Q</w:t>
      </w:r>
      <w:r>
        <w:rPr>
          <w:rFonts w:hint="eastAsia" w:cs="Times New Roman"/>
        </w:rPr>
        <w:t>＝</w:t>
      </w:r>
      <w:r>
        <w:rPr>
          <w:rFonts w:cs="Times New Roman"/>
        </w:rPr>
        <w:t>Q</w:t>
      </w:r>
      <w:r>
        <w:rPr>
          <w:rFonts w:cs="Times New Roman"/>
          <w:vertAlign w:val="subscript"/>
        </w:rPr>
        <w:t>0</w:t>
      </w:r>
      <w:r>
        <w:rPr>
          <w:rFonts w:cs="Times New Roman"/>
        </w:rPr>
        <w:t>×(1</w:t>
      </w:r>
      <w:r>
        <w:rPr>
          <w:rFonts w:hint="eastAsia" w:cs="Times New Roman"/>
        </w:rPr>
        <w:t>＋</w:t>
      </w:r>
      <w:r>
        <w:rPr>
          <w:rFonts w:cs="Times New Roman"/>
        </w:rPr>
        <w:t>n)</w:t>
      </w:r>
    </w:p>
    <w:p>
      <w:pPr>
        <w:ind w:firstLine="480" w:firstLineChars="200"/>
        <w:rPr>
          <w:rFonts w:cs="Times New Roman"/>
          <w:vertAlign w:val="subscript"/>
        </w:rPr>
      </w:pPr>
      <w:r>
        <w:rPr>
          <w:rFonts w:hint="eastAsia" w:cs="Times New Roman"/>
        </w:rPr>
        <w:t>其中：</w:t>
      </w:r>
      <w:r>
        <w:rPr>
          <w:rFonts w:cs="Times New Roman"/>
        </w:rPr>
        <w:t>Q</w:t>
      </w:r>
      <w:r>
        <w:rPr>
          <w:rFonts w:cs="Times New Roman"/>
          <w:vertAlign w:val="subscript"/>
        </w:rPr>
        <w:t>0</w:t>
      </w:r>
      <w:r>
        <w:rPr>
          <w:rFonts w:hint="eastAsia" w:cs="Times New Roman"/>
        </w:rPr>
        <w:t>为调整前的股票期权数量；</w:t>
      </w:r>
      <w:r>
        <w:rPr>
          <w:rFonts w:cs="Times New Roman"/>
        </w:rPr>
        <w:t>n</w:t>
      </w:r>
      <w:r>
        <w:rPr>
          <w:rFonts w:hint="eastAsia" w:cs="Times New Roman"/>
        </w:rPr>
        <w:t>为每股的资本公积转增股本、派送股票红利、股票拆细的比率（即每股股票经转增、送股或拆细后增加的股票数量）；</w:t>
      </w:r>
      <w:r>
        <w:rPr>
          <w:rFonts w:cs="Times New Roman"/>
        </w:rPr>
        <w:t>Q</w:t>
      </w:r>
      <w:r>
        <w:rPr>
          <w:rFonts w:hint="eastAsia" w:cs="Times New Roman"/>
        </w:rPr>
        <w:t>为调整后的股票期权数量。</w:t>
      </w:r>
    </w:p>
    <w:p>
      <w:pPr>
        <w:ind w:firstLine="480" w:firstLineChars="200"/>
        <w:rPr>
          <w:rFonts w:cs="Times New Roman"/>
        </w:rPr>
      </w:pPr>
      <w:r>
        <w:rPr>
          <w:rFonts w:cs="Times New Roman"/>
        </w:rPr>
        <w:t>2</w:t>
      </w:r>
      <w:r>
        <w:rPr>
          <w:rFonts w:hint="eastAsia" w:cs="Times New Roman"/>
        </w:rPr>
        <w:t>、配股</w:t>
      </w:r>
    </w:p>
    <w:p>
      <w:pPr>
        <w:ind w:firstLine="480" w:firstLineChars="200"/>
        <w:rPr>
          <w:rFonts w:cs="Times New Roman"/>
          <w:vertAlign w:val="subscript"/>
        </w:rPr>
      </w:pPr>
      <w:r>
        <w:rPr>
          <w:rFonts w:cs="Times New Roman"/>
        </w:rPr>
        <w:t>Q</w:t>
      </w:r>
      <w:r>
        <w:rPr>
          <w:rFonts w:hint="eastAsia" w:cs="Times New Roman"/>
        </w:rPr>
        <w:t>＝</w:t>
      </w:r>
      <w:r>
        <w:rPr>
          <w:rFonts w:cs="Times New Roman"/>
        </w:rPr>
        <w:t>Q</w:t>
      </w:r>
      <w:r>
        <w:rPr>
          <w:rFonts w:cs="Times New Roman"/>
          <w:vertAlign w:val="subscript"/>
        </w:rPr>
        <w:t>0</w:t>
      </w:r>
      <w:r>
        <w:rPr>
          <w:rFonts w:cs="Times New Roman"/>
        </w:rPr>
        <w:t>×P</w:t>
      </w:r>
      <w:r>
        <w:rPr>
          <w:rFonts w:cs="Times New Roman"/>
          <w:vertAlign w:val="subscript"/>
        </w:rPr>
        <w:t>1</w:t>
      </w:r>
      <w:r>
        <w:rPr>
          <w:rFonts w:cs="Times New Roman"/>
        </w:rPr>
        <w:t>×(1</w:t>
      </w:r>
      <w:r>
        <w:rPr>
          <w:rFonts w:hint="eastAsia" w:cs="Times New Roman"/>
        </w:rPr>
        <w:t>＋</w:t>
      </w:r>
      <w:r>
        <w:rPr>
          <w:rFonts w:cs="Times New Roman"/>
        </w:rPr>
        <w:t>n)/(P</w:t>
      </w:r>
      <w:r>
        <w:rPr>
          <w:rFonts w:cs="Times New Roman"/>
          <w:vertAlign w:val="subscript"/>
        </w:rPr>
        <w:t>1</w:t>
      </w:r>
      <w:r>
        <w:rPr>
          <w:rFonts w:hint="eastAsia" w:cs="Times New Roman"/>
        </w:rPr>
        <w:t>＋</w:t>
      </w:r>
      <w:r>
        <w:rPr>
          <w:rFonts w:cs="Times New Roman"/>
        </w:rPr>
        <w:t>P</w:t>
      </w:r>
      <w:r>
        <w:rPr>
          <w:rFonts w:cs="Times New Roman"/>
          <w:vertAlign w:val="subscript"/>
        </w:rPr>
        <w:t>2</w:t>
      </w:r>
      <w:r>
        <w:rPr>
          <w:rFonts w:cs="Times New Roman"/>
        </w:rPr>
        <w:t>×n)</w:t>
      </w:r>
    </w:p>
    <w:p>
      <w:pPr>
        <w:ind w:firstLine="480" w:firstLineChars="200"/>
        <w:rPr>
          <w:rFonts w:cs="Times New Roman"/>
          <w:vertAlign w:val="subscript"/>
        </w:rPr>
      </w:pPr>
      <w:r>
        <w:rPr>
          <w:rFonts w:hint="eastAsia" w:cs="Times New Roman"/>
        </w:rPr>
        <w:t>其中：</w:t>
      </w:r>
      <w:r>
        <w:rPr>
          <w:rFonts w:cs="Times New Roman"/>
        </w:rPr>
        <w:t>Q</w:t>
      </w:r>
      <w:r>
        <w:rPr>
          <w:rFonts w:cs="Times New Roman"/>
          <w:vertAlign w:val="subscript"/>
        </w:rPr>
        <w:t>0</w:t>
      </w:r>
      <w:r>
        <w:rPr>
          <w:rFonts w:hint="eastAsia" w:cs="Times New Roman"/>
        </w:rPr>
        <w:t>为调整前的股票期权数量；</w:t>
      </w:r>
      <w:r>
        <w:rPr>
          <w:rFonts w:cs="Times New Roman"/>
        </w:rPr>
        <w:t>P</w:t>
      </w:r>
      <w:r>
        <w:rPr>
          <w:rFonts w:cs="Times New Roman"/>
          <w:vertAlign w:val="subscript"/>
        </w:rPr>
        <w:t>1</w:t>
      </w:r>
      <w:r>
        <w:rPr>
          <w:rFonts w:hint="eastAsia" w:cs="Times New Roman"/>
        </w:rPr>
        <w:t>为股权登记日当日收盘价；</w:t>
      </w:r>
      <w:r>
        <w:rPr>
          <w:rFonts w:cs="Times New Roman"/>
        </w:rPr>
        <w:t>P</w:t>
      </w:r>
      <w:r>
        <w:rPr>
          <w:rFonts w:cs="Times New Roman"/>
          <w:vertAlign w:val="subscript"/>
        </w:rPr>
        <w:t>2</w:t>
      </w:r>
      <w:r>
        <w:rPr>
          <w:rFonts w:hint="eastAsia" w:cs="Times New Roman"/>
        </w:rPr>
        <w:t>为配股价格；</w:t>
      </w:r>
      <w:r>
        <w:rPr>
          <w:rFonts w:cs="Times New Roman"/>
        </w:rPr>
        <w:t>n</w:t>
      </w:r>
      <w:r>
        <w:rPr>
          <w:rFonts w:hint="eastAsia" w:cs="Times New Roman"/>
        </w:rPr>
        <w:t>为配股的比例（即配股的股数与配股前公司总股本的比例）；</w:t>
      </w:r>
      <w:r>
        <w:rPr>
          <w:rFonts w:cs="Times New Roman"/>
        </w:rPr>
        <w:t>Q</w:t>
      </w:r>
      <w:r>
        <w:rPr>
          <w:rFonts w:hint="eastAsia" w:cs="Times New Roman"/>
        </w:rPr>
        <w:t>为调整后的股票期权数量。</w:t>
      </w:r>
    </w:p>
    <w:p>
      <w:pPr>
        <w:ind w:firstLine="480" w:firstLineChars="200"/>
        <w:rPr>
          <w:rFonts w:cs="Times New Roman"/>
        </w:rPr>
      </w:pPr>
      <w:r>
        <w:rPr>
          <w:rFonts w:cs="Times New Roman"/>
        </w:rPr>
        <w:t>3</w:t>
      </w:r>
      <w:r>
        <w:rPr>
          <w:rFonts w:hint="eastAsia" w:cs="Times New Roman"/>
        </w:rPr>
        <w:t>、缩股</w:t>
      </w:r>
    </w:p>
    <w:p>
      <w:pPr>
        <w:ind w:firstLine="480" w:firstLineChars="200"/>
        <w:rPr>
          <w:rFonts w:cs="Times New Roman"/>
          <w:vertAlign w:val="subscript"/>
        </w:rPr>
      </w:pPr>
      <w:r>
        <w:rPr>
          <w:rFonts w:cs="Times New Roman"/>
        </w:rPr>
        <w:t>Q</w:t>
      </w:r>
      <w:r>
        <w:rPr>
          <w:rFonts w:hint="eastAsia" w:cs="Times New Roman"/>
        </w:rPr>
        <w:t>＝</w:t>
      </w:r>
      <w:r>
        <w:rPr>
          <w:rFonts w:cs="Times New Roman"/>
        </w:rPr>
        <w:t>Q</w:t>
      </w:r>
      <w:r>
        <w:rPr>
          <w:rFonts w:cs="Times New Roman"/>
          <w:vertAlign w:val="subscript"/>
        </w:rPr>
        <w:t>0</w:t>
      </w:r>
      <w:r>
        <w:rPr>
          <w:rFonts w:cs="Times New Roman"/>
        </w:rPr>
        <w:t>×n</w:t>
      </w:r>
    </w:p>
    <w:p>
      <w:pPr>
        <w:ind w:firstLine="480" w:firstLineChars="200"/>
        <w:rPr>
          <w:rFonts w:cs="Times New Roman"/>
          <w:vertAlign w:val="subscript"/>
        </w:rPr>
      </w:pPr>
      <w:r>
        <w:rPr>
          <w:rFonts w:hint="eastAsia" w:cs="Times New Roman"/>
        </w:rPr>
        <w:t>其中：</w:t>
      </w:r>
      <w:r>
        <w:rPr>
          <w:rFonts w:cs="Times New Roman"/>
        </w:rPr>
        <w:t>Q</w:t>
      </w:r>
      <w:r>
        <w:rPr>
          <w:rFonts w:cs="Times New Roman"/>
          <w:vertAlign w:val="subscript"/>
        </w:rPr>
        <w:t>0</w:t>
      </w:r>
      <w:r>
        <w:rPr>
          <w:rFonts w:hint="eastAsia" w:cs="Times New Roman"/>
        </w:rPr>
        <w:t>为调整前的股票期权数量；</w:t>
      </w:r>
      <w:r>
        <w:rPr>
          <w:rFonts w:cs="Times New Roman"/>
        </w:rPr>
        <w:t>n</w:t>
      </w:r>
      <w:r>
        <w:rPr>
          <w:rFonts w:hint="eastAsia" w:cs="Times New Roman"/>
        </w:rPr>
        <w:t>为缩股比例（即</w:t>
      </w:r>
      <w:r>
        <w:rPr>
          <w:rFonts w:cs="Times New Roman"/>
        </w:rPr>
        <w:t>1</w:t>
      </w:r>
      <w:r>
        <w:rPr>
          <w:rFonts w:hint="eastAsia" w:cs="Times New Roman"/>
        </w:rPr>
        <w:t>股格尔软件股票缩为</w:t>
      </w:r>
      <w:r>
        <w:rPr>
          <w:rFonts w:cs="Times New Roman"/>
        </w:rPr>
        <w:t>n</w:t>
      </w:r>
      <w:r>
        <w:rPr>
          <w:rFonts w:hint="eastAsia" w:cs="Times New Roman"/>
        </w:rPr>
        <w:t>股股票）；</w:t>
      </w:r>
      <w:r>
        <w:rPr>
          <w:rFonts w:cs="Times New Roman"/>
        </w:rPr>
        <w:t>Q</w:t>
      </w:r>
      <w:r>
        <w:rPr>
          <w:rFonts w:hint="eastAsia" w:cs="Times New Roman"/>
        </w:rPr>
        <w:t>为调整后的股票期权数量。</w:t>
      </w:r>
    </w:p>
    <w:p>
      <w:pPr>
        <w:ind w:firstLine="480" w:firstLineChars="200"/>
        <w:rPr>
          <w:rFonts w:cs="Times New Roman"/>
        </w:rPr>
      </w:pPr>
      <w:r>
        <w:rPr>
          <w:rFonts w:cs="Times New Roman"/>
        </w:rPr>
        <w:t>4</w:t>
      </w:r>
      <w:r>
        <w:rPr>
          <w:rFonts w:hint="eastAsia" w:cs="Times New Roman"/>
        </w:rPr>
        <w:t>、增发</w:t>
      </w:r>
    </w:p>
    <w:p>
      <w:pPr>
        <w:ind w:firstLine="480" w:firstLineChars="200"/>
        <w:rPr>
          <w:rFonts w:cs="Times New Roman"/>
        </w:rPr>
      </w:pPr>
      <w:r>
        <w:rPr>
          <w:rFonts w:hint="eastAsia" w:cs="Times New Roman"/>
        </w:rPr>
        <w:t>公司在发生增发新股的情况下，股票期权数量不做调整。</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（二）股票期权行权价格的调整方法</w:t>
      </w:r>
    </w:p>
    <w:p>
      <w:pPr>
        <w:ind w:firstLine="480" w:firstLineChars="200"/>
        <w:rPr>
          <w:rFonts w:cs="Times New Roman"/>
        </w:rPr>
      </w:pPr>
      <w:r>
        <w:rPr>
          <w:rFonts w:hint="eastAsia" w:cs="Times New Roman"/>
        </w:rPr>
        <w:t>若在本激励计划公告当日至激励对象完成股票期权股份登记期间，公司有派息、资本公积转增股本、派送股票红利、股份拆细、配股或缩股等事项，应对股票期权行权价格进行相应的调整，但任何调整不得导致行权价格低于股票面值。调整方法如下：</w:t>
      </w:r>
    </w:p>
    <w:p>
      <w:pPr>
        <w:ind w:firstLine="480" w:firstLineChars="200"/>
        <w:rPr>
          <w:rFonts w:cs="Times New Roman"/>
          <w:bCs/>
        </w:rPr>
      </w:pPr>
      <w:r>
        <w:rPr>
          <w:rFonts w:cs="Times New Roman"/>
          <w:bCs/>
        </w:rPr>
        <w:t>1</w:t>
      </w:r>
      <w:r>
        <w:rPr>
          <w:rFonts w:hint="eastAsia" w:cs="Times New Roman"/>
          <w:bCs/>
        </w:rPr>
        <w:t>、资本公积转增股本、派送股票红利、股票拆细</w:t>
      </w:r>
    </w:p>
    <w:p>
      <w:pPr>
        <w:ind w:firstLine="480" w:firstLineChars="200"/>
        <w:rPr>
          <w:rFonts w:cs="Times New Roman"/>
          <w:bCs/>
        </w:rPr>
      </w:pPr>
      <w:r>
        <w:rPr>
          <w:rFonts w:cs="Times New Roman"/>
          <w:bCs/>
        </w:rPr>
        <w:t>P</w:t>
      </w:r>
      <w:r>
        <w:rPr>
          <w:rFonts w:hint="eastAsia" w:cs="Times New Roman"/>
          <w:bCs/>
        </w:rPr>
        <w:t>＝</w:t>
      </w:r>
      <w:r>
        <w:rPr>
          <w:rFonts w:cs="Times New Roman"/>
          <w:bCs/>
        </w:rPr>
        <w:t>P</w:t>
      </w:r>
      <w:r>
        <w:rPr>
          <w:rFonts w:cs="Times New Roman"/>
          <w:bCs/>
          <w:vertAlign w:val="subscript"/>
        </w:rPr>
        <w:t>0</w:t>
      </w:r>
      <w:r>
        <w:rPr>
          <w:rFonts w:cs="Times New Roman"/>
          <w:bCs/>
        </w:rPr>
        <w:t>÷(1</w:t>
      </w:r>
      <w:r>
        <w:rPr>
          <w:rFonts w:hint="eastAsia" w:cs="Times New Roman"/>
          <w:bCs/>
        </w:rPr>
        <w:t>＋</w:t>
      </w:r>
      <w:r>
        <w:rPr>
          <w:rFonts w:cs="Times New Roman"/>
          <w:bCs/>
        </w:rPr>
        <w:t>n)</w:t>
      </w:r>
    </w:p>
    <w:p>
      <w:pPr>
        <w:ind w:firstLine="480" w:firstLineChars="200"/>
        <w:rPr>
          <w:rFonts w:cs="Times New Roman"/>
          <w:bCs/>
        </w:rPr>
      </w:pPr>
      <w:r>
        <w:rPr>
          <w:rFonts w:hint="eastAsia" w:cs="Times New Roman"/>
          <w:bCs/>
        </w:rPr>
        <w:t>其中：P</w:t>
      </w:r>
      <w:r>
        <w:rPr>
          <w:rFonts w:hint="eastAsia" w:cs="Times New Roman"/>
          <w:bCs/>
          <w:vertAlign w:val="subscript"/>
        </w:rPr>
        <w:t>0</w:t>
      </w:r>
      <w:r>
        <w:rPr>
          <w:rFonts w:hint="eastAsia" w:cs="Times New Roman"/>
          <w:bCs/>
        </w:rPr>
        <w:t>为调整前的行权价格；n为每股的资本公积转增股本、派送股票红利、股票拆细的比率；P为调整后的行权价格。</w:t>
      </w:r>
    </w:p>
    <w:p>
      <w:pPr>
        <w:ind w:firstLine="480" w:firstLineChars="200"/>
        <w:rPr>
          <w:rFonts w:cs="Times New Roman"/>
          <w:bCs/>
        </w:rPr>
      </w:pPr>
      <w:r>
        <w:rPr>
          <w:rFonts w:cs="Times New Roman"/>
          <w:bCs/>
        </w:rPr>
        <w:t>2</w:t>
      </w:r>
      <w:r>
        <w:rPr>
          <w:rFonts w:hint="eastAsia" w:cs="Times New Roman"/>
          <w:bCs/>
        </w:rPr>
        <w:t>、配股</w:t>
      </w:r>
    </w:p>
    <w:p>
      <w:pPr>
        <w:ind w:firstLine="480" w:firstLineChars="200"/>
        <w:rPr>
          <w:rFonts w:cs="Times New Roman"/>
          <w:bCs/>
        </w:rPr>
      </w:pPr>
      <w:r>
        <w:rPr>
          <w:rFonts w:cs="Times New Roman"/>
          <w:bCs/>
        </w:rPr>
        <w:t>P</w:t>
      </w:r>
      <w:r>
        <w:rPr>
          <w:rFonts w:hint="eastAsia" w:cs="Times New Roman"/>
          <w:bCs/>
        </w:rPr>
        <w:t>＝</w:t>
      </w:r>
      <w:r>
        <w:rPr>
          <w:rFonts w:cs="Times New Roman"/>
          <w:bCs/>
        </w:rPr>
        <w:t>P</w:t>
      </w:r>
      <w:r>
        <w:rPr>
          <w:rFonts w:cs="Times New Roman"/>
          <w:bCs/>
          <w:vertAlign w:val="subscript"/>
        </w:rPr>
        <w:t>0</w:t>
      </w:r>
      <w:r>
        <w:rPr>
          <w:rFonts w:cs="Times New Roman"/>
          <w:bCs/>
        </w:rPr>
        <w:t>×(P</w:t>
      </w:r>
      <w:r>
        <w:rPr>
          <w:rFonts w:cs="Times New Roman"/>
          <w:bCs/>
          <w:vertAlign w:val="subscript"/>
        </w:rPr>
        <w:t>1</w:t>
      </w:r>
      <w:r>
        <w:rPr>
          <w:rFonts w:hint="eastAsia" w:cs="Times New Roman"/>
          <w:bCs/>
        </w:rPr>
        <w:t>＋</w:t>
      </w:r>
      <w:r>
        <w:rPr>
          <w:rFonts w:cs="Times New Roman"/>
          <w:bCs/>
        </w:rPr>
        <w:t>P</w:t>
      </w:r>
      <w:r>
        <w:rPr>
          <w:rFonts w:cs="Times New Roman"/>
          <w:bCs/>
          <w:vertAlign w:val="subscript"/>
        </w:rPr>
        <w:t>2</w:t>
      </w:r>
      <w:r>
        <w:rPr>
          <w:rFonts w:cs="Times New Roman"/>
          <w:bCs/>
        </w:rPr>
        <w:t>×n)/[P</w:t>
      </w:r>
      <w:r>
        <w:rPr>
          <w:rFonts w:cs="Times New Roman"/>
          <w:bCs/>
          <w:vertAlign w:val="subscript"/>
        </w:rPr>
        <w:t>1</w:t>
      </w:r>
      <w:r>
        <w:rPr>
          <w:rFonts w:cs="Times New Roman"/>
          <w:bCs/>
        </w:rPr>
        <w:t>×(1</w:t>
      </w:r>
      <w:r>
        <w:rPr>
          <w:rFonts w:hint="eastAsia" w:cs="Times New Roman"/>
          <w:bCs/>
        </w:rPr>
        <w:t>＋</w:t>
      </w:r>
      <w:r>
        <w:rPr>
          <w:rFonts w:cs="Times New Roman"/>
          <w:bCs/>
        </w:rPr>
        <w:t>n)]</w:t>
      </w:r>
    </w:p>
    <w:p>
      <w:pPr>
        <w:ind w:firstLine="480" w:firstLineChars="200"/>
        <w:rPr>
          <w:rFonts w:cs="Times New Roman"/>
          <w:bCs/>
        </w:rPr>
      </w:pPr>
      <w:r>
        <w:rPr>
          <w:rFonts w:hint="eastAsia" w:cs="Times New Roman"/>
          <w:bCs/>
        </w:rPr>
        <w:t>其中：</w:t>
      </w:r>
      <w:r>
        <w:rPr>
          <w:rFonts w:cs="Times New Roman"/>
          <w:bCs/>
        </w:rPr>
        <w:t>P</w:t>
      </w:r>
      <w:r>
        <w:rPr>
          <w:rFonts w:cs="Times New Roman"/>
          <w:bCs/>
          <w:vertAlign w:val="subscript"/>
        </w:rPr>
        <w:t>0</w:t>
      </w:r>
      <w:r>
        <w:rPr>
          <w:rFonts w:hint="eastAsia" w:cs="Times New Roman"/>
          <w:bCs/>
        </w:rPr>
        <w:t>为调整前的行权价格；</w:t>
      </w:r>
      <w:r>
        <w:rPr>
          <w:rFonts w:cs="Times New Roman"/>
          <w:bCs/>
        </w:rPr>
        <w:t>P</w:t>
      </w:r>
      <w:r>
        <w:rPr>
          <w:rFonts w:cs="Times New Roman"/>
          <w:bCs/>
          <w:vertAlign w:val="subscript"/>
        </w:rPr>
        <w:t>1</w:t>
      </w:r>
      <w:r>
        <w:rPr>
          <w:rFonts w:hint="eastAsia" w:cs="Times New Roman"/>
          <w:bCs/>
        </w:rPr>
        <w:t>为股权登记日当日收盘价；</w:t>
      </w:r>
      <w:r>
        <w:rPr>
          <w:rFonts w:cs="Times New Roman"/>
          <w:bCs/>
        </w:rPr>
        <w:t>P</w:t>
      </w:r>
      <w:r>
        <w:rPr>
          <w:rFonts w:cs="Times New Roman"/>
          <w:bCs/>
          <w:vertAlign w:val="subscript"/>
        </w:rPr>
        <w:t>2</w:t>
      </w:r>
      <w:r>
        <w:rPr>
          <w:rFonts w:hint="eastAsia" w:cs="Times New Roman"/>
          <w:bCs/>
        </w:rPr>
        <w:t>为配股价格；</w:t>
      </w:r>
      <w:r>
        <w:rPr>
          <w:rFonts w:cs="Times New Roman"/>
          <w:bCs/>
        </w:rPr>
        <w:t>n</w:t>
      </w:r>
      <w:r>
        <w:rPr>
          <w:rFonts w:hint="eastAsia" w:cs="Times New Roman"/>
          <w:bCs/>
        </w:rPr>
        <w:t>为配股的比例（即配股的股数与配股前股份公司总股本的比例）；</w:t>
      </w:r>
      <w:r>
        <w:rPr>
          <w:rFonts w:cs="Times New Roman"/>
          <w:bCs/>
        </w:rPr>
        <w:t>P</w:t>
      </w:r>
      <w:r>
        <w:rPr>
          <w:rFonts w:hint="eastAsia" w:cs="Times New Roman"/>
          <w:bCs/>
        </w:rPr>
        <w:t>为调整后的行权价格。</w:t>
      </w:r>
    </w:p>
    <w:p>
      <w:pPr>
        <w:ind w:firstLine="480" w:firstLineChars="200"/>
        <w:rPr>
          <w:rFonts w:cs="Times New Roman"/>
          <w:bCs/>
        </w:rPr>
      </w:pPr>
      <w:r>
        <w:rPr>
          <w:rFonts w:cs="Times New Roman"/>
          <w:bCs/>
        </w:rPr>
        <w:t>3</w:t>
      </w:r>
      <w:r>
        <w:rPr>
          <w:rFonts w:hint="eastAsia" w:cs="Times New Roman"/>
          <w:bCs/>
        </w:rPr>
        <w:t>、缩股</w:t>
      </w:r>
    </w:p>
    <w:p>
      <w:pPr>
        <w:ind w:firstLine="480" w:firstLineChars="200"/>
        <w:rPr>
          <w:rFonts w:cs="Times New Roman"/>
          <w:bCs/>
        </w:rPr>
      </w:pPr>
      <w:r>
        <w:rPr>
          <w:rFonts w:cs="Times New Roman"/>
          <w:bCs/>
        </w:rPr>
        <w:t>P</w:t>
      </w:r>
      <w:r>
        <w:rPr>
          <w:rFonts w:hint="eastAsia" w:cs="Times New Roman"/>
          <w:bCs/>
        </w:rPr>
        <w:t>＝</w:t>
      </w:r>
      <w:r>
        <w:rPr>
          <w:rFonts w:cs="Times New Roman"/>
          <w:bCs/>
        </w:rPr>
        <w:t>P</w:t>
      </w:r>
      <w:r>
        <w:rPr>
          <w:rFonts w:cs="Times New Roman"/>
          <w:bCs/>
          <w:vertAlign w:val="subscript"/>
        </w:rPr>
        <w:t>0</w:t>
      </w:r>
      <w:r>
        <w:rPr>
          <w:rFonts w:cs="Times New Roman"/>
          <w:bCs/>
        </w:rPr>
        <w:t>÷n</w:t>
      </w:r>
    </w:p>
    <w:p>
      <w:pPr>
        <w:ind w:firstLine="480" w:firstLineChars="200"/>
        <w:rPr>
          <w:bCs/>
        </w:rPr>
      </w:pPr>
      <w:r>
        <w:rPr>
          <w:rFonts w:hint="eastAsia" w:cs="Times New Roman"/>
          <w:bCs/>
        </w:rPr>
        <w:t>其中：</w:t>
      </w:r>
      <w:r>
        <w:rPr>
          <w:rFonts w:cs="Times New Roman"/>
          <w:bCs/>
        </w:rPr>
        <w:t>P</w:t>
      </w:r>
      <w:r>
        <w:rPr>
          <w:rFonts w:cs="Times New Roman"/>
          <w:bCs/>
          <w:vertAlign w:val="subscript"/>
        </w:rPr>
        <w:t>0</w:t>
      </w:r>
      <w:r>
        <w:rPr>
          <w:bCs/>
        </w:rPr>
        <w:t>为调整前的行权价格；n为每股缩股比例；P为调整后的行权价格。</w:t>
      </w:r>
    </w:p>
    <w:p>
      <w:pPr>
        <w:ind w:firstLine="480" w:firstLineChars="200"/>
        <w:rPr>
          <w:rFonts w:cs="Times New Roman"/>
          <w:bCs/>
        </w:rPr>
      </w:pPr>
      <w:r>
        <w:rPr>
          <w:rFonts w:cs="Times New Roman"/>
          <w:bCs/>
        </w:rPr>
        <w:t>4</w:t>
      </w:r>
      <w:r>
        <w:rPr>
          <w:rFonts w:hint="eastAsia" w:cs="Times New Roman"/>
          <w:bCs/>
        </w:rPr>
        <w:t>、派息</w:t>
      </w:r>
    </w:p>
    <w:p>
      <w:pPr>
        <w:ind w:firstLine="480" w:firstLineChars="200"/>
        <w:rPr>
          <w:rFonts w:cs="Times New Roman"/>
          <w:bCs/>
        </w:rPr>
      </w:pPr>
      <w:r>
        <w:rPr>
          <w:rFonts w:cs="Times New Roman"/>
          <w:bCs/>
        </w:rPr>
        <w:t>P</w:t>
      </w:r>
      <w:r>
        <w:rPr>
          <w:rFonts w:hint="eastAsia" w:cs="Times New Roman"/>
          <w:bCs/>
        </w:rPr>
        <w:t>＝</w:t>
      </w:r>
      <w:r>
        <w:rPr>
          <w:rFonts w:cs="Times New Roman"/>
          <w:bCs/>
        </w:rPr>
        <w:t>P</w:t>
      </w:r>
      <w:r>
        <w:rPr>
          <w:rFonts w:cs="Times New Roman"/>
          <w:bCs/>
          <w:vertAlign w:val="subscript"/>
        </w:rPr>
        <w:t>0</w:t>
      </w:r>
      <w:r>
        <w:rPr>
          <w:rFonts w:cs="Times New Roman"/>
          <w:bCs/>
        </w:rPr>
        <w:t>–V</w:t>
      </w:r>
    </w:p>
    <w:p>
      <w:pPr>
        <w:ind w:firstLine="480" w:firstLineChars="200"/>
        <w:rPr>
          <w:bCs/>
        </w:rPr>
      </w:pPr>
      <w:r>
        <w:rPr>
          <w:rFonts w:hint="eastAsia" w:cs="Times New Roman"/>
          <w:bCs/>
        </w:rPr>
        <w:t>其中：</w:t>
      </w:r>
      <w:r>
        <w:rPr>
          <w:rFonts w:cs="Times New Roman"/>
          <w:bCs/>
        </w:rPr>
        <w:t>P</w:t>
      </w:r>
      <w:r>
        <w:rPr>
          <w:rFonts w:cs="Times New Roman"/>
          <w:bCs/>
          <w:vertAlign w:val="subscript"/>
        </w:rPr>
        <w:t>0</w:t>
      </w:r>
      <w:r>
        <w:rPr>
          <w:bCs/>
        </w:rPr>
        <w:t>为调整前的行权价格；V为每股的派息额；P为调整后的行权价格。经派息调整后，P仍须大于1。</w:t>
      </w:r>
    </w:p>
    <w:p>
      <w:pPr>
        <w:ind w:firstLine="480" w:firstLineChars="200"/>
        <w:rPr>
          <w:rFonts w:cs="Times New Roman"/>
          <w:bCs/>
        </w:rPr>
      </w:pPr>
      <w:r>
        <w:rPr>
          <w:rFonts w:cs="Times New Roman"/>
          <w:bCs/>
        </w:rPr>
        <w:t>5</w:t>
      </w:r>
      <w:r>
        <w:rPr>
          <w:rFonts w:hint="eastAsia" w:cs="Times New Roman"/>
          <w:bCs/>
        </w:rPr>
        <w:t>、增发</w:t>
      </w:r>
    </w:p>
    <w:p>
      <w:pPr>
        <w:ind w:firstLine="480" w:firstLineChars="200"/>
        <w:rPr>
          <w:rFonts w:cs="Times New Roman"/>
        </w:rPr>
      </w:pPr>
      <w:r>
        <w:rPr>
          <w:rFonts w:hint="eastAsia" w:cs="Times New Roman"/>
          <w:bCs/>
        </w:rPr>
        <w:t>公司在发生增发新股的情况下，股票期权的行权价格不做调整。</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（三）本激励计划调整的程序</w:t>
      </w:r>
    </w:p>
    <w:p>
      <w:pPr>
        <w:ind w:firstLine="480" w:firstLineChars="200"/>
        <w:rPr>
          <w:color w:val="000000"/>
        </w:rPr>
      </w:pPr>
      <w:r>
        <w:rPr>
          <w:color w:val="000000"/>
        </w:rPr>
        <w:t>公司股东大会授权公司董事会依据本激励计划所列明的原因调整股票期权数量和行权价格。董事会根据上述规定调整股票期权授予数量及行权价格后，应及时公告并通知激励对象。公司应聘请律师事务所就上述调整是否符合《管理办法》《公司章程》和本激励计划的规定向公司董事会出具专业意见。</w:t>
      </w:r>
    </w:p>
    <w:p>
      <w:pPr>
        <w:ind w:firstLine="480" w:firstLineChars="200"/>
        <w:rPr>
          <w:color w:val="000000"/>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十一、公司授予权益及激励对象行权的程序</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（一）本激励计划的</w:t>
      </w:r>
      <w:r>
        <w:rPr>
          <w:rFonts w:ascii="Times New Roman" w:hAnsi="Times New Roman" w:eastAsia="宋体" w:cs="Times New Roman"/>
          <w:color w:val="000000"/>
          <w:spacing w:val="1"/>
          <w:sz w:val="24"/>
          <w:lang w:eastAsia="zh-CN"/>
        </w:rPr>
        <w:t>生效</w:t>
      </w:r>
      <w:r>
        <w:rPr>
          <w:rFonts w:hint="eastAsia" w:ascii="Times New Roman" w:hAnsi="Times New Roman" w:eastAsia="宋体" w:cs="Times New Roman"/>
          <w:color w:val="000000"/>
          <w:spacing w:val="1"/>
          <w:sz w:val="24"/>
          <w:lang w:eastAsia="zh-CN"/>
        </w:rPr>
        <w:t>程序</w:t>
      </w:r>
    </w:p>
    <w:p>
      <w:pPr>
        <w:ind w:firstLine="480" w:firstLineChars="200"/>
        <w:rPr>
          <w:rFonts w:cs="Times New Roman"/>
        </w:rPr>
      </w:pPr>
      <w:r>
        <w:rPr>
          <w:rFonts w:cs="Times New Roman"/>
        </w:rPr>
        <w:t>1</w:t>
      </w:r>
      <w:r>
        <w:rPr>
          <w:rFonts w:hint="eastAsia" w:cs="Times New Roman"/>
        </w:rPr>
        <w:t>、薪酬委员会负责拟定本激励计划草案及《公司考核管理办法》。</w:t>
      </w:r>
    </w:p>
    <w:p>
      <w:pPr>
        <w:ind w:firstLine="480" w:firstLineChars="200"/>
        <w:rPr>
          <w:rFonts w:cs="Times New Roman"/>
        </w:rPr>
      </w:pPr>
      <w:r>
        <w:rPr>
          <w:rFonts w:cs="Times New Roman"/>
        </w:rPr>
        <w:t>2</w:t>
      </w:r>
      <w:r>
        <w:rPr>
          <w:rFonts w:hint="eastAsia" w:cs="Times New Roman"/>
        </w:rPr>
        <w:t>、董事会审议薪酬委员会拟定的本激励计划草案和《公司考核管理办法》。董事会审议本激励计划时，关联董事应当回避表决。</w:t>
      </w:r>
    </w:p>
    <w:p>
      <w:pPr>
        <w:ind w:firstLine="480" w:firstLineChars="200"/>
        <w:rPr>
          <w:rFonts w:cs="Times New Roman"/>
        </w:rPr>
      </w:pPr>
      <w:r>
        <w:rPr>
          <w:rFonts w:cs="Times New Roman"/>
        </w:rPr>
        <w:t>3</w:t>
      </w:r>
      <w:r>
        <w:rPr>
          <w:rFonts w:hint="eastAsia" w:cs="Times New Roman"/>
        </w:rPr>
        <w:t>、独立董事和监事会应当就本激励计划是否有利于公司的持续发展、是否存在明显损害公司及全体股东利益的情形发表明确意见。</w:t>
      </w:r>
    </w:p>
    <w:p>
      <w:pPr>
        <w:ind w:firstLine="480" w:firstLineChars="200"/>
        <w:rPr>
          <w:rFonts w:cs="Times New Roman"/>
        </w:rPr>
      </w:pPr>
      <w:r>
        <w:rPr>
          <w:rFonts w:cs="Times New Roman"/>
        </w:rPr>
        <w:t>4</w:t>
      </w:r>
      <w:r>
        <w:rPr>
          <w:rFonts w:hint="eastAsia" w:cs="Times New Roman"/>
        </w:rPr>
        <w:t>、公司聘请独立财务顾问，对本激励计划的可行性、定价的合理性、是否有利于公司的持续发展、是否存在明显损害公司及全体股东利益的情形发表专业意见。公司聘请的律师对本激励计划出具法律意见书。</w:t>
      </w:r>
    </w:p>
    <w:p>
      <w:pPr>
        <w:ind w:firstLine="480" w:firstLineChars="200"/>
        <w:rPr>
          <w:rFonts w:cs="Times New Roman"/>
        </w:rPr>
      </w:pPr>
      <w:r>
        <w:rPr>
          <w:rFonts w:cs="Times New Roman"/>
        </w:rPr>
        <w:t>5</w:t>
      </w:r>
      <w:r>
        <w:rPr>
          <w:rFonts w:hint="eastAsia" w:cs="Times New Roman"/>
        </w:rPr>
        <w:t>、董事会审议通过本激励计划草案后的</w:t>
      </w:r>
      <w:r>
        <w:rPr>
          <w:rFonts w:cs="Times New Roman"/>
        </w:rPr>
        <w:t>2</w:t>
      </w:r>
      <w:r>
        <w:rPr>
          <w:rFonts w:hint="eastAsia" w:cs="Times New Roman"/>
        </w:rPr>
        <w:t>个交易日内，公司公告董事会决议公告、本激励计划草案及摘要、独立董事意见、监事会意见。</w:t>
      </w:r>
    </w:p>
    <w:p>
      <w:pPr>
        <w:ind w:firstLine="480" w:firstLineChars="200"/>
        <w:rPr>
          <w:rFonts w:cs="Times New Roman"/>
        </w:rPr>
      </w:pPr>
      <w:r>
        <w:rPr>
          <w:rFonts w:cs="Times New Roman"/>
        </w:rPr>
        <w:t>6</w:t>
      </w:r>
      <w:r>
        <w:rPr>
          <w:rFonts w:hint="eastAsia" w:cs="Times New Roman"/>
        </w:rPr>
        <w:t>、公司对内幕信息知情人在本激励计划公告前</w:t>
      </w:r>
      <w:r>
        <w:rPr>
          <w:rFonts w:cs="Times New Roman"/>
        </w:rPr>
        <w:t>6</w:t>
      </w:r>
      <w:r>
        <w:rPr>
          <w:rFonts w:hint="eastAsia" w:cs="Times New Roman"/>
        </w:rPr>
        <w:t>个月内买卖本公司股票的情况进行自查。</w:t>
      </w:r>
    </w:p>
    <w:p>
      <w:pPr>
        <w:ind w:firstLine="480" w:firstLineChars="200"/>
        <w:rPr>
          <w:rFonts w:cs="Times New Roman"/>
        </w:rPr>
      </w:pPr>
      <w:r>
        <w:rPr>
          <w:rFonts w:cs="Times New Roman"/>
        </w:rPr>
        <w:t>7</w:t>
      </w:r>
      <w:r>
        <w:rPr>
          <w:rFonts w:hint="eastAsia" w:cs="Times New Roman"/>
        </w:rPr>
        <w:t>、公司在召开股东大会前，通过公司网站或者其他途径，在公司内部公示激励对象姓名及职务，公示期</w:t>
      </w:r>
      <w:r>
        <w:rPr>
          <w:rFonts w:cs="Times New Roman"/>
        </w:rPr>
        <w:t>不少于10</w:t>
      </w:r>
      <w:r>
        <w:rPr>
          <w:rFonts w:hint="eastAsia" w:cs="Times New Roman"/>
        </w:rPr>
        <w:t>天。监事会将对激励对象名单进行审核，充分听取公示意见。公司在股东大会审议本激励计划前</w:t>
      </w:r>
      <w:r>
        <w:rPr>
          <w:rFonts w:cs="Times New Roman"/>
        </w:rPr>
        <w:t>5</w:t>
      </w:r>
      <w:r>
        <w:rPr>
          <w:rFonts w:hint="eastAsia" w:cs="Times New Roman"/>
        </w:rPr>
        <w:t>日披露监事会对激励对象名单审核及公示情况的说明。</w:t>
      </w:r>
    </w:p>
    <w:p>
      <w:pPr>
        <w:ind w:firstLine="480" w:firstLineChars="200"/>
        <w:rPr>
          <w:rFonts w:cs="Times New Roman"/>
        </w:rPr>
      </w:pPr>
      <w:r>
        <w:rPr>
          <w:rFonts w:cs="Times New Roman"/>
        </w:rPr>
        <w:t>8</w:t>
      </w:r>
      <w:r>
        <w:rPr>
          <w:rFonts w:hint="eastAsia" w:cs="Times New Roman"/>
        </w:rPr>
        <w:t>、公司股东大会在对本激励计划及相关议案进行投票表决时，独立董事应当就本激励计划及相关议案向所有股东征集委托投票权。股东大会以特别决议审议本激励计划及相关议案，关联股东应当回避表决。</w:t>
      </w:r>
    </w:p>
    <w:p>
      <w:pPr>
        <w:ind w:firstLine="480" w:firstLineChars="200"/>
        <w:rPr>
          <w:rFonts w:cs="Times New Roman"/>
        </w:rPr>
      </w:pPr>
      <w:r>
        <w:rPr>
          <w:rFonts w:cs="Times New Roman"/>
        </w:rPr>
        <w:t>9</w:t>
      </w:r>
      <w:r>
        <w:rPr>
          <w:rFonts w:hint="eastAsia" w:cs="Times New Roman"/>
        </w:rPr>
        <w:t>、公司披露股东大会决议公告、经股东大会审议通过的股权激励计划、以及内幕信息知情人买卖本公司股票情况的自查报告、股东大会法律意见书。</w:t>
      </w:r>
    </w:p>
    <w:p>
      <w:pPr>
        <w:widowControl w:val="0"/>
        <w:ind w:firstLine="480" w:firstLineChars="200"/>
      </w:pPr>
      <w:r>
        <w:rPr>
          <w:rFonts w:cs="Times New Roman"/>
        </w:rPr>
        <w:t>10</w:t>
      </w:r>
      <w:r>
        <w:rPr>
          <w:rFonts w:hint="eastAsia" w:cs="Times New Roman"/>
        </w:rPr>
        <w:t>、本激励计划经公司股东大会审议通过后，公司董事会根据股东大会授权，自股东大会审议通过本激励计划之日起</w:t>
      </w:r>
      <w:r>
        <w:rPr>
          <w:rFonts w:cs="Times New Roman"/>
        </w:rPr>
        <w:t>60</w:t>
      </w:r>
      <w:r>
        <w:rPr>
          <w:rFonts w:hint="eastAsia" w:cs="Times New Roman"/>
        </w:rPr>
        <w:t>日内授出权益并完成登记、公告等相关程序。</w:t>
      </w:r>
      <w:r>
        <w:t>董事会根据股东大会的授权办理具体的股票期权行权、注销等事宜。</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（二）股票期权的授予程序</w:t>
      </w:r>
    </w:p>
    <w:p>
      <w:pPr>
        <w:ind w:firstLine="480" w:firstLineChars="200"/>
        <w:rPr>
          <w:rFonts w:cs="Times New Roman"/>
        </w:rPr>
      </w:pPr>
      <w:r>
        <w:rPr>
          <w:rFonts w:cs="Times New Roman"/>
        </w:rPr>
        <w:t>1</w:t>
      </w:r>
      <w:r>
        <w:rPr>
          <w:rFonts w:hint="eastAsia" w:cs="Times New Roman"/>
        </w:rPr>
        <w:t>、自公司股东大会审议通过本激励计划之日起</w:t>
      </w:r>
      <w:r>
        <w:rPr>
          <w:rFonts w:cs="Times New Roman"/>
        </w:rPr>
        <w:t>60</w:t>
      </w:r>
      <w:r>
        <w:rPr>
          <w:rFonts w:hint="eastAsia" w:cs="Times New Roman"/>
        </w:rPr>
        <w:t>日内，公司召开董事会对激励对象进行授予。</w:t>
      </w:r>
    </w:p>
    <w:p>
      <w:pPr>
        <w:ind w:firstLine="480" w:firstLineChars="200"/>
        <w:rPr>
          <w:color w:val="000000"/>
        </w:rPr>
      </w:pPr>
      <w:r>
        <w:rPr>
          <w:rFonts w:cs="Times New Roman"/>
        </w:rPr>
        <w:t>2</w:t>
      </w:r>
      <w:r>
        <w:rPr>
          <w:rFonts w:hint="eastAsia" w:cs="Times New Roman"/>
        </w:rPr>
        <w:t>、</w:t>
      </w:r>
      <w:r>
        <w:rPr>
          <w:color w:val="000000"/>
        </w:rPr>
        <w:t>公司在向激励对象授出权益前，董事会应当就本激励计划设定的激励对象获授权益的条件是否成就进行审议，独立董事及监事会应当同时发表明确意见。律师事务所应当对激励对象获授权益的条件是否成就出具法律意见。</w:t>
      </w:r>
      <w:r>
        <w:t>公司监事会应当对股票期权授权日激励对象名单进行核实并发表意见。</w:t>
      </w:r>
    </w:p>
    <w:p>
      <w:pPr>
        <w:ind w:firstLine="480" w:firstLineChars="200"/>
        <w:rPr>
          <w:color w:val="000000"/>
        </w:rPr>
      </w:pPr>
      <w:r>
        <w:rPr>
          <w:color w:val="000000"/>
        </w:rPr>
        <w:t>公司向激励对象授出权益与股权激励计划的安排存在差异时，独立董事、监事会（当激励对象发生变化时）、律师事务所、独立财务顾问应当同时发表明确意见。</w:t>
      </w:r>
    </w:p>
    <w:p>
      <w:pPr>
        <w:ind w:firstLine="480" w:firstLineChars="200"/>
        <w:rPr>
          <w:color w:val="000000"/>
        </w:rPr>
      </w:pPr>
      <w:r>
        <w:rPr>
          <w:rFonts w:cs="Times New Roman"/>
        </w:rPr>
        <w:t>3</w:t>
      </w:r>
      <w:r>
        <w:rPr>
          <w:rFonts w:hint="eastAsia" w:cs="Times New Roman"/>
        </w:rPr>
        <w:t>、</w:t>
      </w:r>
      <w:r>
        <w:rPr>
          <w:color w:val="000000"/>
        </w:rPr>
        <w:t>公司与激励对象签订《股票期权授予协议书》，约定双方的权利与义务。</w:t>
      </w:r>
    </w:p>
    <w:p>
      <w:pPr>
        <w:ind w:firstLine="480" w:firstLineChars="200"/>
        <w:rPr>
          <w:color w:val="000000"/>
        </w:rPr>
      </w:pPr>
      <w:r>
        <w:rPr>
          <w:rFonts w:cs="Times New Roman"/>
        </w:rPr>
        <w:t>4</w:t>
      </w:r>
      <w:r>
        <w:rPr>
          <w:rFonts w:hint="eastAsia" w:cs="Times New Roman"/>
        </w:rPr>
        <w:t>、</w:t>
      </w:r>
      <w:r>
        <w:rPr>
          <w:color w:val="000000"/>
        </w:rPr>
        <w:t>公司根据激励对象签署协议情况制作股票期权激励计划管理名册，记载激励对象姓名、授予数量、授权日、缴款金额、《股票期权授予协议书》编号等内容。</w:t>
      </w:r>
    </w:p>
    <w:p>
      <w:pPr>
        <w:ind w:firstLine="480" w:firstLineChars="200"/>
        <w:rPr>
          <w:color w:val="000000"/>
        </w:rPr>
      </w:pPr>
      <w:r>
        <w:rPr>
          <w:rFonts w:hint="eastAsia" w:cs="Times New Roman"/>
        </w:rPr>
        <w:t>5、</w:t>
      </w:r>
      <w:r>
        <w:rPr>
          <w:color w:val="000000"/>
        </w:rPr>
        <w:t>公司应当向证券交易所提出向激励对象授予股票期权申请，经证券交易所确认后，公司向</w:t>
      </w:r>
      <w:r>
        <w:rPr>
          <w:rFonts w:hint="eastAsia"/>
          <w:color w:val="000000"/>
        </w:rPr>
        <w:t>中国证券登记结算有限责任公司上海分公司（以下简称“</w:t>
      </w:r>
      <w:r>
        <w:rPr>
          <w:color w:val="000000"/>
        </w:rPr>
        <w:t>登记结算公司</w:t>
      </w:r>
      <w:r>
        <w:rPr>
          <w:rFonts w:hint="eastAsia"/>
          <w:color w:val="000000"/>
        </w:rPr>
        <w:t>”）</w:t>
      </w:r>
      <w:r>
        <w:rPr>
          <w:color w:val="000000"/>
        </w:rPr>
        <w:t>申请办理登记结算事宜。公司董事会应当在授予的股票期权登记完成后，及时披露相关实施情况的公告。若公司未能在60日内完成授予工作的，本计划终止实施，董事会应当及时披露未完成的原因且3个月内不得再次审议股权激励计划（不得授出股票期权的期间不计算在60日内）。</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（三）股票期权的行权程序</w:t>
      </w:r>
    </w:p>
    <w:p>
      <w:pPr>
        <w:ind w:firstLine="480" w:firstLineChars="200"/>
      </w:pPr>
      <w:r>
        <w:rPr>
          <w:rFonts w:cs="Times New Roman"/>
        </w:rPr>
        <w:t>1</w:t>
      </w:r>
      <w:r>
        <w:rPr>
          <w:rFonts w:hint="eastAsia" w:cs="Times New Roman"/>
        </w:rPr>
        <w:t>、</w:t>
      </w:r>
      <w:r>
        <w:t>激励对象在可行权日内向董事会提交《股票期权行权申请书》，提出行权申请。《股票期权行权申请书》应载明行权的数量、行权价格以及期权持有者的交易信息等。</w:t>
      </w:r>
    </w:p>
    <w:p>
      <w:pPr>
        <w:ind w:firstLine="480" w:firstLineChars="200"/>
        <w:rPr>
          <w:color w:val="000000"/>
        </w:rPr>
      </w:pPr>
      <w:r>
        <w:rPr>
          <w:rFonts w:cs="Times New Roman"/>
        </w:rPr>
        <w:t>2</w:t>
      </w:r>
      <w:r>
        <w:rPr>
          <w:rFonts w:hint="eastAsia" w:cs="Times New Roman"/>
        </w:rPr>
        <w:t>、</w:t>
      </w:r>
      <w:r>
        <w:rPr>
          <w:color w:val="000000"/>
        </w:rPr>
        <w:t>激励对象在行使权益前，董事会对申请人的行权资格与行权数额审查确认，并就股权激励计划设定的激励对象行使权益的条件是否成就进行审议，独立董事及监事会应当同时发表明确意见。律师事务所应当对激励对象行使权益的条件是否成就出具法律意见。</w:t>
      </w:r>
    </w:p>
    <w:p>
      <w:pPr>
        <w:ind w:firstLine="480" w:firstLineChars="200"/>
        <w:rPr>
          <w:color w:val="000000"/>
        </w:rPr>
      </w:pPr>
      <w:r>
        <w:rPr>
          <w:color w:val="000000"/>
        </w:rPr>
        <w:t>3</w:t>
      </w:r>
      <w:r>
        <w:rPr>
          <w:rFonts w:hint="eastAsia"/>
          <w:color w:val="000000"/>
        </w:rPr>
        <w:t>、激励对象的行权申请经董事会确认并交付相应的行权（购股）款项后，公司向证券交易所提出行权申请，并按申请行权数量向激励对象定向发行股票。</w:t>
      </w:r>
    </w:p>
    <w:p>
      <w:pPr>
        <w:ind w:firstLine="480" w:firstLineChars="200"/>
      </w:pPr>
      <w:r>
        <w:rPr>
          <w:rFonts w:hint="eastAsia"/>
          <w:color w:val="000000"/>
        </w:rPr>
        <w:t>4、</w:t>
      </w:r>
      <w:r>
        <w:t>经证券交易所确认后，由登记结算公司办理登记结算事宜。</w:t>
      </w:r>
    </w:p>
    <w:p>
      <w:pPr>
        <w:ind w:firstLine="480" w:firstLineChars="200"/>
      </w:pPr>
      <w:r>
        <w:rPr>
          <w:color w:val="000000"/>
        </w:rPr>
        <w:t>5</w:t>
      </w:r>
      <w:r>
        <w:rPr>
          <w:rFonts w:hint="eastAsia"/>
          <w:color w:val="000000"/>
        </w:rPr>
        <w:t>、</w:t>
      </w:r>
      <w:r>
        <w:t>激励对象可对</w:t>
      </w:r>
      <w:r>
        <w:rPr>
          <w:color w:val="000000"/>
        </w:rPr>
        <w:t>股票期权行权后的股票</w:t>
      </w:r>
      <w:r>
        <w:t>进行转让，但公司董事和高级管理人员所持股份的转让应当符合有关法律、法规和规范性文件的规定。</w:t>
      </w:r>
    </w:p>
    <w:p>
      <w:pPr>
        <w:ind w:firstLine="480" w:firstLineChars="200"/>
      </w:pPr>
      <w:r>
        <w:t>公司可以根据实际情况，向激励对象提供统一或自主行权方式。</w:t>
      </w:r>
    </w:p>
    <w:p>
      <w:pPr>
        <w:ind w:firstLine="480" w:firstLineChars="200"/>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十二、公司与激励对象各自的权利义务</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（一）公司的权利与义务</w:t>
      </w:r>
    </w:p>
    <w:p>
      <w:pPr>
        <w:ind w:firstLine="480" w:firstLineChars="200"/>
        <w:rPr>
          <w:color w:val="000000"/>
        </w:rPr>
      </w:pPr>
      <w:r>
        <w:rPr>
          <w:rFonts w:cs="Times New Roman"/>
        </w:rPr>
        <w:t>1</w:t>
      </w:r>
      <w:r>
        <w:rPr>
          <w:rFonts w:hint="eastAsia" w:cs="Times New Roman"/>
        </w:rPr>
        <w:t>、</w:t>
      </w:r>
      <w:r>
        <w:rPr>
          <w:color w:val="000000"/>
        </w:rPr>
        <w:t>公司具有对本激励计划的解释和执行权，对激励对象进行绩效考核，并监督和审核激励对象是否具有继续行权的资格。若激励对象未达到激励计划所确定的行权条件，经公司董事会批准，可以取消激励对象尚未行权的股票期权。</w:t>
      </w:r>
    </w:p>
    <w:p>
      <w:pPr>
        <w:ind w:firstLine="480" w:firstLineChars="200"/>
        <w:rPr>
          <w:color w:val="000000"/>
        </w:rPr>
      </w:pPr>
      <w:r>
        <w:rPr>
          <w:rFonts w:cs="Times New Roman"/>
        </w:rPr>
        <w:t>2</w:t>
      </w:r>
      <w:r>
        <w:rPr>
          <w:rFonts w:hint="eastAsia" w:cs="Times New Roman"/>
        </w:rPr>
        <w:t>、</w:t>
      </w:r>
      <w:r>
        <w:rPr>
          <w:color w:val="000000"/>
        </w:rPr>
        <w:t>公司有权要求激励对象按其所聘岗位的要求为公司工作，若激励对象不能胜任所聘工作岗位或者考核不合格，或者激励对象因触犯法律、违反职业道德、泄露公司机密、违反公司规章制度、失职或渎职等行为严重损害公司利益或声誉，经公司董事会批准，可以取消激励对象尚未行权的股票期权。</w:t>
      </w:r>
    </w:p>
    <w:p>
      <w:pPr>
        <w:ind w:firstLine="480" w:firstLineChars="200"/>
        <w:rPr>
          <w:color w:val="000000"/>
        </w:rPr>
      </w:pPr>
      <w:r>
        <w:rPr>
          <w:rFonts w:cs="Times New Roman"/>
        </w:rPr>
        <w:t>3</w:t>
      </w:r>
      <w:r>
        <w:rPr>
          <w:rFonts w:hint="eastAsia" w:cs="Times New Roman"/>
        </w:rPr>
        <w:t>、</w:t>
      </w:r>
      <w:r>
        <w:rPr>
          <w:color w:val="000000"/>
        </w:rPr>
        <w:t>公司根据国家税收法律法规的有关规定，代扣代缴激励对象应缴纳的个人所得税及其他税费。</w:t>
      </w:r>
    </w:p>
    <w:p>
      <w:pPr>
        <w:ind w:firstLine="480" w:firstLineChars="200"/>
        <w:rPr>
          <w:color w:val="000000"/>
        </w:rPr>
      </w:pPr>
      <w:r>
        <w:rPr>
          <w:rFonts w:cs="Times New Roman"/>
        </w:rPr>
        <w:t>4</w:t>
      </w:r>
      <w:r>
        <w:rPr>
          <w:rFonts w:hint="eastAsia" w:cs="Times New Roman"/>
        </w:rPr>
        <w:t>、</w:t>
      </w:r>
      <w:r>
        <w:rPr>
          <w:color w:val="000000"/>
        </w:rPr>
        <w:t>公司承诺不为激励对象依本激励计划获取有关股票期权提供贷款以及其他任何形式的财务资助，包括为其贷款提供担保。</w:t>
      </w:r>
    </w:p>
    <w:p>
      <w:pPr>
        <w:ind w:firstLine="480" w:firstLineChars="200"/>
        <w:rPr>
          <w:color w:val="000000"/>
        </w:rPr>
      </w:pPr>
      <w:r>
        <w:rPr>
          <w:rFonts w:cs="Times New Roman"/>
        </w:rPr>
        <w:t>5</w:t>
      </w:r>
      <w:r>
        <w:rPr>
          <w:rFonts w:hint="eastAsia" w:cs="Times New Roman"/>
        </w:rPr>
        <w:t>、</w:t>
      </w:r>
      <w:r>
        <w:rPr>
          <w:color w:val="000000"/>
        </w:rPr>
        <w:t>公司应按照相关法律法规、规范性文件的规定对与本激励计划相关的信息披露文件进行及时、真实、准确、完整披露，保证不存在虚假记载、误导性陈述或者重大遗漏，及时履行本激励计划的相关申报义务。</w:t>
      </w:r>
    </w:p>
    <w:p>
      <w:pPr>
        <w:ind w:firstLine="480" w:firstLineChars="200"/>
        <w:rPr>
          <w:color w:val="000000"/>
        </w:rPr>
      </w:pPr>
      <w:r>
        <w:rPr>
          <w:rFonts w:cs="Times New Roman"/>
        </w:rPr>
        <w:t>6</w:t>
      </w:r>
      <w:r>
        <w:rPr>
          <w:rFonts w:hint="eastAsia" w:cs="Times New Roman"/>
        </w:rPr>
        <w:t>、</w:t>
      </w:r>
      <w:r>
        <w:rPr>
          <w:color w:val="000000"/>
        </w:rPr>
        <w:t>公司应当根据本激励计划和中国证监会、证券交易所、登记结算公司的有关规定，为满足行权条件的激励对象办理股票期权行权事宜。但若因中国证监会、证券交易所、登记结算公司的原因造成激励对象未能完成股票期权行权事宜并给激励对象造成损失的，公司不承担责任。</w:t>
      </w:r>
    </w:p>
    <w:p>
      <w:pPr>
        <w:ind w:firstLine="480" w:firstLineChars="200"/>
        <w:rPr>
          <w:color w:val="000000"/>
        </w:rPr>
      </w:pPr>
      <w:r>
        <w:rPr>
          <w:rFonts w:cs="Times New Roman"/>
        </w:rPr>
        <w:t>7</w:t>
      </w:r>
      <w:r>
        <w:rPr>
          <w:rFonts w:hint="eastAsia" w:cs="Times New Roman"/>
        </w:rPr>
        <w:t>、</w:t>
      </w:r>
      <w:r>
        <w:rPr>
          <w:color w:val="000000"/>
        </w:rPr>
        <w:t>法律、行政法规、规范性文件规定的其他相关权利义务。</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（二）激励对象的权利与义务</w:t>
      </w:r>
    </w:p>
    <w:p>
      <w:pPr>
        <w:ind w:firstLine="480" w:firstLineChars="200"/>
        <w:rPr>
          <w:rFonts w:cs="Times New Roman"/>
        </w:rPr>
      </w:pPr>
      <w:r>
        <w:rPr>
          <w:rFonts w:cs="Times New Roman"/>
        </w:rPr>
        <w:t>1</w:t>
      </w:r>
      <w:r>
        <w:rPr>
          <w:rFonts w:hint="eastAsia" w:cs="Times New Roman"/>
        </w:rPr>
        <w:t>、激励对象应当按公司所聘岗位的要求，勤勉尽责、恪守职业道德，为公司的发展做出应有贡献。</w:t>
      </w:r>
    </w:p>
    <w:p>
      <w:pPr>
        <w:ind w:firstLine="480" w:firstLineChars="200"/>
        <w:rPr>
          <w:color w:val="000000"/>
        </w:rPr>
      </w:pPr>
      <w:r>
        <w:rPr>
          <w:rFonts w:cs="Times New Roman"/>
        </w:rPr>
        <w:t>2</w:t>
      </w:r>
      <w:r>
        <w:rPr>
          <w:rFonts w:hint="eastAsia" w:cs="Times New Roman"/>
        </w:rPr>
        <w:t>、</w:t>
      </w:r>
      <w:r>
        <w:rPr>
          <w:color w:val="000000"/>
        </w:rPr>
        <w:t>激励对象有权且应当按照激励计划的规定行权，并按规定锁定和买卖股份。</w:t>
      </w:r>
    </w:p>
    <w:p>
      <w:pPr>
        <w:ind w:firstLine="480" w:firstLineChars="200"/>
        <w:rPr>
          <w:color w:val="000000"/>
        </w:rPr>
      </w:pPr>
      <w:r>
        <w:rPr>
          <w:rFonts w:cs="Times New Roman"/>
        </w:rPr>
        <w:t>3</w:t>
      </w:r>
      <w:r>
        <w:rPr>
          <w:rFonts w:hint="eastAsia" w:cs="Times New Roman"/>
        </w:rPr>
        <w:t>、</w:t>
      </w:r>
      <w:r>
        <w:rPr>
          <w:color w:val="000000"/>
        </w:rPr>
        <w:t>激励对象的资金来源为激励对象自筹资金。</w:t>
      </w:r>
    </w:p>
    <w:p>
      <w:pPr>
        <w:ind w:firstLine="480" w:firstLineChars="200"/>
        <w:rPr>
          <w:color w:val="000000"/>
        </w:rPr>
      </w:pPr>
      <w:r>
        <w:rPr>
          <w:rFonts w:cs="Times New Roman"/>
        </w:rPr>
        <w:t>4</w:t>
      </w:r>
      <w:r>
        <w:rPr>
          <w:rFonts w:hint="eastAsia" w:cs="Times New Roman"/>
        </w:rPr>
        <w:t>、</w:t>
      </w:r>
      <w:r>
        <w:rPr>
          <w:color w:val="000000"/>
        </w:rPr>
        <w:t>激励对象获授的股票期权在等待期内不得转让、用于担保或偿还债务。股票期权在行权前不享受投票权和表决权，同时也不参与股票红利、股息的分配。</w:t>
      </w:r>
    </w:p>
    <w:p>
      <w:pPr>
        <w:ind w:firstLine="480" w:firstLineChars="200"/>
        <w:rPr>
          <w:rFonts w:cs="Times New Roman"/>
        </w:rPr>
      </w:pPr>
      <w:r>
        <w:rPr>
          <w:rFonts w:cs="Times New Roman"/>
        </w:rPr>
        <w:t>5</w:t>
      </w:r>
      <w:r>
        <w:rPr>
          <w:rFonts w:hint="eastAsia" w:cs="Times New Roman"/>
        </w:rPr>
        <w:t>、激励对象因本激励计划获得的收益，应按国家税收法规交纳个人所得税及其他税费。</w:t>
      </w:r>
    </w:p>
    <w:p>
      <w:pPr>
        <w:ind w:firstLine="480" w:firstLineChars="200"/>
        <w:rPr>
          <w:color w:val="000000"/>
        </w:rPr>
      </w:pPr>
      <w:r>
        <w:rPr>
          <w:rFonts w:cs="Times New Roman"/>
        </w:rPr>
        <w:t>6</w:t>
      </w:r>
      <w:r>
        <w:rPr>
          <w:rFonts w:hint="eastAsia" w:cs="Times New Roman"/>
        </w:rPr>
        <w:t>、</w:t>
      </w:r>
      <w:r>
        <w:rPr>
          <w:color w:val="000000"/>
        </w:rPr>
        <w:t>激励对象承诺，若因公司信息披露文件中存在虚假记载、误导性陈述或者重大遗漏，导致不符合授予权益安排的，激励对象应当按照所作承诺自相关信息披露文件被确认存在虚假记载、误导性陈述或者重大遗漏后，将因股权激励计划所获得的全部利益返还公司。</w:t>
      </w:r>
    </w:p>
    <w:p>
      <w:pPr>
        <w:ind w:firstLine="480" w:firstLineChars="200"/>
        <w:rPr>
          <w:color w:val="000000"/>
        </w:rPr>
      </w:pPr>
      <w:r>
        <w:rPr>
          <w:rFonts w:cs="Times New Roman"/>
        </w:rPr>
        <w:t>7</w:t>
      </w:r>
      <w:r>
        <w:rPr>
          <w:rFonts w:hint="eastAsia" w:cs="Times New Roman"/>
        </w:rPr>
        <w:t>、</w:t>
      </w:r>
      <w:r>
        <w:rPr>
          <w:color w:val="000000"/>
        </w:rPr>
        <w:t>激励对象在本激励计划实施中出现《管理办法》第八条规定的不得成为激励对象的情形时，其已获授但尚未行使的权益应终止行使。</w:t>
      </w:r>
    </w:p>
    <w:p>
      <w:pPr>
        <w:ind w:firstLine="480" w:firstLineChars="200"/>
        <w:rPr>
          <w:rFonts w:cs="Times New Roman"/>
        </w:rPr>
      </w:pPr>
      <w:r>
        <w:rPr>
          <w:rFonts w:cs="Times New Roman"/>
        </w:rPr>
        <w:t>8</w:t>
      </w:r>
      <w:r>
        <w:rPr>
          <w:rFonts w:hint="eastAsia" w:cs="Times New Roman"/>
        </w:rPr>
        <w:t>、如激励对象在行使权益后离职的，应当在2年内不得从事与公司业务相同或类似的相关工作；如果激励对象在行使权益后离职、并在2年内从事与公司业务相同或类似工作的，激励对象应将其因激励计划所得全部收益返还给公司，并承担与其所得收益同等金额的违约金，给公司造成损失的，还应同时向公司承担赔偿责任。</w:t>
      </w:r>
    </w:p>
    <w:p>
      <w:pPr>
        <w:ind w:firstLine="480" w:firstLineChars="200"/>
        <w:rPr>
          <w:color w:val="000000"/>
        </w:rPr>
      </w:pPr>
      <w:r>
        <w:rPr>
          <w:rFonts w:hint="eastAsia"/>
          <w:color w:val="000000"/>
        </w:rPr>
        <w:t>9、</w:t>
      </w:r>
      <w:r>
        <w:rPr>
          <w:color w:val="000000"/>
        </w:rPr>
        <w:t>法律、行政法规、规范性文件及本激励计划规定的其他相关权利义务。</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（三）其他说明</w:t>
      </w:r>
    </w:p>
    <w:p>
      <w:pPr>
        <w:ind w:firstLine="480" w:firstLineChars="200"/>
      </w:pPr>
      <w:r>
        <w:t>本激励计划经公司股东大会审议通过后，公司将与每一位激励对象签署《股票期权授予协议书》。明确约定各自在本激励计划项下的权利义务及其他相关事项。</w:t>
      </w:r>
    </w:p>
    <w:p>
      <w:pPr>
        <w:ind w:firstLine="480" w:firstLineChars="200"/>
      </w:pPr>
      <w:r>
        <w:t>公司与激励对象发生争议，按照本激励计划和《股票期权授予协议书》的规定解决，规定不明的，双方应按照国家法律和公平合理原则协商解决；协商不成，应提交公司</w:t>
      </w:r>
      <w:r>
        <w:rPr>
          <w:rFonts w:hint="eastAsia"/>
        </w:rPr>
        <w:t>住所地</w:t>
      </w:r>
      <w:r>
        <w:t>有管辖权的人民法院诉讼解决。</w:t>
      </w:r>
    </w:p>
    <w:p>
      <w:pPr>
        <w:ind w:firstLine="480" w:firstLineChars="200"/>
      </w:pPr>
      <w:r>
        <w:t>公司确定本股权激励计划的激励对象，并不构成对员工聘用期限的承诺。公司仍按与激励对象签订的《劳动合同》或聘</w:t>
      </w:r>
      <w:r>
        <w:rPr>
          <w:rFonts w:hint="eastAsia"/>
        </w:rPr>
        <w:t>用</w:t>
      </w:r>
      <w:r>
        <w:t>合同确定对员工的聘用关系。</w:t>
      </w:r>
    </w:p>
    <w:p>
      <w:pPr>
        <w:ind w:firstLine="480" w:firstLineChars="200"/>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十三、本激励计划变更与终止</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（一）激励计划变更程序</w:t>
      </w:r>
    </w:p>
    <w:p>
      <w:pPr>
        <w:ind w:firstLine="480" w:firstLineChars="200"/>
        <w:rPr>
          <w:color w:val="000000"/>
        </w:rPr>
      </w:pPr>
      <w:r>
        <w:rPr>
          <w:rFonts w:cs="Times New Roman"/>
          <w:color w:val="000000"/>
          <w:kern w:val="0"/>
        </w:rPr>
        <w:t>1</w:t>
      </w:r>
      <w:r>
        <w:rPr>
          <w:rFonts w:hint="eastAsia" w:cs="Times New Roman"/>
          <w:color w:val="000000"/>
          <w:kern w:val="0"/>
        </w:rPr>
        <w:t>、公司在股东大会审议通过本激励计划之前可对其进行变更的，变更需经董事会审议通过。公司对已通过股东大会审议的本激励计划进行变更的，变更方案应提交股东大会审议，</w:t>
      </w:r>
      <w:r>
        <w:rPr>
          <w:color w:val="000000"/>
        </w:rPr>
        <w:t>且不得包括导致加速行权和降低行权价格的情形。</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公司应及时披露变更原因、变更内容，公司独立董事、监事会应当就变更后的方案是否有利于公司的持续发展，是否存在明显损害公司及全体股东利益的情形发表明确意见。律师事务所应当就变更后的方案是否符合《管理办法》及相关法律法规的规定、是否存在明显损害公司及全体股东利益的情形发表专业意见。</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（二）激励计划终止程序</w:t>
      </w:r>
    </w:p>
    <w:p>
      <w:pPr>
        <w:ind w:firstLine="480" w:firstLineChars="200"/>
        <w:rPr>
          <w:rFonts w:cs="Times New Roman"/>
          <w:color w:val="000000"/>
          <w:kern w:val="0"/>
        </w:rPr>
      </w:pPr>
      <w:r>
        <w:rPr>
          <w:rFonts w:cs="Times New Roman"/>
          <w:color w:val="000000"/>
          <w:kern w:val="0"/>
        </w:rPr>
        <w:t>1</w:t>
      </w:r>
      <w:r>
        <w:rPr>
          <w:rFonts w:hint="eastAsia" w:cs="Times New Roman"/>
          <w:color w:val="000000"/>
          <w:kern w:val="0"/>
        </w:rPr>
        <w:t>、公司在股东大会审议前拟终止本激励计划的，需董事会审议通过并披露。公司在股东大会审议通过本激励计划之后终止实施本激励计划的，应提交董事会、股东大会审议并披露。</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、公司应当及时披露股东大会决议公告或董事会决议公告。律师事务所应当就公司终止实施激励计划是否符合《管理办法》及相关法律法规的规定、是否存在明显损害公司及全体股东利益的情形发表专业意见。</w:t>
      </w:r>
    </w:p>
    <w:p>
      <w:pPr>
        <w:ind w:firstLine="480" w:firstLineChars="200"/>
        <w:rPr>
          <w:rFonts w:cs="Times New Roman"/>
          <w:color w:val="000000"/>
          <w:kern w:val="0"/>
        </w:rPr>
      </w:pPr>
      <w:r>
        <w:rPr>
          <w:rFonts w:cs="Times New Roman"/>
          <w:color w:val="000000"/>
          <w:kern w:val="0"/>
        </w:rPr>
        <w:t>3</w:t>
      </w:r>
      <w:r>
        <w:rPr>
          <w:rFonts w:hint="eastAsia" w:cs="Times New Roman"/>
          <w:color w:val="000000"/>
          <w:kern w:val="0"/>
        </w:rPr>
        <w:t>、终止实施本激励计划的，公司应在履行相应审议程序后及时向登记结算公司申请办理已授予股票期权注销手续。</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（三）公司发生异动的处理</w:t>
      </w:r>
    </w:p>
    <w:p>
      <w:pPr>
        <w:ind w:firstLine="480" w:firstLineChars="200"/>
        <w:rPr>
          <w:color w:val="000000"/>
        </w:rPr>
      </w:pPr>
      <w:r>
        <w:rPr>
          <w:rFonts w:cs="Times New Roman"/>
          <w:color w:val="000000"/>
          <w:kern w:val="0"/>
        </w:rPr>
        <w:t>1</w:t>
      </w:r>
      <w:r>
        <w:rPr>
          <w:rFonts w:hint="eastAsia" w:cs="Times New Roman"/>
          <w:color w:val="000000"/>
          <w:kern w:val="0"/>
        </w:rPr>
        <w:t>、公司出现下列情形之一的，本计划终止实施，</w:t>
      </w:r>
      <w:r>
        <w:rPr>
          <w:color w:val="000000"/>
        </w:rPr>
        <w:t>激励对象根据本计划已获授但尚未行权的股票期权不得行权，由公司注销。</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1</w:t>
      </w:r>
      <w:r>
        <w:rPr>
          <w:rFonts w:hint="eastAsia" w:cs="Times New Roman"/>
          <w:color w:val="000000"/>
          <w:kern w:val="0"/>
        </w:rPr>
        <w:t>）最近一个会计年度财务会计报告被注册会计师出具否定意见或者无法表示意见的审计报告；</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2</w:t>
      </w:r>
      <w:r>
        <w:rPr>
          <w:rFonts w:hint="eastAsia" w:cs="Times New Roman"/>
          <w:color w:val="000000"/>
          <w:kern w:val="0"/>
        </w:rPr>
        <w:t>）最近一个会计年度财务报告内部控制被注册会计师出具否定意见或者无法表示意见的审计报告；</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3</w:t>
      </w:r>
      <w:r>
        <w:rPr>
          <w:rFonts w:hint="eastAsia" w:cs="Times New Roman"/>
          <w:color w:val="000000"/>
          <w:kern w:val="0"/>
        </w:rPr>
        <w:t>）上市后最近</w:t>
      </w:r>
      <w:r>
        <w:rPr>
          <w:rFonts w:cs="Times New Roman"/>
          <w:color w:val="000000"/>
          <w:kern w:val="0"/>
        </w:rPr>
        <w:t>36</w:t>
      </w:r>
      <w:r>
        <w:rPr>
          <w:rFonts w:hint="eastAsia" w:cs="Times New Roman"/>
          <w:color w:val="000000"/>
          <w:kern w:val="0"/>
        </w:rPr>
        <w:t>个月内出现过未按法律法规、公司章程、公开承诺进行利润分配的情形；</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4</w:t>
      </w:r>
      <w:r>
        <w:rPr>
          <w:rFonts w:hint="eastAsia" w:cs="Times New Roman"/>
          <w:color w:val="000000"/>
          <w:kern w:val="0"/>
        </w:rPr>
        <w:t>）法律法规规定不得实行股权激励的情形；</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5</w:t>
      </w:r>
      <w:r>
        <w:rPr>
          <w:rFonts w:hint="eastAsia" w:cs="Times New Roman"/>
          <w:color w:val="000000"/>
          <w:kern w:val="0"/>
        </w:rPr>
        <w:t>）中国证监会认定的其他需要终止激励计划的情形。</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、公司发生合并、分立等情形</w:t>
      </w:r>
    </w:p>
    <w:p>
      <w:pPr>
        <w:ind w:firstLine="480" w:firstLineChars="200"/>
        <w:rPr>
          <w:rFonts w:cs="Times New Roman"/>
          <w:color w:val="000000"/>
          <w:kern w:val="0"/>
        </w:rPr>
      </w:pPr>
      <w:r>
        <w:rPr>
          <w:rFonts w:hint="eastAsia" w:cs="Times New Roman"/>
          <w:color w:val="000000"/>
          <w:kern w:val="0"/>
        </w:rPr>
        <w:t>当公司发生合并、分立等情形时，由公司董事会在公司发生合并、分立等情形之日起</w:t>
      </w:r>
      <w:r>
        <w:rPr>
          <w:rFonts w:cs="Times New Roman"/>
          <w:color w:val="000000"/>
          <w:kern w:val="0"/>
        </w:rPr>
        <w:t>5</w:t>
      </w:r>
      <w:r>
        <w:rPr>
          <w:rFonts w:hint="eastAsia" w:cs="Times New Roman"/>
          <w:color w:val="000000"/>
          <w:kern w:val="0"/>
        </w:rPr>
        <w:t>个交易日内决定是否终止实施本激励计划。</w:t>
      </w:r>
    </w:p>
    <w:p>
      <w:pPr>
        <w:ind w:firstLine="480" w:firstLineChars="200"/>
        <w:rPr>
          <w:rFonts w:cs="Times New Roman"/>
          <w:color w:val="000000"/>
          <w:kern w:val="0"/>
        </w:rPr>
      </w:pPr>
      <w:r>
        <w:rPr>
          <w:rFonts w:cs="Times New Roman"/>
          <w:color w:val="000000"/>
          <w:kern w:val="0"/>
        </w:rPr>
        <w:t>3</w:t>
      </w:r>
      <w:r>
        <w:rPr>
          <w:rFonts w:hint="eastAsia" w:cs="Times New Roman"/>
          <w:color w:val="000000"/>
          <w:kern w:val="0"/>
        </w:rPr>
        <w:t>、公司控制权发生变更</w:t>
      </w:r>
    </w:p>
    <w:p>
      <w:pPr>
        <w:ind w:firstLine="480" w:firstLineChars="200"/>
        <w:rPr>
          <w:rFonts w:cs="Times New Roman"/>
          <w:color w:val="000000"/>
          <w:kern w:val="0"/>
        </w:rPr>
      </w:pPr>
      <w:r>
        <w:rPr>
          <w:rFonts w:hint="eastAsia" w:cs="Times New Roman"/>
          <w:color w:val="000000"/>
          <w:kern w:val="0"/>
        </w:rPr>
        <w:t>当公司控制权发生变更时，由公司董事会在公司控制权发生变更之日起</w:t>
      </w:r>
      <w:r>
        <w:rPr>
          <w:rFonts w:cs="Times New Roman"/>
          <w:color w:val="000000"/>
          <w:kern w:val="0"/>
        </w:rPr>
        <w:t>5</w:t>
      </w:r>
      <w:r>
        <w:rPr>
          <w:rFonts w:hint="eastAsia" w:cs="Times New Roman"/>
          <w:color w:val="000000"/>
          <w:kern w:val="0"/>
        </w:rPr>
        <w:t>个交易日内决定是否终止实施本激励计划。</w:t>
      </w:r>
    </w:p>
    <w:p>
      <w:pPr>
        <w:ind w:firstLine="480" w:firstLineChars="200"/>
        <w:rPr>
          <w:rFonts w:hAnsi="宋体"/>
          <w:color w:val="000000"/>
        </w:rPr>
      </w:pPr>
      <w:r>
        <w:rPr>
          <w:rFonts w:cs="Times New Roman"/>
          <w:color w:val="000000"/>
          <w:kern w:val="0"/>
        </w:rPr>
        <w:t>4</w:t>
      </w:r>
      <w:r>
        <w:rPr>
          <w:rFonts w:hint="eastAsia" w:cs="Times New Roman"/>
          <w:color w:val="000000"/>
          <w:kern w:val="0"/>
        </w:rPr>
        <w:t>、</w:t>
      </w:r>
      <w:r>
        <w:rPr>
          <w:rFonts w:hint="eastAsia" w:hAnsi="宋体"/>
          <w:color w:val="000000"/>
        </w:rPr>
        <w:t>公司因信息披露文件有虚假记载、误导性陈述或者重大遗漏，导致不符合股票期权授予条件或行权安排的，未行权的股票期权由公司注销处理。</w:t>
      </w:r>
    </w:p>
    <w:p>
      <w:pPr>
        <w:ind w:firstLine="480" w:firstLineChars="200"/>
        <w:rPr>
          <w:rFonts w:hAnsi="宋体"/>
          <w:color w:val="000000"/>
        </w:rPr>
      </w:pPr>
      <w:r>
        <w:rPr>
          <w:rFonts w:hint="eastAsia" w:hAnsi="宋体"/>
          <w:color w:val="000000"/>
        </w:rPr>
        <w:t>激励对象获授股票期权已行权的，所有激励对象应当返还已获授权益。对上述事宜不负有责任的激励对象因返还权益而遭受损失的，可按照本计划相关安排，向公司或负有责任的对象进行追偿。董事会应当按照前款规定和本计划相关安排收回激励对象所得收益。</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（四）激励对象个人情况发生变化的处理</w:t>
      </w:r>
    </w:p>
    <w:p>
      <w:pPr>
        <w:ind w:firstLine="480" w:firstLineChars="200"/>
        <w:rPr>
          <w:rFonts w:cs="Times New Roman"/>
          <w:color w:val="000000"/>
          <w:kern w:val="0"/>
        </w:rPr>
      </w:pPr>
      <w:r>
        <w:rPr>
          <w:rFonts w:cs="Times New Roman"/>
          <w:color w:val="000000"/>
          <w:kern w:val="0"/>
        </w:rPr>
        <w:t>1</w:t>
      </w:r>
      <w:r>
        <w:rPr>
          <w:rFonts w:hint="eastAsia" w:cs="Times New Roman"/>
          <w:color w:val="000000"/>
          <w:kern w:val="0"/>
        </w:rPr>
        <w:t>、激励对象发生职务变更</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1</w:t>
      </w:r>
      <w:r>
        <w:rPr>
          <w:rFonts w:hint="eastAsia" w:cs="Times New Roman"/>
          <w:color w:val="000000"/>
          <w:kern w:val="0"/>
        </w:rPr>
        <w:t>）激励对象发生职务变更，但仍在本公司或本公司子公司任职的，其已获授的股票期权仍然按照本激励计划规定的程序进行。</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2</w:t>
      </w:r>
      <w:r>
        <w:rPr>
          <w:rFonts w:hint="eastAsia" w:cs="Times New Roman"/>
          <w:color w:val="000000"/>
          <w:kern w:val="0"/>
        </w:rPr>
        <w:t>）激励对象担任监事或独立董事或其他因组织调动不能持有公司股票期权的职务，其已行权股票不作处理，已获授但尚未行权的股票期权不得行权，由公司进行注销。</w:t>
      </w:r>
    </w:p>
    <w:p>
      <w:pPr>
        <w:ind w:firstLine="480" w:firstLineChars="200"/>
        <w:rPr>
          <w:rFonts w:cs="Times New Roman"/>
        </w:rPr>
      </w:pPr>
      <w:r>
        <w:rPr>
          <w:rFonts w:hint="eastAsia" w:cs="Times New Roman"/>
          <w:color w:val="000000"/>
          <w:kern w:val="0"/>
        </w:rPr>
        <w:t>（</w:t>
      </w:r>
      <w:r>
        <w:rPr>
          <w:rFonts w:cs="Times New Roman"/>
          <w:color w:val="000000"/>
          <w:kern w:val="0"/>
        </w:rPr>
        <w:t>3</w:t>
      </w:r>
      <w:r>
        <w:rPr>
          <w:rFonts w:hint="eastAsia" w:cs="Times New Roman"/>
          <w:color w:val="000000"/>
          <w:kern w:val="0"/>
        </w:rPr>
        <w:t>）</w:t>
      </w:r>
      <w:r>
        <w:rPr>
          <w:rFonts w:hint="eastAsia" w:cs="Times New Roman"/>
        </w:rPr>
        <w:t>激励对象因为触犯法律、违反职业道德、泄露公司机密、因失职或渎职等行为损害公司利益或声誉而导致职务变更的，或因前述原因导致公司解除与激励对象劳动或聘用关系的，其已行权股票不作处理，其已获授但尚未行权的股票期权不得行权，由公司进行注销。</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、激励对象离职</w:t>
      </w:r>
    </w:p>
    <w:p>
      <w:pPr>
        <w:ind w:firstLine="480" w:firstLineChars="200"/>
      </w:pPr>
      <w:r>
        <w:rPr>
          <w:rFonts w:hint="eastAsia" w:cs="Times New Roman"/>
          <w:color w:val="000000"/>
          <w:kern w:val="0"/>
        </w:rPr>
        <w:t>（</w:t>
      </w:r>
      <w:r>
        <w:rPr>
          <w:rFonts w:cs="Times New Roman"/>
          <w:color w:val="000000"/>
          <w:kern w:val="0"/>
        </w:rPr>
        <w:t>1</w:t>
      </w:r>
      <w:r>
        <w:rPr>
          <w:rFonts w:hint="eastAsia" w:cs="Times New Roman"/>
          <w:color w:val="000000"/>
          <w:kern w:val="0"/>
        </w:rPr>
        <w:t>）激励对象合同到期且不再续约或主动辞职的</w:t>
      </w:r>
      <w:r>
        <w:rPr>
          <w:rFonts w:hint="eastAsia"/>
        </w:rPr>
        <w:t>，其已行权股票不作处理，已获授但尚未行权的股票期权不得行权，由公司进行注销。</w:t>
      </w:r>
    </w:p>
    <w:p>
      <w:pPr>
        <w:ind w:firstLine="480" w:firstLineChars="200"/>
        <w:rPr>
          <w:color w:val="000000"/>
        </w:rPr>
      </w:pPr>
      <w:r>
        <w:rPr>
          <w:rFonts w:hint="eastAsia" w:cs="Times New Roman"/>
          <w:color w:val="000000"/>
          <w:kern w:val="0"/>
        </w:rPr>
        <w:t>（</w:t>
      </w:r>
      <w:r>
        <w:rPr>
          <w:rFonts w:cs="Times New Roman"/>
          <w:color w:val="000000"/>
          <w:kern w:val="0"/>
        </w:rPr>
        <w:t>2</w:t>
      </w:r>
      <w:r>
        <w:rPr>
          <w:rFonts w:hint="eastAsia" w:cs="Times New Roman"/>
          <w:color w:val="000000"/>
          <w:kern w:val="0"/>
        </w:rPr>
        <w:t>）</w:t>
      </w:r>
      <w:r>
        <w:rPr>
          <w:rFonts w:hint="eastAsia"/>
          <w:color w:val="000000"/>
        </w:rPr>
        <w:t>激励对象若因公司裁员等原因被动离职且不存在绩效不合格、过失、违法违纪等行为的，其已行权股票不作处理，已获授但尚未行权的股票期权不得行权，由公司进行注销。</w:t>
      </w:r>
    </w:p>
    <w:p>
      <w:pPr>
        <w:ind w:firstLine="480" w:firstLineChars="200"/>
        <w:rPr>
          <w:rFonts w:cs="Times New Roman"/>
        </w:rPr>
      </w:pPr>
      <w:r>
        <w:rPr>
          <w:rFonts w:cs="Times New Roman"/>
        </w:rPr>
        <w:t>3</w:t>
      </w:r>
      <w:r>
        <w:rPr>
          <w:rFonts w:hint="eastAsia" w:cs="Times New Roman"/>
        </w:rPr>
        <w:t>、激励对象退休</w:t>
      </w:r>
    </w:p>
    <w:p>
      <w:pPr>
        <w:ind w:firstLine="480" w:firstLineChars="200"/>
        <w:rPr>
          <w:color w:val="000000"/>
        </w:rPr>
      </w:pPr>
      <w:r>
        <w:rPr>
          <w:rFonts w:hint="eastAsia"/>
          <w:color w:val="000000"/>
        </w:rPr>
        <w:t>激励对象</w:t>
      </w:r>
      <w:r>
        <w:t>退休返聘</w:t>
      </w:r>
      <w:r>
        <w:rPr>
          <w:rFonts w:hint="eastAsia"/>
          <w:color w:val="000000"/>
        </w:rPr>
        <w:t>的，其已获授的权益完全按照退休前本计划规定的程序进行。</w:t>
      </w:r>
      <w:r>
        <w:t>若公司提出继续聘用要求而激励对象拒绝的或激励对象退休而离职的，</w:t>
      </w:r>
      <w:r>
        <w:rPr>
          <w:rFonts w:hint="eastAsia"/>
          <w:color w:val="000000"/>
        </w:rPr>
        <w:t>其已行权股票不作处理，已获授但尚未行权的股票期权不得行权，由公司进行注销。</w:t>
      </w:r>
    </w:p>
    <w:p>
      <w:pPr>
        <w:ind w:firstLine="480" w:firstLineChars="200"/>
        <w:rPr>
          <w:rFonts w:cs="Times New Roman"/>
        </w:rPr>
      </w:pPr>
      <w:r>
        <w:rPr>
          <w:rFonts w:cs="Times New Roman"/>
        </w:rPr>
        <w:t>4</w:t>
      </w:r>
      <w:r>
        <w:rPr>
          <w:rFonts w:hint="eastAsia" w:cs="Times New Roman"/>
        </w:rPr>
        <w:t>、激励对象丧失劳动能力而离职</w:t>
      </w:r>
    </w:p>
    <w:p>
      <w:pPr>
        <w:ind w:firstLine="480" w:firstLineChars="200"/>
        <w:rPr>
          <w:rFonts w:cs="Times New Roman"/>
        </w:rPr>
      </w:pPr>
      <w:r>
        <w:rPr>
          <w:rFonts w:hint="eastAsia" w:cs="Times New Roman"/>
        </w:rPr>
        <w:t>（</w:t>
      </w:r>
      <w:r>
        <w:rPr>
          <w:rFonts w:cs="Times New Roman"/>
        </w:rPr>
        <w:t>1</w:t>
      </w:r>
      <w:r>
        <w:rPr>
          <w:rFonts w:hint="eastAsia" w:cs="Times New Roman"/>
        </w:rPr>
        <w:t>）激励对象因工受伤丧失劳动能力而离职的，由薪酬委员会决定其已获授的股票期权将完全按照情况发生前本激励计划规定的程序进行，其个人绩效考核结果不再纳入行权条件；或其已行权股票不作处理，已获授但尚未行权的股票期权不得行权，由公司进行注销。</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2</w:t>
      </w:r>
      <w:r>
        <w:rPr>
          <w:rFonts w:hint="eastAsia" w:cs="Times New Roman"/>
          <w:color w:val="000000"/>
          <w:kern w:val="0"/>
        </w:rPr>
        <w:t>）激励对象非因工受伤丧失劳动能力而离职的</w:t>
      </w:r>
      <w:r>
        <w:rPr>
          <w:rFonts w:hint="eastAsia"/>
          <w:color w:val="000000"/>
        </w:rPr>
        <w:t>，</w:t>
      </w:r>
      <w:r>
        <w:rPr>
          <w:rFonts w:hint="eastAsia" w:cs="Times New Roman"/>
          <w:color w:val="000000"/>
          <w:kern w:val="0"/>
        </w:rPr>
        <w:t>其已行权股票不作处理，已获授但尚未行权的股票期权不得行权，由公司进行注销。</w:t>
      </w:r>
    </w:p>
    <w:p>
      <w:pPr>
        <w:ind w:firstLine="480" w:firstLineChars="200"/>
        <w:rPr>
          <w:rFonts w:cs="Times New Roman"/>
          <w:color w:val="000000"/>
          <w:kern w:val="0"/>
        </w:rPr>
      </w:pPr>
      <w:r>
        <w:rPr>
          <w:rFonts w:cs="Times New Roman"/>
          <w:color w:val="000000"/>
          <w:kern w:val="0"/>
        </w:rPr>
        <w:t>5</w:t>
      </w:r>
      <w:r>
        <w:rPr>
          <w:rFonts w:hint="eastAsia" w:cs="Times New Roman"/>
          <w:color w:val="000000"/>
          <w:kern w:val="0"/>
        </w:rPr>
        <w:t>、激励对象身故</w:t>
      </w:r>
    </w:p>
    <w:p>
      <w:pPr>
        <w:ind w:firstLine="480" w:firstLineChars="200"/>
        <w:rPr>
          <w:color w:val="000000"/>
        </w:rPr>
      </w:pPr>
      <w:r>
        <w:rPr>
          <w:rFonts w:hint="eastAsia" w:cs="Times New Roman"/>
          <w:color w:val="000000"/>
          <w:kern w:val="0"/>
        </w:rPr>
        <w:t>（</w:t>
      </w:r>
      <w:r>
        <w:rPr>
          <w:rFonts w:cs="Times New Roman"/>
          <w:color w:val="000000"/>
          <w:kern w:val="0"/>
        </w:rPr>
        <w:t>1</w:t>
      </w:r>
      <w:r>
        <w:rPr>
          <w:rFonts w:hint="eastAsia" w:cs="Times New Roman"/>
          <w:color w:val="000000"/>
          <w:kern w:val="0"/>
        </w:rPr>
        <w:t>）</w:t>
      </w:r>
      <w:r>
        <w:rPr>
          <w:rFonts w:hint="eastAsia"/>
          <w:color w:val="000000"/>
        </w:rPr>
        <w:t>激励对象因执行职务而身故的，由薪酬委员会决定其已获授的股票期权由其指定的财产继承人或法定继承人代为享有，并将完全按照情况发生前本激励计划规定的程序进行，其个人绩效考核结果不再纳入行权条件；或其已行权股票不作处理，已获授但尚未行权的股票期权不得行权，由公司进行注销。</w:t>
      </w:r>
    </w:p>
    <w:p>
      <w:pPr>
        <w:ind w:firstLine="480" w:firstLineChars="200"/>
      </w:pPr>
      <w:r>
        <w:rPr>
          <w:rFonts w:hint="eastAsia" w:cs="Times New Roman"/>
          <w:color w:val="000000"/>
          <w:kern w:val="0"/>
        </w:rPr>
        <w:t>（</w:t>
      </w:r>
      <w:r>
        <w:rPr>
          <w:rFonts w:cs="Times New Roman"/>
          <w:color w:val="000000"/>
          <w:kern w:val="0"/>
        </w:rPr>
        <w:t>2</w:t>
      </w:r>
      <w:r>
        <w:rPr>
          <w:rFonts w:hint="eastAsia" w:cs="Times New Roman"/>
          <w:color w:val="000000"/>
          <w:kern w:val="0"/>
        </w:rPr>
        <w:t>）激励对象非因执行职务而身故的，其已行权股票不作处理，已获授但尚未行权的股票期权不得行权，由公司进行注销</w:t>
      </w:r>
      <w:r>
        <w:rPr>
          <w:rFonts w:hint="eastAsia"/>
        </w:rPr>
        <w:t>。</w:t>
      </w:r>
    </w:p>
    <w:p>
      <w:pPr>
        <w:ind w:firstLine="480" w:firstLineChars="200"/>
        <w:rPr>
          <w:rFonts w:cs="Times New Roman"/>
        </w:rPr>
      </w:pPr>
      <w:r>
        <w:rPr>
          <w:rFonts w:cs="Times New Roman"/>
        </w:rPr>
        <w:t>6</w:t>
      </w:r>
      <w:r>
        <w:rPr>
          <w:rFonts w:hint="eastAsia" w:cs="Times New Roman"/>
        </w:rPr>
        <w:t>、激励对象所在控股子公司发生控制权变更</w:t>
      </w:r>
    </w:p>
    <w:p>
      <w:pPr>
        <w:ind w:firstLine="480" w:firstLineChars="200"/>
        <w:rPr>
          <w:color w:val="000000"/>
        </w:rPr>
      </w:pPr>
      <w:r>
        <w:rPr>
          <w:color w:val="000000"/>
        </w:rPr>
        <w:t>激励对象在公司控股子公司任职的，若公司失去对该子公司控制权，且激励对象</w:t>
      </w:r>
      <w:r>
        <w:rPr>
          <w:rFonts w:hint="eastAsia"/>
          <w:color w:val="000000"/>
        </w:rPr>
        <w:t>仍留在该公司</w:t>
      </w:r>
      <w:r>
        <w:rPr>
          <w:color w:val="000000"/>
        </w:rPr>
        <w:t>任职的，</w:t>
      </w:r>
      <w:r>
        <w:rPr>
          <w:rFonts w:hint="eastAsia"/>
          <w:color w:val="000000"/>
        </w:rPr>
        <w:t>其已行权股票不作处理，已获授但尚未行权的股票期权不得行权，由公司进行注销。</w:t>
      </w:r>
    </w:p>
    <w:p>
      <w:pPr>
        <w:ind w:firstLine="480" w:firstLineChars="200"/>
        <w:rPr>
          <w:rFonts w:cs="Times New Roman"/>
          <w:color w:val="000000"/>
          <w:kern w:val="0"/>
        </w:rPr>
      </w:pPr>
      <w:r>
        <w:rPr>
          <w:rFonts w:cs="Times New Roman"/>
          <w:color w:val="000000"/>
          <w:kern w:val="0"/>
        </w:rPr>
        <w:t>7</w:t>
      </w:r>
      <w:r>
        <w:rPr>
          <w:rFonts w:hint="eastAsia" w:cs="Times New Roman"/>
          <w:color w:val="000000"/>
          <w:kern w:val="0"/>
        </w:rPr>
        <w:t>、激励对象资格发生变化</w:t>
      </w:r>
    </w:p>
    <w:p>
      <w:pPr>
        <w:ind w:firstLine="480" w:firstLineChars="200"/>
        <w:rPr>
          <w:color w:val="000000"/>
        </w:rPr>
      </w:pPr>
      <w:r>
        <w:rPr>
          <w:color w:val="000000"/>
        </w:rPr>
        <w:t>激励对象如因出现以下情形之一导致不再符合激励对象资格的，激励对象已行权股票不作处理，已获授但尚未行权的股票期权不得行权，由公司注销。</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1</w:t>
      </w:r>
      <w:r>
        <w:rPr>
          <w:rFonts w:hint="eastAsia" w:cs="Times New Roman"/>
          <w:color w:val="000000"/>
          <w:kern w:val="0"/>
        </w:rPr>
        <w:t>）最近</w:t>
      </w:r>
      <w:r>
        <w:rPr>
          <w:rFonts w:cs="Times New Roman"/>
          <w:color w:val="000000"/>
          <w:kern w:val="0"/>
        </w:rPr>
        <w:t>12</w:t>
      </w:r>
      <w:r>
        <w:rPr>
          <w:rFonts w:hint="eastAsia" w:cs="Times New Roman"/>
          <w:color w:val="000000"/>
          <w:kern w:val="0"/>
        </w:rPr>
        <w:t>个月内被证券交易所认定为不适当人选；</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2</w:t>
      </w:r>
      <w:r>
        <w:rPr>
          <w:rFonts w:hint="eastAsia" w:cs="Times New Roman"/>
          <w:color w:val="000000"/>
          <w:kern w:val="0"/>
        </w:rPr>
        <w:t>）最近</w:t>
      </w:r>
      <w:r>
        <w:rPr>
          <w:rFonts w:cs="Times New Roman"/>
          <w:color w:val="000000"/>
          <w:kern w:val="0"/>
        </w:rPr>
        <w:t>12</w:t>
      </w:r>
      <w:r>
        <w:rPr>
          <w:rFonts w:hint="eastAsia" w:cs="Times New Roman"/>
          <w:color w:val="000000"/>
          <w:kern w:val="0"/>
        </w:rPr>
        <w:t>个月内被中国证监会及其派出机构认定为不适当人选；</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3</w:t>
      </w:r>
      <w:r>
        <w:rPr>
          <w:rFonts w:hint="eastAsia" w:cs="Times New Roman"/>
          <w:color w:val="000000"/>
          <w:kern w:val="0"/>
        </w:rPr>
        <w:t>）最近</w:t>
      </w:r>
      <w:r>
        <w:rPr>
          <w:rFonts w:cs="Times New Roman"/>
          <w:color w:val="000000"/>
          <w:kern w:val="0"/>
        </w:rPr>
        <w:t>12</w:t>
      </w:r>
      <w:r>
        <w:rPr>
          <w:rFonts w:hint="eastAsia" w:cs="Times New Roman"/>
          <w:color w:val="000000"/>
          <w:kern w:val="0"/>
        </w:rPr>
        <w:t>个月因重大违法违规行为被中国证监会及其派出机构行政处罚或者采取市场禁入措施；</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4</w:t>
      </w:r>
      <w:r>
        <w:rPr>
          <w:rFonts w:hint="eastAsia" w:cs="Times New Roman"/>
          <w:color w:val="000000"/>
          <w:kern w:val="0"/>
        </w:rPr>
        <w:t>）具有《公司法》规定的不得担任公司董事、高级管理人员情形的；</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5</w:t>
      </w:r>
      <w:r>
        <w:rPr>
          <w:rFonts w:hint="eastAsia" w:cs="Times New Roman"/>
          <w:color w:val="000000"/>
          <w:kern w:val="0"/>
        </w:rPr>
        <w:t>）法律法规规定不得参与上市公司股权激励的；</w:t>
      </w:r>
    </w:p>
    <w:p>
      <w:pPr>
        <w:ind w:firstLine="480" w:firstLineChars="200"/>
        <w:rPr>
          <w:rFonts w:cs="Times New Roman"/>
          <w:color w:val="000000"/>
          <w:kern w:val="0"/>
        </w:rPr>
      </w:pPr>
      <w:r>
        <w:rPr>
          <w:rFonts w:hint="eastAsia" w:cs="Times New Roman"/>
          <w:color w:val="000000"/>
          <w:kern w:val="0"/>
        </w:rPr>
        <w:t>（</w:t>
      </w:r>
      <w:r>
        <w:rPr>
          <w:rFonts w:cs="Times New Roman"/>
          <w:color w:val="000000"/>
          <w:kern w:val="0"/>
        </w:rPr>
        <w:t>6</w:t>
      </w:r>
      <w:r>
        <w:rPr>
          <w:rFonts w:hint="eastAsia" w:cs="Times New Roman"/>
          <w:color w:val="000000"/>
          <w:kern w:val="0"/>
        </w:rPr>
        <w:t>）中国证监会认定的其他情形。</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（五）其他情况</w:t>
      </w:r>
    </w:p>
    <w:p>
      <w:pPr>
        <w:ind w:firstLine="480" w:firstLineChars="200"/>
        <w:rPr>
          <w:rFonts w:cs="Times New Roman"/>
          <w:color w:val="000000"/>
          <w:kern w:val="0"/>
        </w:rPr>
      </w:pPr>
      <w:r>
        <w:rPr>
          <w:rFonts w:hint="eastAsia" w:cs="Times New Roman"/>
          <w:color w:val="000000"/>
          <w:kern w:val="0"/>
        </w:rPr>
        <w:t>其它未说明的情况由薪酬委员会认定，并确定其处理方式。</w:t>
      </w:r>
    </w:p>
    <w:p>
      <w:pPr>
        <w:ind w:firstLine="480" w:firstLineChars="200"/>
        <w:rPr>
          <w:rFonts w:cs="Times New Roman"/>
          <w:color w:val="000000"/>
          <w:kern w:val="0"/>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十四、会计处理方法与业绩影响测算</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（一）会计处理方法</w:t>
      </w:r>
    </w:p>
    <w:p>
      <w:pPr>
        <w:ind w:firstLine="480" w:firstLineChars="200"/>
        <w:rPr>
          <w:rFonts w:cs="Times New Roman"/>
          <w:color w:val="000000"/>
          <w:kern w:val="0"/>
        </w:rPr>
      </w:pPr>
      <w:r>
        <w:rPr>
          <w:rFonts w:cs="Times New Roman"/>
          <w:color w:val="000000"/>
          <w:kern w:val="0"/>
        </w:rPr>
        <w:t>1</w:t>
      </w:r>
      <w:r>
        <w:rPr>
          <w:rFonts w:hint="eastAsia" w:cs="Times New Roman"/>
          <w:color w:val="000000"/>
          <w:kern w:val="0"/>
        </w:rPr>
        <w:t>、授权日</w:t>
      </w:r>
    </w:p>
    <w:p>
      <w:pPr>
        <w:ind w:firstLine="480" w:firstLineChars="200"/>
      </w:pPr>
      <w:r>
        <w:rPr>
          <w:rFonts w:hint="eastAsia"/>
        </w:rPr>
        <w:t>由于授权日股票期权尚不能行权，因此不需要进行相关会计处理。公司将在授权日采用布莱克—斯科尔期权定价模型（</w:t>
      </w:r>
      <w:r>
        <w:rPr>
          <w:rFonts w:cs="Times New Roman"/>
        </w:rPr>
        <w:t>Black-Scholes Model</w:t>
      </w:r>
      <w:r>
        <w:rPr>
          <w:rFonts w:hint="eastAsia"/>
        </w:rPr>
        <w:t>）确定股票期权在授权日的公允价值。</w:t>
      </w:r>
    </w:p>
    <w:p>
      <w:pPr>
        <w:ind w:firstLine="480" w:firstLineChars="200"/>
        <w:rPr>
          <w:rFonts w:cs="Times New Roman"/>
          <w:color w:val="000000"/>
          <w:kern w:val="0"/>
        </w:rPr>
      </w:pPr>
      <w:r>
        <w:rPr>
          <w:rFonts w:cs="Times New Roman"/>
          <w:color w:val="000000"/>
          <w:kern w:val="0"/>
        </w:rPr>
        <w:t>2</w:t>
      </w:r>
      <w:r>
        <w:rPr>
          <w:rFonts w:hint="eastAsia" w:cs="Times New Roman"/>
          <w:color w:val="000000"/>
          <w:kern w:val="0"/>
        </w:rPr>
        <w:t>、等待期</w:t>
      </w:r>
    </w:p>
    <w:p>
      <w:pPr>
        <w:ind w:firstLine="480" w:firstLineChars="200"/>
      </w:pPr>
      <w:r>
        <w:rPr>
          <w:rFonts w:hint="eastAsia"/>
        </w:rPr>
        <w:t>公司在等待期的每个资产负债表日，以对可行权股票期权数量的最佳估算为基础，按照股票期权在授</w:t>
      </w:r>
      <w:r>
        <w:t>权</w:t>
      </w:r>
      <w:r>
        <w:rPr>
          <w:rFonts w:hint="eastAsia"/>
        </w:rPr>
        <w:t>日的公允价值，将当期取得的服务计入相关资产成本或当期费用，同时计入“资本公积-其他资本公积”。</w:t>
      </w:r>
    </w:p>
    <w:p>
      <w:pPr>
        <w:ind w:firstLine="480" w:firstLineChars="200"/>
      </w:pPr>
      <w:r>
        <w:rPr>
          <w:rFonts w:cs="Times New Roman"/>
          <w:color w:val="000000"/>
          <w:kern w:val="0"/>
        </w:rPr>
        <w:t>3</w:t>
      </w:r>
      <w:r>
        <w:rPr>
          <w:rFonts w:hint="eastAsia" w:cs="Times New Roman"/>
          <w:color w:val="000000"/>
          <w:kern w:val="0"/>
        </w:rPr>
        <w:t>、</w:t>
      </w:r>
      <w:r>
        <w:t>可行权日</w:t>
      </w:r>
      <w:r>
        <w:rPr>
          <w:rFonts w:hint="eastAsia"/>
        </w:rPr>
        <w:t>之后会计处理</w:t>
      </w:r>
    </w:p>
    <w:p>
      <w:pPr>
        <w:ind w:firstLine="480" w:firstLineChars="200"/>
      </w:pPr>
      <w:r>
        <w:rPr>
          <w:rFonts w:hint="eastAsia"/>
        </w:rPr>
        <w:t>不再对已确认的成本费用和所有者权益总额进行调整。</w:t>
      </w:r>
    </w:p>
    <w:p>
      <w:pPr>
        <w:ind w:firstLine="480" w:firstLineChars="200"/>
        <w:rPr>
          <w:rFonts w:cs="Times New Roman"/>
          <w:color w:val="000000"/>
          <w:kern w:val="0"/>
        </w:rPr>
      </w:pPr>
      <w:r>
        <w:rPr>
          <w:rFonts w:cs="Times New Roman"/>
          <w:color w:val="000000"/>
          <w:kern w:val="0"/>
        </w:rPr>
        <w:t>4</w:t>
      </w:r>
      <w:r>
        <w:rPr>
          <w:rFonts w:hint="eastAsia" w:cs="Times New Roman"/>
          <w:color w:val="000000"/>
          <w:kern w:val="0"/>
        </w:rPr>
        <w:t>、行权日</w:t>
      </w:r>
    </w:p>
    <w:p>
      <w:pPr>
        <w:ind w:firstLine="480" w:firstLineChars="200"/>
      </w:pPr>
      <w:r>
        <w:rPr>
          <w:rFonts w:hint="eastAsia"/>
        </w:rPr>
        <w:t>在行权日，如果达到行权条件，可以行权，结转行权日前每个资产负债表日确认的“资本公积-其他资本公积”；如果全部或部分股票期权未被行权而失效或作废，按照会计准则及相关规定处理。</w:t>
      </w:r>
    </w:p>
    <w:p>
      <w:pPr>
        <w:ind w:firstLine="480" w:firstLineChars="200"/>
      </w:pPr>
      <w:r>
        <w:rPr>
          <w:rFonts w:hint="eastAsia"/>
        </w:rPr>
        <w:t>5、股票期权的公允价值及确定方法</w:t>
      </w:r>
    </w:p>
    <w:p>
      <w:pPr>
        <w:ind w:firstLine="480" w:firstLineChars="200"/>
      </w:pPr>
      <w:r>
        <w:t>根据《企业会计准则第11号—股份支付》和《企业会计准则第22号—金融工具确认和计量》的相关规定，公司以Black-Scholes模型（B-S模型）作为定价模型，公司运用该模型以2021年</w:t>
      </w:r>
      <w:r>
        <w:rPr>
          <w:rFonts w:hint="eastAsia" w:hAnsi="宋体"/>
          <w:color w:val="000000"/>
        </w:rPr>
        <w:t>7</w:t>
      </w:r>
      <w:r>
        <w:t>月</w:t>
      </w:r>
      <w:r>
        <w:rPr>
          <w:rFonts w:hint="eastAsia"/>
        </w:rPr>
        <w:t>9</w:t>
      </w:r>
      <w:r>
        <w:t>日为计算的基准日，对授予的股票期权的公允价值进行了预测算（授予时进行正式测算），具体参数选取如下：</w:t>
      </w:r>
    </w:p>
    <w:p>
      <w:pPr>
        <w:ind w:firstLine="480" w:firstLineChars="200"/>
      </w:pPr>
      <w:r>
        <w:rPr>
          <w:rFonts w:hint="eastAsia"/>
        </w:rPr>
        <w:t>（1）标的股价：1</w:t>
      </w:r>
      <w:r>
        <w:t>6.90元（</w:t>
      </w:r>
      <w:r>
        <w:rPr>
          <w:rFonts w:hint="eastAsia"/>
        </w:rPr>
        <w:t>20</w:t>
      </w:r>
      <w:r>
        <w:t>21</w:t>
      </w:r>
      <w:r>
        <w:rPr>
          <w:rFonts w:hint="eastAsia"/>
        </w:rPr>
        <w:t>年7月9日</w:t>
      </w:r>
      <w:r>
        <w:t>收盘价）</w:t>
      </w:r>
    </w:p>
    <w:p>
      <w:pPr>
        <w:ind w:firstLine="480" w:firstLineChars="200"/>
      </w:pPr>
      <w:r>
        <w:rPr>
          <w:rFonts w:hint="eastAsia"/>
        </w:rPr>
        <w:t>（2）有效期分别为：1年、2年、</w:t>
      </w:r>
      <w:r>
        <w:t>3年</w:t>
      </w:r>
      <w:r>
        <w:rPr>
          <w:rFonts w:hint="eastAsia"/>
        </w:rPr>
        <w:t>（授权日至每期首个行权日的期限）</w:t>
      </w:r>
    </w:p>
    <w:p>
      <w:pPr>
        <w:ind w:firstLine="480" w:firstLineChars="200"/>
      </w:pPr>
      <w:r>
        <w:rPr>
          <w:rFonts w:hint="eastAsia"/>
        </w:rPr>
        <w:t>（3）历史波动率：1</w:t>
      </w:r>
      <w:r>
        <w:t>6.19</w:t>
      </w:r>
      <w:r>
        <w:rPr>
          <w:rFonts w:hint="eastAsia"/>
        </w:rPr>
        <w:t>%、1</w:t>
      </w:r>
      <w:r>
        <w:t>7.26</w:t>
      </w:r>
      <w:r>
        <w:rPr>
          <w:rFonts w:hint="eastAsia"/>
        </w:rPr>
        <w:t>%、1</w:t>
      </w:r>
      <w:r>
        <w:t>8.84</w:t>
      </w:r>
      <w:r>
        <w:rPr>
          <w:rFonts w:hint="eastAsia"/>
        </w:rPr>
        <w:t>%（上证指数对应期间的年化波动率）</w:t>
      </w:r>
    </w:p>
    <w:p>
      <w:pPr>
        <w:ind w:firstLine="480" w:firstLineChars="200"/>
      </w:pPr>
      <w:r>
        <w:rPr>
          <w:rFonts w:hint="eastAsia"/>
        </w:rPr>
        <w:t>（4）无风险利率：1.50%、2.10%、2</w:t>
      </w:r>
      <w:r>
        <w:t>.75%</w:t>
      </w:r>
      <w:r>
        <w:rPr>
          <w:rFonts w:hint="eastAsia"/>
        </w:rPr>
        <w:t>（分别采用中国人民银行制定的金融机构1年期、2年期、3年期的人民币存款基准利率）</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（二）预计股票期权实施对各期经营业绩的影响</w:t>
      </w:r>
    </w:p>
    <w:p>
      <w:pPr>
        <w:ind w:firstLine="480" w:firstLineChars="200"/>
      </w:pPr>
      <w:r>
        <w:t>公司向激励对象授予股票期权</w:t>
      </w:r>
      <w:r>
        <w:rPr>
          <w:rFonts w:hint="eastAsia" w:cs="Times New Roman"/>
        </w:rPr>
        <w:t>7</w:t>
      </w:r>
      <w:r>
        <w:rPr>
          <w:rFonts w:cs="Times New Roman"/>
        </w:rPr>
        <w:t>00.00</w:t>
      </w:r>
      <w:r>
        <w:rPr>
          <w:rFonts w:hint="eastAsia"/>
        </w:rPr>
        <w:t>万份</w:t>
      </w:r>
      <w:r>
        <w:t>，</w:t>
      </w:r>
      <w:bookmarkStart w:id="1" w:name="_Hlk61372815"/>
      <w:r>
        <w:t>按照</w:t>
      </w:r>
      <w:r>
        <w:rPr>
          <w:rFonts w:hint="eastAsia"/>
        </w:rPr>
        <w:t>草案</w:t>
      </w:r>
      <w:r>
        <w:t>公布前一交易日的收盘</w:t>
      </w:r>
      <w:r>
        <w:rPr>
          <w:rFonts w:hint="eastAsia"/>
        </w:rPr>
        <w:t>数据</w:t>
      </w:r>
      <w:r>
        <w:t>预测算授权日股票期权的公允价值，</w:t>
      </w:r>
      <w:r>
        <w:rPr>
          <w:rFonts w:hint="eastAsia"/>
        </w:rPr>
        <w:t>预计本次</w:t>
      </w:r>
      <w:r>
        <w:t>授予的权益工具公允价值总额为2,983.96万元，该等</w:t>
      </w:r>
      <w:r>
        <w:rPr>
          <w:rFonts w:hint="eastAsia"/>
        </w:rPr>
        <w:t>费用</w:t>
      </w:r>
      <w:r>
        <w:t>值总额作为公司本次股权激励计划的激励成本将在本激励计划的实施过程中按照行权比例进行分期确认</w:t>
      </w:r>
      <w:r>
        <w:rPr>
          <w:rFonts w:hint="eastAsia"/>
        </w:rPr>
        <w:t>，且在经营性损益列支</w:t>
      </w:r>
      <w:r>
        <w:t>。根据会计准则的规定，具体金额应以</w:t>
      </w:r>
      <w:r>
        <w:rPr>
          <w:rFonts w:hint="eastAsia"/>
        </w:rPr>
        <w:t>“</w:t>
      </w:r>
      <w:r>
        <w:t>实际授权日</w:t>
      </w:r>
      <w:r>
        <w:rPr>
          <w:rFonts w:hint="eastAsia"/>
        </w:rPr>
        <w:t>”</w:t>
      </w:r>
      <w:r>
        <w:t>计算的股份公允价值为准，假设公司2021年</w:t>
      </w:r>
      <w:r>
        <w:rPr>
          <w:rFonts w:hint="eastAsia"/>
        </w:rPr>
        <w:t>7</w:t>
      </w:r>
      <w:r>
        <w:t>月授予股票期权，且授予的全部激励对象均符合本计划规定的行权条件且在各行权期内全部行权，则</w:t>
      </w:r>
      <w:r>
        <w:rPr>
          <w:rFonts w:cs="Times New Roman"/>
        </w:rPr>
        <w:t>2021</w:t>
      </w:r>
      <w:r>
        <w:t>年</w:t>
      </w:r>
      <w:r>
        <w:rPr>
          <w:rFonts w:cs="Times New Roman"/>
        </w:rPr>
        <w:t>-2024</w:t>
      </w:r>
      <w:r>
        <w:t>年股票期权成本摊销情况如下：</w:t>
      </w:r>
    </w:p>
    <w:bookmarkEnd w:id="1"/>
    <w:p>
      <w:pPr>
        <w:ind w:firstLine="480" w:firstLineChars="200"/>
        <w:jc w:val="right"/>
        <w:rPr>
          <w:rFonts w:asciiTheme="minorEastAsia" w:hAnsiTheme="minorEastAsia" w:eastAsiaTheme="minorEastAsia"/>
        </w:rPr>
      </w:pPr>
      <w:r>
        <w:rPr>
          <w:rFonts w:hint="eastAsia" w:asciiTheme="minorEastAsia" w:hAnsiTheme="minorEastAsia" w:eastAsiaTheme="minorEastAsia"/>
        </w:rPr>
        <w:t xml:space="preserve">币种：人民币 </w:t>
      </w:r>
      <w:r>
        <w:rPr>
          <w:rFonts w:asciiTheme="minorEastAsia" w:hAnsiTheme="minorEastAsia" w:eastAsiaTheme="minorEastAsia"/>
        </w:rPr>
        <w:t xml:space="preserve"> </w:t>
      </w:r>
      <w:r>
        <w:rPr>
          <w:rFonts w:hint="eastAsia" w:asciiTheme="minorEastAsia" w:hAnsiTheme="minorEastAsia" w:eastAsiaTheme="minorEastAsia"/>
        </w:rPr>
        <w:t>单位：万元</w:t>
      </w:r>
    </w:p>
    <w:tbl>
      <w:tblPr>
        <w:tblStyle w:val="10"/>
        <w:tblW w:w="8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7"/>
        <w:gridCol w:w="1535"/>
        <w:gridCol w:w="1557"/>
        <w:gridCol w:w="1635"/>
        <w:gridCol w:w="1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2057" w:type="dxa"/>
            <w:shd w:val="clear" w:color="auto" w:fill="F1F1F1" w:themeFill="background1" w:themeFillShade="F2"/>
            <w:vAlign w:val="center"/>
          </w:tcPr>
          <w:p>
            <w:pPr>
              <w:spacing w:line="320" w:lineRule="exact"/>
              <w:jc w:val="center"/>
              <w:rPr>
                <w:rFonts w:cs="Times New Roman"/>
                <w:b/>
                <w:sz w:val="21"/>
                <w:szCs w:val="21"/>
              </w:rPr>
            </w:pPr>
            <w:r>
              <w:rPr>
                <w:rFonts w:cs="Times New Roman"/>
                <w:b/>
                <w:sz w:val="21"/>
                <w:szCs w:val="21"/>
              </w:rPr>
              <w:t>股票期权摊销成本</w:t>
            </w:r>
          </w:p>
        </w:tc>
        <w:tc>
          <w:tcPr>
            <w:tcW w:w="1535" w:type="dxa"/>
            <w:shd w:val="clear" w:color="auto" w:fill="F1F1F1" w:themeFill="background1" w:themeFillShade="F2"/>
            <w:vAlign w:val="center"/>
          </w:tcPr>
          <w:p>
            <w:pPr>
              <w:spacing w:line="320" w:lineRule="exact"/>
              <w:jc w:val="center"/>
              <w:rPr>
                <w:rFonts w:cs="Times New Roman"/>
                <w:b/>
                <w:sz w:val="21"/>
                <w:szCs w:val="21"/>
              </w:rPr>
            </w:pPr>
            <w:r>
              <w:rPr>
                <w:rFonts w:cs="Times New Roman"/>
                <w:b/>
                <w:sz w:val="21"/>
                <w:szCs w:val="21"/>
              </w:rPr>
              <w:t>2021年</w:t>
            </w:r>
          </w:p>
        </w:tc>
        <w:tc>
          <w:tcPr>
            <w:tcW w:w="1557" w:type="dxa"/>
            <w:shd w:val="clear" w:color="auto" w:fill="F1F1F1" w:themeFill="background1" w:themeFillShade="F2"/>
            <w:vAlign w:val="center"/>
          </w:tcPr>
          <w:p>
            <w:pPr>
              <w:spacing w:line="320" w:lineRule="exact"/>
              <w:jc w:val="center"/>
              <w:rPr>
                <w:rFonts w:cs="Times New Roman"/>
                <w:b/>
                <w:sz w:val="21"/>
                <w:szCs w:val="21"/>
              </w:rPr>
            </w:pPr>
            <w:r>
              <w:rPr>
                <w:rFonts w:cs="Times New Roman"/>
                <w:b/>
                <w:sz w:val="21"/>
                <w:szCs w:val="21"/>
              </w:rPr>
              <w:t>2022年</w:t>
            </w:r>
          </w:p>
        </w:tc>
        <w:tc>
          <w:tcPr>
            <w:tcW w:w="1635" w:type="dxa"/>
            <w:shd w:val="clear" w:color="auto" w:fill="F1F1F1" w:themeFill="background1" w:themeFillShade="F2"/>
            <w:vAlign w:val="center"/>
          </w:tcPr>
          <w:p>
            <w:pPr>
              <w:spacing w:line="320" w:lineRule="exact"/>
              <w:jc w:val="center"/>
              <w:rPr>
                <w:rFonts w:cs="Times New Roman"/>
                <w:b/>
                <w:sz w:val="21"/>
                <w:szCs w:val="21"/>
              </w:rPr>
            </w:pPr>
            <w:r>
              <w:rPr>
                <w:rFonts w:cs="Times New Roman"/>
                <w:b/>
                <w:sz w:val="21"/>
                <w:szCs w:val="21"/>
              </w:rPr>
              <w:t>2023年</w:t>
            </w:r>
          </w:p>
        </w:tc>
        <w:tc>
          <w:tcPr>
            <w:tcW w:w="1518" w:type="dxa"/>
            <w:shd w:val="clear" w:color="auto" w:fill="F1F1F1" w:themeFill="background1" w:themeFillShade="F2"/>
            <w:vAlign w:val="center"/>
          </w:tcPr>
          <w:p>
            <w:pPr>
              <w:spacing w:line="320" w:lineRule="exact"/>
              <w:jc w:val="center"/>
              <w:rPr>
                <w:rFonts w:cs="Times New Roman"/>
                <w:b/>
                <w:sz w:val="21"/>
                <w:szCs w:val="21"/>
              </w:rPr>
            </w:pPr>
            <w:r>
              <w:rPr>
                <w:rFonts w:hint="eastAsia" w:cs="Times New Roman"/>
                <w:b/>
                <w:sz w:val="21"/>
                <w:szCs w:val="21"/>
              </w:rPr>
              <w:t>2</w:t>
            </w:r>
            <w:r>
              <w:rPr>
                <w:rFonts w:cs="Times New Roman"/>
                <w:b/>
                <w:sz w:val="21"/>
                <w:szCs w:val="21"/>
              </w:rPr>
              <w:t>024年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57" w:type="dxa"/>
            <w:vAlign w:val="center"/>
          </w:tcPr>
          <w:p>
            <w:pPr>
              <w:spacing w:line="360" w:lineRule="auto"/>
              <w:jc w:val="center"/>
              <w:rPr>
                <w:rFonts w:cs="Times New Roman"/>
                <w:b/>
                <w:sz w:val="21"/>
                <w:szCs w:val="21"/>
              </w:rPr>
            </w:pPr>
            <w:r>
              <w:rPr>
                <w:rFonts w:cs="Times New Roman"/>
                <w:b/>
                <w:sz w:val="21"/>
                <w:szCs w:val="21"/>
              </w:rPr>
              <w:t>2,983.96</w:t>
            </w:r>
          </w:p>
        </w:tc>
        <w:tc>
          <w:tcPr>
            <w:tcW w:w="1535" w:type="dxa"/>
            <w:vAlign w:val="center"/>
          </w:tcPr>
          <w:p>
            <w:pPr>
              <w:spacing w:line="360" w:lineRule="auto"/>
              <w:jc w:val="center"/>
              <w:rPr>
                <w:rFonts w:cs="Times New Roman"/>
                <w:b/>
                <w:sz w:val="21"/>
                <w:szCs w:val="21"/>
              </w:rPr>
            </w:pPr>
            <w:r>
              <w:rPr>
                <w:rFonts w:cs="Times New Roman"/>
                <w:b/>
                <w:sz w:val="21"/>
                <w:szCs w:val="21"/>
              </w:rPr>
              <w:t xml:space="preserve">685.01 </w:t>
            </w:r>
          </w:p>
        </w:tc>
        <w:tc>
          <w:tcPr>
            <w:tcW w:w="1557" w:type="dxa"/>
            <w:vAlign w:val="center"/>
          </w:tcPr>
          <w:p>
            <w:pPr>
              <w:spacing w:line="360" w:lineRule="auto"/>
              <w:jc w:val="center"/>
              <w:rPr>
                <w:rFonts w:cs="Times New Roman"/>
                <w:b/>
                <w:sz w:val="21"/>
                <w:szCs w:val="21"/>
              </w:rPr>
            </w:pPr>
            <w:r>
              <w:rPr>
                <w:rFonts w:cs="Times New Roman"/>
                <w:b/>
                <w:sz w:val="21"/>
                <w:szCs w:val="21"/>
              </w:rPr>
              <w:t xml:space="preserve">1,328.78 </w:t>
            </w:r>
          </w:p>
        </w:tc>
        <w:tc>
          <w:tcPr>
            <w:tcW w:w="1635" w:type="dxa"/>
            <w:vAlign w:val="center"/>
          </w:tcPr>
          <w:p>
            <w:pPr>
              <w:spacing w:line="360" w:lineRule="auto"/>
              <w:jc w:val="center"/>
              <w:rPr>
                <w:rFonts w:cs="Times New Roman"/>
                <w:b/>
                <w:sz w:val="21"/>
                <w:szCs w:val="21"/>
              </w:rPr>
            </w:pPr>
            <w:r>
              <w:rPr>
                <w:rFonts w:cs="Times New Roman"/>
                <w:b/>
                <w:sz w:val="21"/>
                <w:szCs w:val="21"/>
              </w:rPr>
              <w:t xml:space="preserve">706.21 </w:t>
            </w:r>
          </w:p>
        </w:tc>
        <w:tc>
          <w:tcPr>
            <w:tcW w:w="1518" w:type="dxa"/>
            <w:vAlign w:val="center"/>
          </w:tcPr>
          <w:p>
            <w:pPr>
              <w:spacing w:line="360" w:lineRule="auto"/>
              <w:jc w:val="center"/>
              <w:rPr>
                <w:rFonts w:cs="Times New Roman"/>
                <w:b/>
                <w:sz w:val="21"/>
                <w:szCs w:val="21"/>
              </w:rPr>
            </w:pPr>
            <w:r>
              <w:rPr>
                <w:rFonts w:cs="Times New Roman"/>
                <w:b/>
                <w:sz w:val="21"/>
                <w:szCs w:val="21"/>
              </w:rPr>
              <w:t xml:space="preserve">263.97 </w:t>
            </w:r>
          </w:p>
        </w:tc>
      </w:tr>
    </w:tbl>
    <w:p>
      <w:pPr>
        <w:spacing w:line="276" w:lineRule="auto"/>
        <w:rPr>
          <w:sz w:val="21"/>
          <w:szCs w:val="21"/>
        </w:rPr>
      </w:pPr>
      <w:r>
        <w:rPr>
          <w:sz w:val="21"/>
          <w:szCs w:val="21"/>
        </w:rPr>
        <w:t>注：1、</w:t>
      </w:r>
      <w:r>
        <w:rPr>
          <w:rFonts w:hint="eastAsia"/>
          <w:sz w:val="21"/>
          <w:szCs w:val="21"/>
        </w:rPr>
        <w:t>上述费用为预测成本，实际成本与行权价格、授权日、授予日收盘价、授予数量及对可行权权益工具数量的最佳估计相关</w:t>
      </w:r>
      <w:r>
        <w:rPr>
          <w:sz w:val="21"/>
          <w:szCs w:val="21"/>
        </w:rPr>
        <w:t>；</w:t>
      </w:r>
    </w:p>
    <w:p>
      <w:pPr>
        <w:spacing w:line="276" w:lineRule="auto"/>
        <w:ind w:firstLine="420" w:firstLineChars="200"/>
        <w:rPr>
          <w:sz w:val="21"/>
          <w:szCs w:val="21"/>
        </w:rPr>
      </w:pPr>
      <w:r>
        <w:rPr>
          <w:sz w:val="21"/>
          <w:szCs w:val="21"/>
        </w:rPr>
        <w:t>2、提请股东注意上述股份支付费用可能产生的摊薄影响；</w:t>
      </w:r>
    </w:p>
    <w:p>
      <w:pPr>
        <w:spacing w:line="276" w:lineRule="auto"/>
        <w:ind w:firstLine="420" w:firstLineChars="200"/>
        <w:rPr>
          <w:sz w:val="21"/>
          <w:szCs w:val="21"/>
        </w:rPr>
      </w:pPr>
      <w:r>
        <w:rPr>
          <w:sz w:val="21"/>
          <w:szCs w:val="21"/>
        </w:rPr>
        <w:t>3、上述摊销费用预测对公司经营业绩的最终影响以会计师所出的审计报告为准；</w:t>
      </w:r>
    </w:p>
    <w:p>
      <w:pPr>
        <w:spacing w:line="276" w:lineRule="auto"/>
        <w:ind w:firstLine="420" w:firstLineChars="200"/>
        <w:rPr>
          <w:sz w:val="21"/>
          <w:szCs w:val="21"/>
        </w:rPr>
      </w:pPr>
      <w:r>
        <w:rPr>
          <w:sz w:val="21"/>
          <w:szCs w:val="21"/>
        </w:rPr>
        <w:t>4、上表中合计数与各明细数相加之和在尾数上如有差异，系四舍五入所致。</w:t>
      </w:r>
    </w:p>
    <w:p>
      <w:pPr>
        <w:pStyle w:val="16"/>
        <w:spacing w:before="0" w:after="0"/>
        <w:ind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本激励计划的成本将在成本费用中列支。公司以目前信息估计，在不考虑本激励计划对公司业绩的正向作用情况下，本激励计划成本费用的摊销对有效期内各年净利润有所影响。考虑到本激励计划对公司经营发展产生的正向作用，由此激发管理、业务团队的积极性，提高经营效率，降低经营成本，本激励计划带来的公司业绩提升将高于因其带来的费用增加。</w:t>
      </w:r>
    </w:p>
    <w:p>
      <w:pPr>
        <w:pStyle w:val="16"/>
        <w:spacing w:before="0" w:after="0"/>
        <w:ind w:firstLine="480" w:firstLineChars="200"/>
        <w:rPr>
          <w:rFonts w:ascii="Times New Roman" w:hAnsi="Times New Roman" w:cs="Times New Roman"/>
          <w:sz w:val="24"/>
          <w:szCs w:val="24"/>
          <w:lang w:eastAsia="zh-CN"/>
        </w:rPr>
      </w:pPr>
    </w:p>
    <w:p>
      <w:pPr>
        <w:pStyle w:val="16"/>
        <w:spacing w:before="0" w:after="0"/>
        <w:ind w:firstLine="486" w:firstLineChars="200"/>
        <w:jc w:val="left"/>
        <w:outlineLvl w:val="0"/>
        <w:rPr>
          <w:rFonts w:ascii="Times New Roman" w:hAnsi="Times New Roman" w:eastAsia="宋体" w:cs="Times New Roman"/>
          <w:b/>
          <w:color w:val="000000"/>
          <w:spacing w:val="1"/>
          <w:sz w:val="24"/>
          <w:lang w:eastAsia="zh-CN"/>
        </w:rPr>
      </w:pPr>
      <w:r>
        <w:rPr>
          <w:rFonts w:hint="eastAsia" w:ascii="Times New Roman" w:hAnsi="Times New Roman" w:eastAsia="宋体" w:cs="Times New Roman"/>
          <w:b/>
          <w:color w:val="000000"/>
          <w:spacing w:val="1"/>
          <w:sz w:val="24"/>
          <w:lang w:eastAsia="zh-CN"/>
        </w:rPr>
        <w:t>十五、上网公告附件</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（一）《格尔软件股份有限公司</w:t>
      </w:r>
      <w:r>
        <w:rPr>
          <w:rFonts w:ascii="Times New Roman" w:hAnsi="Times New Roman" w:eastAsia="宋体" w:cs="Times New Roman"/>
          <w:color w:val="000000"/>
          <w:spacing w:val="1"/>
          <w:sz w:val="24"/>
          <w:lang w:eastAsia="zh-CN"/>
        </w:rPr>
        <w:t>2021年</w:t>
      </w:r>
      <w:r>
        <w:rPr>
          <w:rFonts w:hint="eastAsia" w:ascii="Times New Roman" w:hAnsi="Times New Roman" w:eastAsia="宋体" w:cs="Times New Roman"/>
          <w:color w:val="000000"/>
          <w:spacing w:val="1"/>
          <w:sz w:val="24"/>
          <w:lang w:eastAsia="zh-CN"/>
        </w:rPr>
        <w:t>股票期权激励计划（草案）》；</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（二）</w:t>
      </w:r>
      <w:r>
        <w:rPr>
          <w:rFonts w:ascii="Times New Roman" w:hAnsi="Times New Roman" w:eastAsia="宋体" w:cs="Times New Roman"/>
          <w:color w:val="000000"/>
          <w:spacing w:val="1"/>
          <w:sz w:val="24"/>
          <w:lang w:eastAsia="zh-CN"/>
        </w:rPr>
        <w:t>《格尔软件股份有限公司2021年股票期权激励计划实施考核管理办法》；</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（三）《格尔软件股份有限公司</w:t>
      </w:r>
      <w:r>
        <w:rPr>
          <w:rFonts w:ascii="Times New Roman" w:hAnsi="Times New Roman" w:eastAsia="宋体" w:cs="Times New Roman"/>
          <w:color w:val="000000"/>
          <w:spacing w:val="1"/>
          <w:sz w:val="24"/>
          <w:lang w:eastAsia="zh-CN"/>
        </w:rPr>
        <w:t>2021年</w:t>
      </w:r>
      <w:r>
        <w:rPr>
          <w:rFonts w:hint="eastAsia" w:ascii="Times New Roman" w:hAnsi="Times New Roman" w:eastAsia="宋体" w:cs="Times New Roman"/>
          <w:color w:val="000000"/>
          <w:spacing w:val="1"/>
          <w:sz w:val="24"/>
          <w:lang w:eastAsia="zh-CN"/>
        </w:rPr>
        <w:t>股票期权激励计划激励对象名单》；</w:t>
      </w:r>
    </w:p>
    <w:p>
      <w:pPr>
        <w:pStyle w:val="16"/>
        <w:spacing w:before="0" w:after="0"/>
        <w:ind w:firstLine="484" w:firstLineChars="200"/>
        <w:outlineLvl w:val="1"/>
        <w:rPr>
          <w:rFonts w:ascii="Times New Roman" w:hAnsi="Times New Roman" w:eastAsia="宋体" w:cs="Times New Roman"/>
          <w:color w:val="000000"/>
          <w:spacing w:val="1"/>
          <w:sz w:val="24"/>
          <w:lang w:eastAsia="zh-CN"/>
        </w:rPr>
      </w:pPr>
      <w:r>
        <w:rPr>
          <w:rFonts w:hint="eastAsia" w:ascii="Times New Roman" w:hAnsi="Times New Roman" w:eastAsia="宋体" w:cs="Times New Roman"/>
          <w:color w:val="000000"/>
          <w:spacing w:val="1"/>
          <w:sz w:val="24"/>
          <w:lang w:eastAsia="zh-CN"/>
        </w:rPr>
        <w:t>（四）《格尔软件股份有限公司独立董事关于第</w:t>
      </w:r>
      <w:r>
        <w:rPr>
          <w:rFonts w:ascii="Times New Roman" w:hAnsi="Times New Roman" w:eastAsia="宋体" w:cs="Times New Roman"/>
          <w:color w:val="000000"/>
          <w:spacing w:val="1"/>
          <w:sz w:val="24"/>
          <w:lang w:eastAsia="zh-CN"/>
        </w:rPr>
        <w:t>七</w:t>
      </w:r>
      <w:r>
        <w:rPr>
          <w:rFonts w:hint="eastAsia" w:ascii="Times New Roman" w:hAnsi="Times New Roman" w:eastAsia="宋体" w:cs="Times New Roman"/>
          <w:color w:val="000000"/>
          <w:spacing w:val="1"/>
          <w:sz w:val="24"/>
          <w:lang w:eastAsia="zh-CN"/>
        </w:rPr>
        <w:t>届董事会第十七次会议相关事项的独立意见》。</w:t>
      </w:r>
    </w:p>
    <w:p>
      <w:pPr>
        <w:ind w:firstLine="480" w:firstLineChars="200"/>
        <w:rPr>
          <w:rFonts w:cs="Times New Roman"/>
          <w:color w:val="000000"/>
          <w:kern w:val="0"/>
        </w:rPr>
      </w:pPr>
    </w:p>
    <w:p>
      <w:pPr>
        <w:ind w:firstLine="480" w:firstLineChars="200"/>
        <w:rPr>
          <w:rFonts w:cs="Times New Roman"/>
          <w:color w:val="000000"/>
          <w:kern w:val="0"/>
        </w:rPr>
      </w:pPr>
      <w:r>
        <w:rPr>
          <w:rFonts w:hint="eastAsia" w:cs="Times New Roman"/>
          <w:color w:val="000000"/>
          <w:kern w:val="0"/>
        </w:rPr>
        <w:t>特此公告。</w:t>
      </w:r>
    </w:p>
    <w:p>
      <w:pPr>
        <w:pStyle w:val="24"/>
        <w:spacing w:before="0" w:after="0"/>
        <w:ind w:firstLine="480" w:firstLineChars="200"/>
        <w:jc w:val="left"/>
        <w:rPr>
          <w:rFonts w:ascii="Times New Roman" w:hAnsi="Times New Roman" w:cs="Times New Roman"/>
          <w:color w:val="000000"/>
          <w:sz w:val="24"/>
          <w:lang w:eastAsia="zh-CN"/>
        </w:rPr>
      </w:pPr>
    </w:p>
    <w:p>
      <w:pPr>
        <w:pStyle w:val="24"/>
        <w:spacing w:before="0" w:after="0"/>
        <w:ind w:firstLine="480" w:firstLineChars="200"/>
        <w:jc w:val="left"/>
        <w:rPr>
          <w:rFonts w:ascii="Times New Roman" w:hAnsi="Times New Roman" w:cs="Times New Roman"/>
          <w:color w:val="000000"/>
          <w:sz w:val="24"/>
          <w:lang w:eastAsia="zh-CN"/>
        </w:rPr>
      </w:pPr>
    </w:p>
    <w:p>
      <w:pPr>
        <w:pStyle w:val="24"/>
        <w:spacing w:before="0" w:after="0"/>
        <w:ind w:firstLine="480" w:firstLineChars="200"/>
        <w:jc w:val="right"/>
        <w:rPr>
          <w:rFonts w:ascii="Times New Roman" w:hAnsi="Times New Roman" w:eastAsia="宋体" w:cs="Times New Roman"/>
          <w:bCs/>
          <w:color w:val="000000"/>
          <w:sz w:val="24"/>
          <w:lang w:eastAsia="zh-CN"/>
        </w:rPr>
      </w:pPr>
      <w:r>
        <w:rPr>
          <w:rFonts w:hint="eastAsia" w:ascii="Times New Roman" w:hAnsi="Times New Roman" w:cs="Times New Roman"/>
          <w:bCs/>
          <w:sz w:val="24"/>
          <w:szCs w:val="24"/>
          <w:lang w:eastAsia="zh-CN"/>
        </w:rPr>
        <w:t>格尔软件股份有限公司</w:t>
      </w:r>
      <w:r>
        <w:rPr>
          <w:rFonts w:hint="eastAsia" w:ascii="Times New Roman" w:hAnsi="Times New Roman" w:eastAsia="宋体" w:cs="Times New Roman"/>
          <w:bCs/>
          <w:color w:val="000000"/>
          <w:sz w:val="24"/>
          <w:lang w:eastAsia="zh-CN"/>
        </w:rPr>
        <w:t>董事会</w:t>
      </w:r>
    </w:p>
    <w:p>
      <w:pPr>
        <w:adjustRightInd w:val="0"/>
        <w:ind w:firstLine="480" w:firstLineChars="200"/>
        <w:jc w:val="right"/>
        <w:rPr>
          <w:rFonts w:cs="Times New Roman"/>
          <w:bCs/>
          <w:color w:val="000000"/>
        </w:rPr>
      </w:pPr>
      <w:r>
        <w:rPr>
          <w:rFonts w:cs="Times New Roman"/>
          <w:bCs/>
          <w:kern w:val="0"/>
          <w:lang w:val="zh-CN"/>
        </w:rPr>
        <w:t>2021</w:t>
      </w:r>
      <w:r>
        <w:rPr>
          <w:rFonts w:hint="eastAsia" w:cs="Times New Roman"/>
          <w:bCs/>
          <w:kern w:val="0"/>
          <w:lang w:val="zh-CN"/>
        </w:rPr>
        <w:t>年</w:t>
      </w:r>
      <w:r>
        <w:rPr>
          <w:rFonts w:cs="Times New Roman"/>
          <w:bCs/>
          <w:kern w:val="0"/>
          <w:lang w:val="zh-CN"/>
        </w:rPr>
        <w:t>7</w:t>
      </w:r>
      <w:r>
        <w:rPr>
          <w:rFonts w:hint="eastAsia" w:cs="Times New Roman"/>
          <w:bCs/>
          <w:kern w:val="0"/>
          <w:lang w:val="zh-CN"/>
        </w:rPr>
        <w:t>月</w:t>
      </w:r>
      <w:r>
        <w:rPr>
          <w:rFonts w:cs="Times New Roman"/>
          <w:bCs/>
          <w:kern w:val="0"/>
          <w:lang w:val="zh-CN"/>
        </w:rPr>
        <w:t>10</w:t>
      </w:r>
      <w:r>
        <w:rPr>
          <w:rFonts w:hint="eastAsia" w:cs="Times New Roman"/>
          <w:bCs/>
          <w:kern w:val="0"/>
          <w:lang w:val="zh-CN"/>
        </w:rPr>
        <w:t>日</w:t>
      </w:r>
    </w:p>
    <w:sectPr>
      <w:footerReference r:id="rId5" w:type="default"/>
      <w:pgSz w:w="11906" w:h="16838"/>
      <w:pgMar w:top="1440" w:right="1797" w:bottom="1440" w:left="1797" w:header="851" w:footer="899"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7089"/>
      <w:docPartObj>
        <w:docPartGallery w:val="autotext"/>
      </w:docPartObj>
    </w:sdtPr>
    <w:sdtContent>
      <w:p>
        <w:pPr>
          <w:pStyle w:val="4"/>
          <w:jc w:val="center"/>
        </w:pPr>
        <w:r>
          <w:fldChar w:fldCharType="begin"/>
        </w:r>
        <w:r>
          <w:instrText xml:space="preserve">PAGE   \* MERGEFORMAT</w:instrText>
        </w:r>
        <w:r>
          <w:fldChar w:fldCharType="separate"/>
        </w:r>
        <w:r>
          <w:rPr>
            <w:lang w:val="zh-CN"/>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B6360"/>
    <w:multiLevelType w:val="multilevel"/>
    <w:tmpl w:val="6A6B6360"/>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BB0"/>
    <w:rsid w:val="00000212"/>
    <w:rsid w:val="0000050D"/>
    <w:rsid w:val="00001436"/>
    <w:rsid w:val="000017E9"/>
    <w:rsid w:val="00001891"/>
    <w:rsid w:val="000065CC"/>
    <w:rsid w:val="00007A32"/>
    <w:rsid w:val="00010062"/>
    <w:rsid w:val="00012142"/>
    <w:rsid w:val="00013E04"/>
    <w:rsid w:val="0001499D"/>
    <w:rsid w:val="00015E59"/>
    <w:rsid w:val="00020097"/>
    <w:rsid w:val="0002021D"/>
    <w:rsid w:val="00024E0F"/>
    <w:rsid w:val="00025577"/>
    <w:rsid w:val="00031521"/>
    <w:rsid w:val="0003205B"/>
    <w:rsid w:val="00032CC3"/>
    <w:rsid w:val="000354C7"/>
    <w:rsid w:val="000357D1"/>
    <w:rsid w:val="00043982"/>
    <w:rsid w:val="00044F66"/>
    <w:rsid w:val="00046EF9"/>
    <w:rsid w:val="0004797E"/>
    <w:rsid w:val="00047A9B"/>
    <w:rsid w:val="00050BF7"/>
    <w:rsid w:val="0005601C"/>
    <w:rsid w:val="00056E0F"/>
    <w:rsid w:val="000613D5"/>
    <w:rsid w:val="00063295"/>
    <w:rsid w:val="000654E7"/>
    <w:rsid w:val="00065513"/>
    <w:rsid w:val="00066ABC"/>
    <w:rsid w:val="00070753"/>
    <w:rsid w:val="00070EE6"/>
    <w:rsid w:val="000732A5"/>
    <w:rsid w:val="0007552A"/>
    <w:rsid w:val="0007565D"/>
    <w:rsid w:val="000824B5"/>
    <w:rsid w:val="000830AC"/>
    <w:rsid w:val="000832ED"/>
    <w:rsid w:val="00083ED4"/>
    <w:rsid w:val="00086388"/>
    <w:rsid w:val="00087713"/>
    <w:rsid w:val="0008785E"/>
    <w:rsid w:val="000915EF"/>
    <w:rsid w:val="000A0E81"/>
    <w:rsid w:val="000A3E34"/>
    <w:rsid w:val="000A553B"/>
    <w:rsid w:val="000A6E6F"/>
    <w:rsid w:val="000A7226"/>
    <w:rsid w:val="000A731A"/>
    <w:rsid w:val="000B0760"/>
    <w:rsid w:val="000B11F5"/>
    <w:rsid w:val="000B16F5"/>
    <w:rsid w:val="000B1B6A"/>
    <w:rsid w:val="000B640B"/>
    <w:rsid w:val="000B7443"/>
    <w:rsid w:val="000C38FF"/>
    <w:rsid w:val="000C4309"/>
    <w:rsid w:val="000C6ACE"/>
    <w:rsid w:val="000C7C8A"/>
    <w:rsid w:val="000D1C77"/>
    <w:rsid w:val="000D2011"/>
    <w:rsid w:val="000D3766"/>
    <w:rsid w:val="000E2173"/>
    <w:rsid w:val="000E44F5"/>
    <w:rsid w:val="000E4BBA"/>
    <w:rsid w:val="000E6655"/>
    <w:rsid w:val="000E6A2D"/>
    <w:rsid w:val="000E6FCF"/>
    <w:rsid w:val="000F38CA"/>
    <w:rsid w:val="000F6993"/>
    <w:rsid w:val="001007B1"/>
    <w:rsid w:val="00102A1B"/>
    <w:rsid w:val="0010452D"/>
    <w:rsid w:val="001046A3"/>
    <w:rsid w:val="00105DF7"/>
    <w:rsid w:val="00107291"/>
    <w:rsid w:val="00110A9E"/>
    <w:rsid w:val="00116702"/>
    <w:rsid w:val="00122DFE"/>
    <w:rsid w:val="001273E0"/>
    <w:rsid w:val="001274EF"/>
    <w:rsid w:val="00131776"/>
    <w:rsid w:val="0013514C"/>
    <w:rsid w:val="0013785E"/>
    <w:rsid w:val="00140933"/>
    <w:rsid w:val="00140E54"/>
    <w:rsid w:val="00143A52"/>
    <w:rsid w:val="0014652E"/>
    <w:rsid w:val="0015172B"/>
    <w:rsid w:val="001517B6"/>
    <w:rsid w:val="0015424D"/>
    <w:rsid w:val="001543C8"/>
    <w:rsid w:val="001561CF"/>
    <w:rsid w:val="0015749C"/>
    <w:rsid w:val="00157749"/>
    <w:rsid w:val="001607F3"/>
    <w:rsid w:val="001643CC"/>
    <w:rsid w:val="00165D65"/>
    <w:rsid w:val="00166EFA"/>
    <w:rsid w:val="00170779"/>
    <w:rsid w:val="001714AB"/>
    <w:rsid w:val="001715A9"/>
    <w:rsid w:val="00174BE9"/>
    <w:rsid w:val="0017633C"/>
    <w:rsid w:val="00180679"/>
    <w:rsid w:val="00182521"/>
    <w:rsid w:val="001830D9"/>
    <w:rsid w:val="00183C8B"/>
    <w:rsid w:val="00183D20"/>
    <w:rsid w:val="00184098"/>
    <w:rsid w:val="00184161"/>
    <w:rsid w:val="001871B0"/>
    <w:rsid w:val="001908FD"/>
    <w:rsid w:val="001919BF"/>
    <w:rsid w:val="00191F82"/>
    <w:rsid w:val="001967CA"/>
    <w:rsid w:val="001974DC"/>
    <w:rsid w:val="001A075D"/>
    <w:rsid w:val="001A187F"/>
    <w:rsid w:val="001B3EC4"/>
    <w:rsid w:val="001C0818"/>
    <w:rsid w:val="001D0959"/>
    <w:rsid w:val="001D185D"/>
    <w:rsid w:val="001D65C5"/>
    <w:rsid w:val="001D6C75"/>
    <w:rsid w:val="001D7428"/>
    <w:rsid w:val="001E036A"/>
    <w:rsid w:val="001E2338"/>
    <w:rsid w:val="001F00BB"/>
    <w:rsid w:val="001F0CB6"/>
    <w:rsid w:val="001F19CA"/>
    <w:rsid w:val="001F31E2"/>
    <w:rsid w:val="001F5C73"/>
    <w:rsid w:val="0020292A"/>
    <w:rsid w:val="00202E84"/>
    <w:rsid w:val="00203F89"/>
    <w:rsid w:val="00206A09"/>
    <w:rsid w:val="00206EFE"/>
    <w:rsid w:val="00207F3B"/>
    <w:rsid w:val="00210716"/>
    <w:rsid w:val="0021183F"/>
    <w:rsid w:val="00211E6E"/>
    <w:rsid w:val="002145DB"/>
    <w:rsid w:val="00215BC7"/>
    <w:rsid w:val="00215D99"/>
    <w:rsid w:val="0022185C"/>
    <w:rsid w:val="0022401D"/>
    <w:rsid w:val="002256C7"/>
    <w:rsid w:val="002266B2"/>
    <w:rsid w:val="00226B7D"/>
    <w:rsid w:val="00231013"/>
    <w:rsid w:val="002311A5"/>
    <w:rsid w:val="00232BFB"/>
    <w:rsid w:val="00232DAB"/>
    <w:rsid w:val="0023357C"/>
    <w:rsid w:val="002340FD"/>
    <w:rsid w:val="00234B3B"/>
    <w:rsid w:val="00235537"/>
    <w:rsid w:val="00242A6B"/>
    <w:rsid w:val="0024412F"/>
    <w:rsid w:val="00245093"/>
    <w:rsid w:val="002476FE"/>
    <w:rsid w:val="00247800"/>
    <w:rsid w:val="002500F2"/>
    <w:rsid w:val="0025204C"/>
    <w:rsid w:val="002532D9"/>
    <w:rsid w:val="00261E9E"/>
    <w:rsid w:val="00262845"/>
    <w:rsid w:val="002661E6"/>
    <w:rsid w:val="00266F61"/>
    <w:rsid w:val="00270201"/>
    <w:rsid w:val="00270837"/>
    <w:rsid w:val="0027707A"/>
    <w:rsid w:val="002776B1"/>
    <w:rsid w:val="00281948"/>
    <w:rsid w:val="00281F3E"/>
    <w:rsid w:val="00283BAE"/>
    <w:rsid w:val="002851A0"/>
    <w:rsid w:val="0028548E"/>
    <w:rsid w:val="00285B2B"/>
    <w:rsid w:val="00286DCF"/>
    <w:rsid w:val="00290204"/>
    <w:rsid w:val="00290786"/>
    <w:rsid w:val="00294C86"/>
    <w:rsid w:val="002A03CF"/>
    <w:rsid w:val="002A6229"/>
    <w:rsid w:val="002B34BA"/>
    <w:rsid w:val="002B3630"/>
    <w:rsid w:val="002B5AC2"/>
    <w:rsid w:val="002B6E21"/>
    <w:rsid w:val="002C1949"/>
    <w:rsid w:val="002C2C3C"/>
    <w:rsid w:val="002C2C95"/>
    <w:rsid w:val="002C3373"/>
    <w:rsid w:val="002C4037"/>
    <w:rsid w:val="002C4873"/>
    <w:rsid w:val="002C4CBC"/>
    <w:rsid w:val="002D270E"/>
    <w:rsid w:val="002D48FC"/>
    <w:rsid w:val="002D4937"/>
    <w:rsid w:val="002D4F69"/>
    <w:rsid w:val="002D5C71"/>
    <w:rsid w:val="002E228A"/>
    <w:rsid w:val="002E4461"/>
    <w:rsid w:val="002E4D88"/>
    <w:rsid w:val="002E519C"/>
    <w:rsid w:val="002F06A0"/>
    <w:rsid w:val="002F17AC"/>
    <w:rsid w:val="002F5ED4"/>
    <w:rsid w:val="002F6068"/>
    <w:rsid w:val="002F63C4"/>
    <w:rsid w:val="003006AE"/>
    <w:rsid w:val="003006F8"/>
    <w:rsid w:val="00301594"/>
    <w:rsid w:val="00301846"/>
    <w:rsid w:val="00302167"/>
    <w:rsid w:val="0030519E"/>
    <w:rsid w:val="00305831"/>
    <w:rsid w:val="00310EAD"/>
    <w:rsid w:val="00311C50"/>
    <w:rsid w:val="00312BB0"/>
    <w:rsid w:val="00320FE3"/>
    <w:rsid w:val="00323818"/>
    <w:rsid w:val="003263A5"/>
    <w:rsid w:val="00327FE9"/>
    <w:rsid w:val="00334B04"/>
    <w:rsid w:val="00345183"/>
    <w:rsid w:val="00347EC3"/>
    <w:rsid w:val="003605EF"/>
    <w:rsid w:val="003618A6"/>
    <w:rsid w:val="00361AEF"/>
    <w:rsid w:val="003629F1"/>
    <w:rsid w:val="00364341"/>
    <w:rsid w:val="00364445"/>
    <w:rsid w:val="00364CF8"/>
    <w:rsid w:val="00364EA3"/>
    <w:rsid w:val="00365724"/>
    <w:rsid w:val="003711A6"/>
    <w:rsid w:val="00373DDE"/>
    <w:rsid w:val="003752B9"/>
    <w:rsid w:val="0037581E"/>
    <w:rsid w:val="0037587B"/>
    <w:rsid w:val="003774C8"/>
    <w:rsid w:val="00377C4B"/>
    <w:rsid w:val="00380D9B"/>
    <w:rsid w:val="003865C5"/>
    <w:rsid w:val="00390FA5"/>
    <w:rsid w:val="0039276C"/>
    <w:rsid w:val="00392C2A"/>
    <w:rsid w:val="0039441C"/>
    <w:rsid w:val="0039475D"/>
    <w:rsid w:val="003A0F5F"/>
    <w:rsid w:val="003A1648"/>
    <w:rsid w:val="003A494B"/>
    <w:rsid w:val="003A799C"/>
    <w:rsid w:val="003B3C12"/>
    <w:rsid w:val="003B3FE0"/>
    <w:rsid w:val="003B7115"/>
    <w:rsid w:val="003C123D"/>
    <w:rsid w:val="003C1F0E"/>
    <w:rsid w:val="003C2903"/>
    <w:rsid w:val="003C444B"/>
    <w:rsid w:val="003C4D40"/>
    <w:rsid w:val="003C5879"/>
    <w:rsid w:val="003C6A8F"/>
    <w:rsid w:val="003D4A67"/>
    <w:rsid w:val="003D5B8A"/>
    <w:rsid w:val="003E0AE0"/>
    <w:rsid w:val="003E167E"/>
    <w:rsid w:val="003E53FF"/>
    <w:rsid w:val="003F0305"/>
    <w:rsid w:val="003F1D61"/>
    <w:rsid w:val="003F560B"/>
    <w:rsid w:val="003F62B8"/>
    <w:rsid w:val="003F635E"/>
    <w:rsid w:val="003F6D07"/>
    <w:rsid w:val="00402EDE"/>
    <w:rsid w:val="00402F89"/>
    <w:rsid w:val="00403329"/>
    <w:rsid w:val="00410223"/>
    <w:rsid w:val="00410A5A"/>
    <w:rsid w:val="00410FF4"/>
    <w:rsid w:val="00411E54"/>
    <w:rsid w:val="00412AB0"/>
    <w:rsid w:val="00413D21"/>
    <w:rsid w:val="004142AC"/>
    <w:rsid w:val="00417E88"/>
    <w:rsid w:val="0042015B"/>
    <w:rsid w:val="00422121"/>
    <w:rsid w:val="004245E4"/>
    <w:rsid w:val="00426700"/>
    <w:rsid w:val="0043024A"/>
    <w:rsid w:val="00430B5B"/>
    <w:rsid w:val="00430E92"/>
    <w:rsid w:val="00433157"/>
    <w:rsid w:val="00433480"/>
    <w:rsid w:val="004335B1"/>
    <w:rsid w:val="004345E3"/>
    <w:rsid w:val="00435D90"/>
    <w:rsid w:val="004374C4"/>
    <w:rsid w:val="00441881"/>
    <w:rsid w:val="00441FC3"/>
    <w:rsid w:val="0044241F"/>
    <w:rsid w:val="00442877"/>
    <w:rsid w:val="00442DC4"/>
    <w:rsid w:val="004442EB"/>
    <w:rsid w:val="00444742"/>
    <w:rsid w:val="00451BD8"/>
    <w:rsid w:val="00453484"/>
    <w:rsid w:val="00454E1D"/>
    <w:rsid w:val="0045620A"/>
    <w:rsid w:val="00456211"/>
    <w:rsid w:val="004577CC"/>
    <w:rsid w:val="00460874"/>
    <w:rsid w:val="00462D4D"/>
    <w:rsid w:val="0046537E"/>
    <w:rsid w:val="00474076"/>
    <w:rsid w:val="00474085"/>
    <w:rsid w:val="004748AA"/>
    <w:rsid w:val="004764A4"/>
    <w:rsid w:val="00476BE8"/>
    <w:rsid w:val="00480770"/>
    <w:rsid w:val="004823C6"/>
    <w:rsid w:val="004835D7"/>
    <w:rsid w:val="00483751"/>
    <w:rsid w:val="00486381"/>
    <w:rsid w:val="00487A33"/>
    <w:rsid w:val="00490693"/>
    <w:rsid w:val="00491677"/>
    <w:rsid w:val="0049175D"/>
    <w:rsid w:val="00492539"/>
    <w:rsid w:val="00492612"/>
    <w:rsid w:val="00492CB0"/>
    <w:rsid w:val="004935A5"/>
    <w:rsid w:val="00493AE6"/>
    <w:rsid w:val="00496222"/>
    <w:rsid w:val="004A0B7F"/>
    <w:rsid w:val="004A2473"/>
    <w:rsid w:val="004A2F2A"/>
    <w:rsid w:val="004A5BFE"/>
    <w:rsid w:val="004A60B7"/>
    <w:rsid w:val="004A77DD"/>
    <w:rsid w:val="004B1453"/>
    <w:rsid w:val="004B2D33"/>
    <w:rsid w:val="004B3D6C"/>
    <w:rsid w:val="004B4979"/>
    <w:rsid w:val="004B76DA"/>
    <w:rsid w:val="004C01D2"/>
    <w:rsid w:val="004C3354"/>
    <w:rsid w:val="004C42D6"/>
    <w:rsid w:val="004C43BB"/>
    <w:rsid w:val="004C498F"/>
    <w:rsid w:val="004C49BF"/>
    <w:rsid w:val="004C74EA"/>
    <w:rsid w:val="004D03FC"/>
    <w:rsid w:val="004D083B"/>
    <w:rsid w:val="004D24CF"/>
    <w:rsid w:val="004D32BE"/>
    <w:rsid w:val="004D3868"/>
    <w:rsid w:val="004D3D4A"/>
    <w:rsid w:val="004D59FD"/>
    <w:rsid w:val="004D68E6"/>
    <w:rsid w:val="004E0031"/>
    <w:rsid w:val="004E0F91"/>
    <w:rsid w:val="004E1A52"/>
    <w:rsid w:val="004E3A34"/>
    <w:rsid w:val="004E49C0"/>
    <w:rsid w:val="004E77AB"/>
    <w:rsid w:val="004F133E"/>
    <w:rsid w:val="004F16CF"/>
    <w:rsid w:val="004F22EA"/>
    <w:rsid w:val="004F2435"/>
    <w:rsid w:val="004F2D1C"/>
    <w:rsid w:val="004F53D6"/>
    <w:rsid w:val="004F55B0"/>
    <w:rsid w:val="004F6052"/>
    <w:rsid w:val="004F65CF"/>
    <w:rsid w:val="004F7B8B"/>
    <w:rsid w:val="00501F27"/>
    <w:rsid w:val="005025C3"/>
    <w:rsid w:val="00504132"/>
    <w:rsid w:val="00505608"/>
    <w:rsid w:val="005068CD"/>
    <w:rsid w:val="00510B2B"/>
    <w:rsid w:val="00511694"/>
    <w:rsid w:val="005116DB"/>
    <w:rsid w:val="00512F0B"/>
    <w:rsid w:val="00514C74"/>
    <w:rsid w:val="00516FEE"/>
    <w:rsid w:val="005216C3"/>
    <w:rsid w:val="00521D7C"/>
    <w:rsid w:val="00523423"/>
    <w:rsid w:val="0052361D"/>
    <w:rsid w:val="0052379A"/>
    <w:rsid w:val="005246E8"/>
    <w:rsid w:val="00524EA3"/>
    <w:rsid w:val="00527493"/>
    <w:rsid w:val="00532C77"/>
    <w:rsid w:val="0053342E"/>
    <w:rsid w:val="00533AF8"/>
    <w:rsid w:val="00536DF1"/>
    <w:rsid w:val="00541058"/>
    <w:rsid w:val="005462DB"/>
    <w:rsid w:val="00547518"/>
    <w:rsid w:val="005514FA"/>
    <w:rsid w:val="00554E08"/>
    <w:rsid w:val="005560F4"/>
    <w:rsid w:val="00556E77"/>
    <w:rsid w:val="005574A4"/>
    <w:rsid w:val="0056004B"/>
    <w:rsid w:val="0056073A"/>
    <w:rsid w:val="00562120"/>
    <w:rsid w:val="00566AC4"/>
    <w:rsid w:val="0057064A"/>
    <w:rsid w:val="00572146"/>
    <w:rsid w:val="00575B93"/>
    <w:rsid w:val="00575D5F"/>
    <w:rsid w:val="005772FC"/>
    <w:rsid w:val="005914E8"/>
    <w:rsid w:val="0059187A"/>
    <w:rsid w:val="00593A4A"/>
    <w:rsid w:val="00594A63"/>
    <w:rsid w:val="00597C72"/>
    <w:rsid w:val="005A7E91"/>
    <w:rsid w:val="005B0B14"/>
    <w:rsid w:val="005B2750"/>
    <w:rsid w:val="005B34AB"/>
    <w:rsid w:val="005B5321"/>
    <w:rsid w:val="005C36C0"/>
    <w:rsid w:val="005C5388"/>
    <w:rsid w:val="005C7143"/>
    <w:rsid w:val="005D09A0"/>
    <w:rsid w:val="005D0C76"/>
    <w:rsid w:val="005D1790"/>
    <w:rsid w:val="005D1C17"/>
    <w:rsid w:val="005D318A"/>
    <w:rsid w:val="005D3517"/>
    <w:rsid w:val="005D3592"/>
    <w:rsid w:val="005D3F21"/>
    <w:rsid w:val="005D4B13"/>
    <w:rsid w:val="005D6DC7"/>
    <w:rsid w:val="005E00C9"/>
    <w:rsid w:val="005E02AD"/>
    <w:rsid w:val="005E3CCE"/>
    <w:rsid w:val="005E65E5"/>
    <w:rsid w:val="005E6C32"/>
    <w:rsid w:val="005F01F4"/>
    <w:rsid w:val="005F2810"/>
    <w:rsid w:val="005F5E48"/>
    <w:rsid w:val="00600D5A"/>
    <w:rsid w:val="00601EB8"/>
    <w:rsid w:val="006035A4"/>
    <w:rsid w:val="00603955"/>
    <w:rsid w:val="00603DBD"/>
    <w:rsid w:val="00604467"/>
    <w:rsid w:val="00606E59"/>
    <w:rsid w:val="006073AB"/>
    <w:rsid w:val="0060790B"/>
    <w:rsid w:val="006100DD"/>
    <w:rsid w:val="00610520"/>
    <w:rsid w:val="0061237C"/>
    <w:rsid w:val="00613E36"/>
    <w:rsid w:val="00615AE9"/>
    <w:rsid w:val="00625CF1"/>
    <w:rsid w:val="00627BF2"/>
    <w:rsid w:val="00631603"/>
    <w:rsid w:val="0063503A"/>
    <w:rsid w:val="00635F19"/>
    <w:rsid w:val="006368D2"/>
    <w:rsid w:val="00637377"/>
    <w:rsid w:val="00637482"/>
    <w:rsid w:val="00637906"/>
    <w:rsid w:val="00637D19"/>
    <w:rsid w:val="0064038A"/>
    <w:rsid w:val="0064064A"/>
    <w:rsid w:val="00641CAB"/>
    <w:rsid w:val="006438EE"/>
    <w:rsid w:val="00644F4A"/>
    <w:rsid w:val="00646A69"/>
    <w:rsid w:val="00651677"/>
    <w:rsid w:val="00653781"/>
    <w:rsid w:val="00654134"/>
    <w:rsid w:val="00654EC6"/>
    <w:rsid w:val="0065527A"/>
    <w:rsid w:val="00655BDE"/>
    <w:rsid w:val="006564CA"/>
    <w:rsid w:val="0065691B"/>
    <w:rsid w:val="00660D0F"/>
    <w:rsid w:val="0066171D"/>
    <w:rsid w:val="00662D66"/>
    <w:rsid w:val="006633BF"/>
    <w:rsid w:val="00670C2A"/>
    <w:rsid w:val="006760CC"/>
    <w:rsid w:val="00676A25"/>
    <w:rsid w:val="00677850"/>
    <w:rsid w:val="00687B52"/>
    <w:rsid w:val="00691A0E"/>
    <w:rsid w:val="00692A89"/>
    <w:rsid w:val="00693DB6"/>
    <w:rsid w:val="00694B61"/>
    <w:rsid w:val="0069545F"/>
    <w:rsid w:val="00695639"/>
    <w:rsid w:val="00695FBA"/>
    <w:rsid w:val="0069649E"/>
    <w:rsid w:val="00697B54"/>
    <w:rsid w:val="006A1BC0"/>
    <w:rsid w:val="006A2182"/>
    <w:rsid w:val="006A7311"/>
    <w:rsid w:val="006A79DA"/>
    <w:rsid w:val="006B0480"/>
    <w:rsid w:val="006B17B6"/>
    <w:rsid w:val="006B3D30"/>
    <w:rsid w:val="006B44E5"/>
    <w:rsid w:val="006B5489"/>
    <w:rsid w:val="006B63B0"/>
    <w:rsid w:val="006B7747"/>
    <w:rsid w:val="006B77B6"/>
    <w:rsid w:val="006C0D1A"/>
    <w:rsid w:val="006C2B88"/>
    <w:rsid w:val="006C3D8A"/>
    <w:rsid w:val="006C4DF5"/>
    <w:rsid w:val="006C58F9"/>
    <w:rsid w:val="006C5E2D"/>
    <w:rsid w:val="006C7CE7"/>
    <w:rsid w:val="006D00B4"/>
    <w:rsid w:val="006D32CC"/>
    <w:rsid w:val="006D3627"/>
    <w:rsid w:val="006D4B33"/>
    <w:rsid w:val="006D5B43"/>
    <w:rsid w:val="006D6227"/>
    <w:rsid w:val="006D7642"/>
    <w:rsid w:val="006E0DFB"/>
    <w:rsid w:val="006E22BB"/>
    <w:rsid w:val="006E41D3"/>
    <w:rsid w:val="006E6BB2"/>
    <w:rsid w:val="006E6E1F"/>
    <w:rsid w:val="006F1C46"/>
    <w:rsid w:val="006F4AA8"/>
    <w:rsid w:val="006F4B83"/>
    <w:rsid w:val="006F5E2E"/>
    <w:rsid w:val="006F7A5C"/>
    <w:rsid w:val="00700354"/>
    <w:rsid w:val="00702CB6"/>
    <w:rsid w:val="00702D44"/>
    <w:rsid w:val="0070358E"/>
    <w:rsid w:val="00703712"/>
    <w:rsid w:val="007042CF"/>
    <w:rsid w:val="00706C8B"/>
    <w:rsid w:val="00707122"/>
    <w:rsid w:val="00714382"/>
    <w:rsid w:val="0071701B"/>
    <w:rsid w:val="007178FF"/>
    <w:rsid w:val="00722728"/>
    <w:rsid w:val="007228DF"/>
    <w:rsid w:val="00731609"/>
    <w:rsid w:val="00733A92"/>
    <w:rsid w:val="007346CE"/>
    <w:rsid w:val="00737466"/>
    <w:rsid w:val="007378D5"/>
    <w:rsid w:val="00737F58"/>
    <w:rsid w:val="007415C9"/>
    <w:rsid w:val="0074475A"/>
    <w:rsid w:val="00745153"/>
    <w:rsid w:val="00745DDC"/>
    <w:rsid w:val="00746BB4"/>
    <w:rsid w:val="00747E1B"/>
    <w:rsid w:val="00751323"/>
    <w:rsid w:val="00751E97"/>
    <w:rsid w:val="007534B6"/>
    <w:rsid w:val="0075390B"/>
    <w:rsid w:val="0075564E"/>
    <w:rsid w:val="0075656E"/>
    <w:rsid w:val="00766E53"/>
    <w:rsid w:val="00767452"/>
    <w:rsid w:val="007678F4"/>
    <w:rsid w:val="0077102E"/>
    <w:rsid w:val="0077325F"/>
    <w:rsid w:val="0077344E"/>
    <w:rsid w:val="00774B53"/>
    <w:rsid w:val="00776157"/>
    <w:rsid w:val="00776970"/>
    <w:rsid w:val="007772F2"/>
    <w:rsid w:val="00782D8A"/>
    <w:rsid w:val="0078610E"/>
    <w:rsid w:val="007864DD"/>
    <w:rsid w:val="00790D13"/>
    <w:rsid w:val="007910C5"/>
    <w:rsid w:val="007918BE"/>
    <w:rsid w:val="00791ADE"/>
    <w:rsid w:val="00792656"/>
    <w:rsid w:val="00792CEE"/>
    <w:rsid w:val="00793F0F"/>
    <w:rsid w:val="0079528D"/>
    <w:rsid w:val="007961B5"/>
    <w:rsid w:val="0079698D"/>
    <w:rsid w:val="007A211A"/>
    <w:rsid w:val="007A35F2"/>
    <w:rsid w:val="007A6426"/>
    <w:rsid w:val="007A65A0"/>
    <w:rsid w:val="007A73F5"/>
    <w:rsid w:val="007A79CE"/>
    <w:rsid w:val="007A7E07"/>
    <w:rsid w:val="007B231C"/>
    <w:rsid w:val="007B2AD5"/>
    <w:rsid w:val="007B31FA"/>
    <w:rsid w:val="007B53CE"/>
    <w:rsid w:val="007C00AE"/>
    <w:rsid w:val="007C1388"/>
    <w:rsid w:val="007C2A76"/>
    <w:rsid w:val="007C2FDD"/>
    <w:rsid w:val="007C3C73"/>
    <w:rsid w:val="007C44FF"/>
    <w:rsid w:val="007C6530"/>
    <w:rsid w:val="007D15BE"/>
    <w:rsid w:val="007D388E"/>
    <w:rsid w:val="007D3D48"/>
    <w:rsid w:val="007D69B3"/>
    <w:rsid w:val="007D6B67"/>
    <w:rsid w:val="007D710E"/>
    <w:rsid w:val="007E14A6"/>
    <w:rsid w:val="007E2CAD"/>
    <w:rsid w:val="007E37CE"/>
    <w:rsid w:val="007E588F"/>
    <w:rsid w:val="007E785A"/>
    <w:rsid w:val="007F34E4"/>
    <w:rsid w:val="007F4D2B"/>
    <w:rsid w:val="00804D15"/>
    <w:rsid w:val="00806754"/>
    <w:rsid w:val="00807091"/>
    <w:rsid w:val="008070C6"/>
    <w:rsid w:val="00807496"/>
    <w:rsid w:val="008101D2"/>
    <w:rsid w:val="00810D8D"/>
    <w:rsid w:val="0081172A"/>
    <w:rsid w:val="00820A8C"/>
    <w:rsid w:val="00820FA7"/>
    <w:rsid w:val="00821AFC"/>
    <w:rsid w:val="00822B0D"/>
    <w:rsid w:val="00822CF8"/>
    <w:rsid w:val="00823354"/>
    <w:rsid w:val="00823637"/>
    <w:rsid w:val="00826C90"/>
    <w:rsid w:val="00827BEF"/>
    <w:rsid w:val="0083286E"/>
    <w:rsid w:val="00833E41"/>
    <w:rsid w:val="00834291"/>
    <w:rsid w:val="00835CC9"/>
    <w:rsid w:val="0084099F"/>
    <w:rsid w:val="0084109B"/>
    <w:rsid w:val="008443C9"/>
    <w:rsid w:val="00844DC2"/>
    <w:rsid w:val="00851342"/>
    <w:rsid w:val="00855248"/>
    <w:rsid w:val="00855A05"/>
    <w:rsid w:val="00855E17"/>
    <w:rsid w:val="008661DD"/>
    <w:rsid w:val="0086629C"/>
    <w:rsid w:val="00866468"/>
    <w:rsid w:val="00873CC3"/>
    <w:rsid w:val="00876201"/>
    <w:rsid w:val="0088018F"/>
    <w:rsid w:val="008826F1"/>
    <w:rsid w:val="00883347"/>
    <w:rsid w:val="008837A8"/>
    <w:rsid w:val="008841B1"/>
    <w:rsid w:val="00887488"/>
    <w:rsid w:val="00887721"/>
    <w:rsid w:val="0088793A"/>
    <w:rsid w:val="00890827"/>
    <w:rsid w:val="0089722B"/>
    <w:rsid w:val="00897575"/>
    <w:rsid w:val="008A0230"/>
    <w:rsid w:val="008A080B"/>
    <w:rsid w:val="008A1634"/>
    <w:rsid w:val="008A299B"/>
    <w:rsid w:val="008A2F49"/>
    <w:rsid w:val="008A513D"/>
    <w:rsid w:val="008A5D14"/>
    <w:rsid w:val="008A6622"/>
    <w:rsid w:val="008A6804"/>
    <w:rsid w:val="008B03A4"/>
    <w:rsid w:val="008B0DFF"/>
    <w:rsid w:val="008B15B4"/>
    <w:rsid w:val="008B1BE6"/>
    <w:rsid w:val="008B338F"/>
    <w:rsid w:val="008B3E5E"/>
    <w:rsid w:val="008C028B"/>
    <w:rsid w:val="008C02B0"/>
    <w:rsid w:val="008C1963"/>
    <w:rsid w:val="008C23F4"/>
    <w:rsid w:val="008C7CBB"/>
    <w:rsid w:val="008D39BF"/>
    <w:rsid w:val="008D3B18"/>
    <w:rsid w:val="008D4C58"/>
    <w:rsid w:val="008E049E"/>
    <w:rsid w:val="008E299F"/>
    <w:rsid w:val="008E3237"/>
    <w:rsid w:val="008E7E26"/>
    <w:rsid w:val="008F089C"/>
    <w:rsid w:val="008F164E"/>
    <w:rsid w:val="008F2CAF"/>
    <w:rsid w:val="008F2FCD"/>
    <w:rsid w:val="008F322F"/>
    <w:rsid w:val="008F490B"/>
    <w:rsid w:val="008F4D96"/>
    <w:rsid w:val="00900E3F"/>
    <w:rsid w:val="0090411D"/>
    <w:rsid w:val="00904A3B"/>
    <w:rsid w:val="00905C18"/>
    <w:rsid w:val="0090675A"/>
    <w:rsid w:val="00906A28"/>
    <w:rsid w:val="00906C18"/>
    <w:rsid w:val="00910A24"/>
    <w:rsid w:val="00911701"/>
    <w:rsid w:val="0091247F"/>
    <w:rsid w:val="00915661"/>
    <w:rsid w:val="009174C4"/>
    <w:rsid w:val="0091799D"/>
    <w:rsid w:val="009249C2"/>
    <w:rsid w:val="009307F2"/>
    <w:rsid w:val="00931E81"/>
    <w:rsid w:val="00931EA1"/>
    <w:rsid w:val="0093249E"/>
    <w:rsid w:val="00932D85"/>
    <w:rsid w:val="009331C1"/>
    <w:rsid w:val="00934001"/>
    <w:rsid w:val="009360A9"/>
    <w:rsid w:val="0093616E"/>
    <w:rsid w:val="00936628"/>
    <w:rsid w:val="00937434"/>
    <w:rsid w:val="00937F86"/>
    <w:rsid w:val="0094099A"/>
    <w:rsid w:val="009427FE"/>
    <w:rsid w:val="00943092"/>
    <w:rsid w:val="00943F06"/>
    <w:rsid w:val="00944974"/>
    <w:rsid w:val="00945204"/>
    <w:rsid w:val="0094616C"/>
    <w:rsid w:val="00950EE3"/>
    <w:rsid w:val="00950EE4"/>
    <w:rsid w:val="0095164A"/>
    <w:rsid w:val="0095191E"/>
    <w:rsid w:val="009608AC"/>
    <w:rsid w:val="00961B08"/>
    <w:rsid w:val="00961D1B"/>
    <w:rsid w:val="00962E96"/>
    <w:rsid w:val="00965FED"/>
    <w:rsid w:val="009669DC"/>
    <w:rsid w:val="009677B7"/>
    <w:rsid w:val="00970F7B"/>
    <w:rsid w:val="00972B30"/>
    <w:rsid w:val="00972EEA"/>
    <w:rsid w:val="009753A0"/>
    <w:rsid w:val="00977257"/>
    <w:rsid w:val="00981398"/>
    <w:rsid w:val="00982BBF"/>
    <w:rsid w:val="009967B3"/>
    <w:rsid w:val="009A08B6"/>
    <w:rsid w:val="009A26EB"/>
    <w:rsid w:val="009A4574"/>
    <w:rsid w:val="009A4AFF"/>
    <w:rsid w:val="009A4BCB"/>
    <w:rsid w:val="009A6EE1"/>
    <w:rsid w:val="009B0095"/>
    <w:rsid w:val="009B0981"/>
    <w:rsid w:val="009B0BCB"/>
    <w:rsid w:val="009B10E1"/>
    <w:rsid w:val="009B3620"/>
    <w:rsid w:val="009B4A4B"/>
    <w:rsid w:val="009B6373"/>
    <w:rsid w:val="009C2A45"/>
    <w:rsid w:val="009C4E6B"/>
    <w:rsid w:val="009C68AB"/>
    <w:rsid w:val="009D121A"/>
    <w:rsid w:val="009D13B8"/>
    <w:rsid w:val="009D1F7D"/>
    <w:rsid w:val="009D66A1"/>
    <w:rsid w:val="009E200D"/>
    <w:rsid w:val="009E207C"/>
    <w:rsid w:val="009E212F"/>
    <w:rsid w:val="009E226B"/>
    <w:rsid w:val="009E3A17"/>
    <w:rsid w:val="009E650E"/>
    <w:rsid w:val="009E7FAF"/>
    <w:rsid w:val="009F1792"/>
    <w:rsid w:val="009F33A3"/>
    <w:rsid w:val="009F628F"/>
    <w:rsid w:val="009F687A"/>
    <w:rsid w:val="009F6F7A"/>
    <w:rsid w:val="00A008CF"/>
    <w:rsid w:val="00A035CF"/>
    <w:rsid w:val="00A04192"/>
    <w:rsid w:val="00A04257"/>
    <w:rsid w:val="00A04305"/>
    <w:rsid w:val="00A07FF4"/>
    <w:rsid w:val="00A14D75"/>
    <w:rsid w:val="00A15ECF"/>
    <w:rsid w:val="00A16B5A"/>
    <w:rsid w:val="00A20375"/>
    <w:rsid w:val="00A20507"/>
    <w:rsid w:val="00A225E5"/>
    <w:rsid w:val="00A23C02"/>
    <w:rsid w:val="00A24F51"/>
    <w:rsid w:val="00A27FF2"/>
    <w:rsid w:val="00A3024B"/>
    <w:rsid w:val="00A31227"/>
    <w:rsid w:val="00A34134"/>
    <w:rsid w:val="00A34B59"/>
    <w:rsid w:val="00A36B6D"/>
    <w:rsid w:val="00A37117"/>
    <w:rsid w:val="00A46C6C"/>
    <w:rsid w:val="00A51A4C"/>
    <w:rsid w:val="00A5201B"/>
    <w:rsid w:val="00A53F56"/>
    <w:rsid w:val="00A573F4"/>
    <w:rsid w:val="00A57D8F"/>
    <w:rsid w:val="00A60DBE"/>
    <w:rsid w:val="00A61DA2"/>
    <w:rsid w:val="00A6456B"/>
    <w:rsid w:val="00A6652B"/>
    <w:rsid w:val="00A729A0"/>
    <w:rsid w:val="00A72B22"/>
    <w:rsid w:val="00A7360A"/>
    <w:rsid w:val="00A74C95"/>
    <w:rsid w:val="00A81010"/>
    <w:rsid w:val="00A8262D"/>
    <w:rsid w:val="00A82C04"/>
    <w:rsid w:val="00A8552D"/>
    <w:rsid w:val="00A85B5D"/>
    <w:rsid w:val="00A8716C"/>
    <w:rsid w:val="00A87858"/>
    <w:rsid w:val="00A90242"/>
    <w:rsid w:val="00A95AEB"/>
    <w:rsid w:val="00A96E6E"/>
    <w:rsid w:val="00AA3AC7"/>
    <w:rsid w:val="00AB001B"/>
    <w:rsid w:val="00AB1786"/>
    <w:rsid w:val="00AB41D1"/>
    <w:rsid w:val="00AB439D"/>
    <w:rsid w:val="00AB49B2"/>
    <w:rsid w:val="00AB52D8"/>
    <w:rsid w:val="00AB55F6"/>
    <w:rsid w:val="00AB5FD4"/>
    <w:rsid w:val="00AB709B"/>
    <w:rsid w:val="00AB75AF"/>
    <w:rsid w:val="00AC10F5"/>
    <w:rsid w:val="00AC4C71"/>
    <w:rsid w:val="00AC622C"/>
    <w:rsid w:val="00AD02E9"/>
    <w:rsid w:val="00AD08E0"/>
    <w:rsid w:val="00AD09E1"/>
    <w:rsid w:val="00AD176E"/>
    <w:rsid w:val="00AD3E5C"/>
    <w:rsid w:val="00AD45DD"/>
    <w:rsid w:val="00AD5D8A"/>
    <w:rsid w:val="00AE512D"/>
    <w:rsid w:val="00AE6DE9"/>
    <w:rsid w:val="00AF4ABB"/>
    <w:rsid w:val="00AF6B64"/>
    <w:rsid w:val="00B013BB"/>
    <w:rsid w:val="00B02A8F"/>
    <w:rsid w:val="00B0623B"/>
    <w:rsid w:val="00B10482"/>
    <w:rsid w:val="00B10688"/>
    <w:rsid w:val="00B11AEF"/>
    <w:rsid w:val="00B14794"/>
    <w:rsid w:val="00B178B1"/>
    <w:rsid w:val="00B22F3D"/>
    <w:rsid w:val="00B25497"/>
    <w:rsid w:val="00B260AD"/>
    <w:rsid w:val="00B27BA1"/>
    <w:rsid w:val="00B27FB7"/>
    <w:rsid w:val="00B32EBC"/>
    <w:rsid w:val="00B343BE"/>
    <w:rsid w:val="00B35E0D"/>
    <w:rsid w:val="00B36ED9"/>
    <w:rsid w:val="00B42466"/>
    <w:rsid w:val="00B4472F"/>
    <w:rsid w:val="00B44D1A"/>
    <w:rsid w:val="00B4567C"/>
    <w:rsid w:val="00B4769F"/>
    <w:rsid w:val="00B512F8"/>
    <w:rsid w:val="00B5321E"/>
    <w:rsid w:val="00B54185"/>
    <w:rsid w:val="00B5465F"/>
    <w:rsid w:val="00B548C5"/>
    <w:rsid w:val="00B559CB"/>
    <w:rsid w:val="00B56256"/>
    <w:rsid w:val="00B57840"/>
    <w:rsid w:val="00B6152D"/>
    <w:rsid w:val="00B6245A"/>
    <w:rsid w:val="00B62ADC"/>
    <w:rsid w:val="00B63DD0"/>
    <w:rsid w:val="00B652E7"/>
    <w:rsid w:val="00B67315"/>
    <w:rsid w:val="00B70F13"/>
    <w:rsid w:val="00B7564D"/>
    <w:rsid w:val="00B760D2"/>
    <w:rsid w:val="00B762AE"/>
    <w:rsid w:val="00B76E68"/>
    <w:rsid w:val="00B76F0F"/>
    <w:rsid w:val="00B77FED"/>
    <w:rsid w:val="00B81DD1"/>
    <w:rsid w:val="00B85128"/>
    <w:rsid w:val="00B86AA9"/>
    <w:rsid w:val="00B900AD"/>
    <w:rsid w:val="00B90C28"/>
    <w:rsid w:val="00B92141"/>
    <w:rsid w:val="00B923CE"/>
    <w:rsid w:val="00B931CC"/>
    <w:rsid w:val="00B959D4"/>
    <w:rsid w:val="00BA32DB"/>
    <w:rsid w:val="00BA3E4D"/>
    <w:rsid w:val="00BA4531"/>
    <w:rsid w:val="00BA4F53"/>
    <w:rsid w:val="00BA507D"/>
    <w:rsid w:val="00BA5DF2"/>
    <w:rsid w:val="00BA6317"/>
    <w:rsid w:val="00BA742C"/>
    <w:rsid w:val="00BA7F48"/>
    <w:rsid w:val="00BB28B6"/>
    <w:rsid w:val="00BB3EBC"/>
    <w:rsid w:val="00BB67C9"/>
    <w:rsid w:val="00BB757C"/>
    <w:rsid w:val="00BC0EFC"/>
    <w:rsid w:val="00BD2CED"/>
    <w:rsid w:val="00BD30E5"/>
    <w:rsid w:val="00BD3E6D"/>
    <w:rsid w:val="00BD3F4E"/>
    <w:rsid w:val="00BD4513"/>
    <w:rsid w:val="00BD7E20"/>
    <w:rsid w:val="00BE190F"/>
    <w:rsid w:val="00BE3071"/>
    <w:rsid w:val="00BE30A4"/>
    <w:rsid w:val="00BE3A9B"/>
    <w:rsid w:val="00BE4495"/>
    <w:rsid w:val="00BE581C"/>
    <w:rsid w:val="00BF0A11"/>
    <w:rsid w:val="00BF1498"/>
    <w:rsid w:val="00BF5238"/>
    <w:rsid w:val="00BF6671"/>
    <w:rsid w:val="00BF6761"/>
    <w:rsid w:val="00C00696"/>
    <w:rsid w:val="00C008BA"/>
    <w:rsid w:val="00C030F2"/>
    <w:rsid w:val="00C071B8"/>
    <w:rsid w:val="00C106B0"/>
    <w:rsid w:val="00C11302"/>
    <w:rsid w:val="00C113FA"/>
    <w:rsid w:val="00C11583"/>
    <w:rsid w:val="00C135D3"/>
    <w:rsid w:val="00C13E8E"/>
    <w:rsid w:val="00C1457F"/>
    <w:rsid w:val="00C15EA3"/>
    <w:rsid w:val="00C171DF"/>
    <w:rsid w:val="00C235B9"/>
    <w:rsid w:val="00C23AAD"/>
    <w:rsid w:val="00C26393"/>
    <w:rsid w:val="00C31918"/>
    <w:rsid w:val="00C35D61"/>
    <w:rsid w:val="00C3625C"/>
    <w:rsid w:val="00C40AD8"/>
    <w:rsid w:val="00C42AE3"/>
    <w:rsid w:val="00C431BD"/>
    <w:rsid w:val="00C444F8"/>
    <w:rsid w:val="00C44A36"/>
    <w:rsid w:val="00C4561A"/>
    <w:rsid w:val="00C45BC7"/>
    <w:rsid w:val="00C519BB"/>
    <w:rsid w:val="00C53198"/>
    <w:rsid w:val="00C54657"/>
    <w:rsid w:val="00C54821"/>
    <w:rsid w:val="00C55365"/>
    <w:rsid w:val="00C57259"/>
    <w:rsid w:val="00C606B5"/>
    <w:rsid w:val="00C6096C"/>
    <w:rsid w:val="00C6158A"/>
    <w:rsid w:val="00C645B8"/>
    <w:rsid w:val="00C665AC"/>
    <w:rsid w:val="00C70207"/>
    <w:rsid w:val="00C708FC"/>
    <w:rsid w:val="00C720D8"/>
    <w:rsid w:val="00C72239"/>
    <w:rsid w:val="00C7423A"/>
    <w:rsid w:val="00C76F52"/>
    <w:rsid w:val="00C830CA"/>
    <w:rsid w:val="00C85A36"/>
    <w:rsid w:val="00C85B3A"/>
    <w:rsid w:val="00C863CA"/>
    <w:rsid w:val="00C90839"/>
    <w:rsid w:val="00C966B8"/>
    <w:rsid w:val="00CA1E2D"/>
    <w:rsid w:val="00CA4CA5"/>
    <w:rsid w:val="00CA51BF"/>
    <w:rsid w:val="00CA5C4A"/>
    <w:rsid w:val="00CA7A98"/>
    <w:rsid w:val="00CB122A"/>
    <w:rsid w:val="00CB517A"/>
    <w:rsid w:val="00CB5A6E"/>
    <w:rsid w:val="00CB7ECC"/>
    <w:rsid w:val="00CC1C1F"/>
    <w:rsid w:val="00CC2E71"/>
    <w:rsid w:val="00CC3C53"/>
    <w:rsid w:val="00CD2C1D"/>
    <w:rsid w:val="00CD57C8"/>
    <w:rsid w:val="00CE0BD6"/>
    <w:rsid w:val="00CE2326"/>
    <w:rsid w:val="00CE2B79"/>
    <w:rsid w:val="00CE3B18"/>
    <w:rsid w:val="00CE68D5"/>
    <w:rsid w:val="00CF11A9"/>
    <w:rsid w:val="00CF120F"/>
    <w:rsid w:val="00CF3936"/>
    <w:rsid w:val="00CF5BB8"/>
    <w:rsid w:val="00CF5D71"/>
    <w:rsid w:val="00CF66A6"/>
    <w:rsid w:val="00CF74AB"/>
    <w:rsid w:val="00CF7C49"/>
    <w:rsid w:val="00D021D6"/>
    <w:rsid w:val="00D068A2"/>
    <w:rsid w:val="00D075D6"/>
    <w:rsid w:val="00D0772B"/>
    <w:rsid w:val="00D07CE3"/>
    <w:rsid w:val="00D1148B"/>
    <w:rsid w:val="00D13CB0"/>
    <w:rsid w:val="00D1431A"/>
    <w:rsid w:val="00D15BB0"/>
    <w:rsid w:val="00D162AD"/>
    <w:rsid w:val="00D1645F"/>
    <w:rsid w:val="00D16992"/>
    <w:rsid w:val="00D17185"/>
    <w:rsid w:val="00D204E8"/>
    <w:rsid w:val="00D20B17"/>
    <w:rsid w:val="00D2143A"/>
    <w:rsid w:val="00D2215A"/>
    <w:rsid w:val="00D2406B"/>
    <w:rsid w:val="00D337A2"/>
    <w:rsid w:val="00D34DE5"/>
    <w:rsid w:val="00D37AF9"/>
    <w:rsid w:val="00D4089B"/>
    <w:rsid w:val="00D43E6E"/>
    <w:rsid w:val="00D466C8"/>
    <w:rsid w:val="00D51005"/>
    <w:rsid w:val="00D52722"/>
    <w:rsid w:val="00D5447A"/>
    <w:rsid w:val="00D55AB3"/>
    <w:rsid w:val="00D57499"/>
    <w:rsid w:val="00D57AF4"/>
    <w:rsid w:val="00D6022D"/>
    <w:rsid w:val="00D60DCB"/>
    <w:rsid w:val="00D62918"/>
    <w:rsid w:val="00D64616"/>
    <w:rsid w:val="00D65200"/>
    <w:rsid w:val="00D65E2D"/>
    <w:rsid w:val="00D7089B"/>
    <w:rsid w:val="00D71E09"/>
    <w:rsid w:val="00D73A3C"/>
    <w:rsid w:val="00D73D05"/>
    <w:rsid w:val="00D75B1E"/>
    <w:rsid w:val="00D775D5"/>
    <w:rsid w:val="00D858C2"/>
    <w:rsid w:val="00D85E7D"/>
    <w:rsid w:val="00D869E3"/>
    <w:rsid w:val="00D871A7"/>
    <w:rsid w:val="00D913B0"/>
    <w:rsid w:val="00D92919"/>
    <w:rsid w:val="00D93199"/>
    <w:rsid w:val="00D948D9"/>
    <w:rsid w:val="00D973A1"/>
    <w:rsid w:val="00DA071C"/>
    <w:rsid w:val="00DA3DF2"/>
    <w:rsid w:val="00DA59F1"/>
    <w:rsid w:val="00DA63FB"/>
    <w:rsid w:val="00DA7698"/>
    <w:rsid w:val="00DB020F"/>
    <w:rsid w:val="00DB4C60"/>
    <w:rsid w:val="00DC3395"/>
    <w:rsid w:val="00DC3CE5"/>
    <w:rsid w:val="00DC47F6"/>
    <w:rsid w:val="00DC5BE5"/>
    <w:rsid w:val="00DC5D23"/>
    <w:rsid w:val="00DC6EEF"/>
    <w:rsid w:val="00DD21B4"/>
    <w:rsid w:val="00DD24B4"/>
    <w:rsid w:val="00DD2CA2"/>
    <w:rsid w:val="00DD3C0E"/>
    <w:rsid w:val="00DD3F4B"/>
    <w:rsid w:val="00DE0536"/>
    <w:rsid w:val="00DE09B4"/>
    <w:rsid w:val="00DE1097"/>
    <w:rsid w:val="00DE3E0A"/>
    <w:rsid w:val="00DE4B0F"/>
    <w:rsid w:val="00DE4B3D"/>
    <w:rsid w:val="00DE4EAE"/>
    <w:rsid w:val="00DF13A6"/>
    <w:rsid w:val="00E051FA"/>
    <w:rsid w:val="00E062D7"/>
    <w:rsid w:val="00E06300"/>
    <w:rsid w:val="00E11B6C"/>
    <w:rsid w:val="00E1485A"/>
    <w:rsid w:val="00E17CB2"/>
    <w:rsid w:val="00E20B2A"/>
    <w:rsid w:val="00E2224A"/>
    <w:rsid w:val="00E22D4D"/>
    <w:rsid w:val="00E2507E"/>
    <w:rsid w:val="00E252A9"/>
    <w:rsid w:val="00E273F0"/>
    <w:rsid w:val="00E327DB"/>
    <w:rsid w:val="00E328D9"/>
    <w:rsid w:val="00E34C29"/>
    <w:rsid w:val="00E35D6E"/>
    <w:rsid w:val="00E3768F"/>
    <w:rsid w:val="00E421E4"/>
    <w:rsid w:val="00E448F5"/>
    <w:rsid w:val="00E45753"/>
    <w:rsid w:val="00E461E5"/>
    <w:rsid w:val="00E46CF6"/>
    <w:rsid w:val="00E46FB5"/>
    <w:rsid w:val="00E47505"/>
    <w:rsid w:val="00E501F3"/>
    <w:rsid w:val="00E50628"/>
    <w:rsid w:val="00E538E5"/>
    <w:rsid w:val="00E54E55"/>
    <w:rsid w:val="00E5581C"/>
    <w:rsid w:val="00E6223D"/>
    <w:rsid w:val="00E634B5"/>
    <w:rsid w:val="00E652AD"/>
    <w:rsid w:val="00E676E9"/>
    <w:rsid w:val="00E7170C"/>
    <w:rsid w:val="00E71D24"/>
    <w:rsid w:val="00E739FA"/>
    <w:rsid w:val="00E74587"/>
    <w:rsid w:val="00E74763"/>
    <w:rsid w:val="00E7531D"/>
    <w:rsid w:val="00E75D27"/>
    <w:rsid w:val="00E75EC2"/>
    <w:rsid w:val="00E77461"/>
    <w:rsid w:val="00E878A7"/>
    <w:rsid w:val="00E902C1"/>
    <w:rsid w:val="00E91661"/>
    <w:rsid w:val="00E94741"/>
    <w:rsid w:val="00E9598D"/>
    <w:rsid w:val="00E9708A"/>
    <w:rsid w:val="00EA62C3"/>
    <w:rsid w:val="00EB1D90"/>
    <w:rsid w:val="00EB3447"/>
    <w:rsid w:val="00EB3BF7"/>
    <w:rsid w:val="00EB635B"/>
    <w:rsid w:val="00EB6D23"/>
    <w:rsid w:val="00EC2253"/>
    <w:rsid w:val="00EC72D1"/>
    <w:rsid w:val="00ED0FA4"/>
    <w:rsid w:val="00ED18B7"/>
    <w:rsid w:val="00ED491C"/>
    <w:rsid w:val="00ED501F"/>
    <w:rsid w:val="00ED5147"/>
    <w:rsid w:val="00ED5EAA"/>
    <w:rsid w:val="00ED728B"/>
    <w:rsid w:val="00ED775D"/>
    <w:rsid w:val="00EE0C4F"/>
    <w:rsid w:val="00EE10AC"/>
    <w:rsid w:val="00EE218D"/>
    <w:rsid w:val="00EE3F8B"/>
    <w:rsid w:val="00EF07EA"/>
    <w:rsid w:val="00EF1A9C"/>
    <w:rsid w:val="00EF35BB"/>
    <w:rsid w:val="00EF7C5D"/>
    <w:rsid w:val="00F10698"/>
    <w:rsid w:val="00F123DB"/>
    <w:rsid w:val="00F133AA"/>
    <w:rsid w:val="00F164BA"/>
    <w:rsid w:val="00F206D3"/>
    <w:rsid w:val="00F20993"/>
    <w:rsid w:val="00F2212E"/>
    <w:rsid w:val="00F22FF3"/>
    <w:rsid w:val="00F23076"/>
    <w:rsid w:val="00F232EF"/>
    <w:rsid w:val="00F2411D"/>
    <w:rsid w:val="00F2449D"/>
    <w:rsid w:val="00F277D8"/>
    <w:rsid w:val="00F27993"/>
    <w:rsid w:val="00F347D0"/>
    <w:rsid w:val="00F348BB"/>
    <w:rsid w:val="00F36618"/>
    <w:rsid w:val="00F422DD"/>
    <w:rsid w:val="00F4245D"/>
    <w:rsid w:val="00F43B00"/>
    <w:rsid w:val="00F46153"/>
    <w:rsid w:val="00F54038"/>
    <w:rsid w:val="00F55983"/>
    <w:rsid w:val="00F576B0"/>
    <w:rsid w:val="00F660A9"/>
    <w:rsid w:val="00F66DF7"/>
    <w:rsid w:val="00F67634"/>
    <w:rsid w:val="00F7285B"/>
    <w:rsid w:val="00F73F0C"/>
    <w:rsid w:val="00F76D5B"/>
    <w:rsid w:val="00F835B3"/>
    <w:rsid w:val="00F8380D"/>
    <w:rsid w:val="00F83896"/>
    <w:rsid w:val="00F85860"/>
    <w:rsid w:val="00F86D9C"/>
    <w:rsid w:val="00F86E96"/>
    <w:rsid w:val="00F921D2"/>
    <w:rsid w:val="00F92336"/>
    <w:rsid w:val="00F9461B"/>
    <w:rsid w:val="00F94E49"/>
    <w:rsid w:val="00F95E63"/>
    <w:rsid w:val="00FA25D9"/>
    <w:rsid w:val="00FA475E"/>
    <w:rsid w:val="00FA4E6A"/>
    <w:rsid w:val="00FA63DD"/>
    <w:rsid w:val="00FA73B7"/>
    <w:rsid w:val="00FB6FDD"/>
    <w:rsid w:val="00FC07AF"/>
    <w:rsid w:val="00FC0BA7"/>
    <w:rsid w:val="00FC2404"/>
    <w:rsid w:val="00FC2438"/>
    <w:rsid w:val="00FC2D3A"/>
    <w:rsid w:val="00FC3358"/>
    <w:rsid w:val="00FC3F35"/>
    <w:rsid w:val="00FD044C"/>
    <w:rsid w:val="00FD2145"/>
    <w:rsid w:val="00FD25B2"/>
    <w:rsid w:val="00FD2D38"/>
    <w:rsid w:val="00FD5707"/>
    <w:rsid w:val="00FD5E8A"/>
    <w:rsid w:val="00FD7ABD"/>
    <w:rsid w:val="00FE04F5"/>
    <w:rsid w:val="00FE4151"/>
    <w:rsid w:val="00FE4E89"/>
    <w:rsid w:val="00FE50CB"/>
    <w:rsid w:val="00FE5B39"/>
    <w:rsid w:val="00FE5F32"/>
    <w:rsid w:val="00FE6DC5"/>
    <w:rsid w:val="00FE75C4"/>
    <w:rsid w:val="00FF0AFD"/>
    <w:rsid w:val="00FF19B3"/>
    <w:rsid w:val="00FF1D25"/>
    <w:rsid w:val="00FF1D7E"/>
    <w:rsid w:val="00FF5489"/>
    <w:rsid w:val="00FF7240"/>
    <w:rsid w:val="16742FA9"/>
    <w:rsid w:val="27D36E02"/>
    <w:rsid w:val="30992356"/>
    <w:rsid w:val="66B87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40" w:lineRule="exact"/>
      <w:jc w:val="both"/>
    </w:pPr>
    <w:rPr>
      <w:rFonts w:ascii="Times New Roman" w:hAnsi="Times New Roman" w:eastAsia="宋体" w:cstheme="minorBidi"/>
      <w:kern w:val="2"/>
      <w:sz w:val="24"/>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99"/>
    <w:pPr>
      <w:jc w:val="left"/>
    </w:pPr>
    <w:rPr>
      <w:rFonts w:cs="Times New Roman"/>
      <w:sz w:val="18"/>
      <w:szCs w:val="18"/>
    </w:rPr>
  </w:style>
  <w:style w:type="paragraph" w:styleId="3">
    <w:name w:val="Balloon Text"/>
    <w:basedOn w:val="1"/>
    <w:link w:val="26"/>
    <w:semiHidden/>
    <w:unhideWhenUsed/>
    <w:uiPriority w:val="99"/>
    <w:rPr>
      <w:sz w:val="18"/>
      <w:szCs w:val="18"/>
    </w:rPr>
  </w:style>
  <w:style w:type="paragraph" w:styleId="4">
    <w:name w:val="footer"/>
    <w:basedOn w:val="1"/>
    <w:link w:val="29"/>
    <w:unhideWhenUsed/>
    <w:qFormat/>
    <w:uiPriority w:val="99"/>
    <w:pPr>
      <w:tabs>
        <w:tab w:val="center" w:pos="4153"/>
        <w:tab w:val="right" w:pos="8306"/>
      </w:tabs>
      <w:snapToGrid w:val="0"/>
      <w:jc w:val="left"/>
    </w:pPr>
    <w:rPr>
      <w:sz w:val="18"/>
      <w:szCs w:val="18"/>
    </w:rPr>
  </w:style>
  <w:style w:type="paragraph" w:styleId="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34"/>
    <w:semiHidden/>
    <w:unhideWhenUsed/>
    <w:qFormat/>
    <w:uiPriority w:val="99"/>
    <w:pPr>
      <w:snapToGrid w:val="0"/>
      <w:jc w:val="left"/>
    </w:pPr>
    <w:rPr>
      <w:sz w:val="18"/>
      <w:szCs w:val="18"/>
    </w:rPr>
  </w:style>
  <w:style w:type="paragraph" w:styleId="7">
    <w:name w:val="Normal (Web)"/>
    <w:basedOn w:val="1"/>
    <w:qFormat/>
    <w:uiPriority w:val="99"/>
    <w:pPr>
      <w:spacing w:before="100" w:beforeAutospacing="1" w:after="100" w:afterAutospacing="1"/>
      <w:jc w:val="left"/>
    </w:pPr>
    <w:rPr>
      <w:rFonts w:ascii="宋体" w:hAnsi="宋体" w:cs="Times New Roman"/>
      <w:kern w:val="0"/>
    </w:rPr>
  </w:style>
  <w:style w:type="paragraph" w:styleId="8">
    <w:name w:val="Title"/>
    <w:basedOn w:val="1"/>
    <w:next w:val="1"/>
    <w:link w:val="33"/>
    <w:qFormat/>
    <w:uiPriority w:val="99"/>
    <w:pPr>
      <w:keepNext/>
      <w:keepLines/>
      <w:spacing w:before="340" w:after="330" w:line="578" w:lineRule="auto"/>
      <w:jc w:val="center"/>
    </w:pPr>
    <w:rPr>
      <w:rFonts w:cs="Times New Roman"/>
      <w:b/>
      <w:bCs/>
      <w:kern w:val="32"/>
      <w:sz w:val="32"/>
      <w:szCs w:val="32"/>
    </w:rPr>
  </w:style>
  <w:style w:type="paragraph" w:styleId="9">
    <w:name w:val="annotation subject"/>
    <w:basedOn w:val="2"/>
    <w:next w:val="2"/>
    <w:link w:val="27"/>
    <w:semiHidden/>
    <w:unhideWhenUsed/>
    <w:qFormat/>
    <w:uiPriority w:val="99"/>
    <w:pPr>
      <w:widowControl w:val="0"/>
    </w:pPr>
    <w:rPr>
      <w:rFonts w:asciiTheme="minorHAnsi" w:hAnsiTheme="minorHAnsi" w:eastAsiaTheme="minorEastAsia" w:cstheme="minorBidi"/>
      <w:b/>
      <w:bCs/>
      <w:sz w:val="21"/>
      <w:szCs w:val="22"/>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character" w:styleId="14">
    <w:name w:val="annotation reference"/>
    <w:unhideWhenUsed/>
    <w:uiPriority w:val="99"/>
    <w:rPr>
      <w:sz w:val="21"/>
    </w:rPr>
  </w:style>
  <w:style w:type="character" w:styleId="15">
    <w:name w:val="footnote reference"/>
    <w:basedOn w:val="12"/>
    <w:semiHidden/>
    <w:unhideWhenUsed/>
    <w:qFormat/>
    <w:uiPriority w:val="99"/>
    <w:rPr>
      <w:vertAlign w:val="superscript"/>
    </w:rPr>
  </w:style>
  <w:style w:type="paragraph" w:customStyle="1" w:styleId="16">
    <w:name w:val="Normal_0"/>
    <w:qFormat/>
    <w:uiPriority w:val="0"/>
    <w:pPr>
      <w:spacing w:before="120" w:after="240" w:line="440" w:lineRule="exact"/>
      <w:jc w:val="both"/>
    </w:pPr>
    <w:rPr>
      <w:rFonts w:asciiTheme="minorHAnsi" w:hAnsiTheme="minorHAnsi" w:eastAsiaTheme="minorEastAsia" w:cstheme="minorBidi"/>
      <w:kern w:val="2"/>
      <w:sz w:val="22"/>
      <w:szCs w:val="22"/>
      <w:lang w:val="en-US" w:eastAsia="en-US" w:bidi="ar-SA"/>
    </w:rPr>
  </w:style>
  <w:style w:type="paragraph" w:customStyle="1" w:styleId="17">
    <w:name w:val="Normal_1"/>
    <w:qFormat/>
    <w:uiPriority w:val="0"/>
    <w:pPr>
      <w:spacing w:before="120" w:after="240" w:line="440" w:lineRule="exact"/>
      <w:jc w:val="both"/>
    </w:pPr>
    <w:rPr>
      <w:rFonts w:asciiTheme="minorHAnsi" w:hAnsiTheme="minorHAnsi" w:eastAsiaTheme="minorEastAsia" w:cstheme="minorBidi"/>
      <w:kern w:val="2"/>
      <w:sz w:val="22"/>
      <w:szCs w:val="22"/>
      <w:lang w:val="en-US" w:eastAsia="en-US" w:bidi="ar-SA"/>
    </w:rPr>
  </w:style>
  <w:style w:type="paragraph" w:customStyle="1" w:styleId="18">
    <w:name w:val="Normal_3"/>
    <w:qFormat/>
    <w:uiPriority w:val="0"/>
    <w:pPr>
      <w:spacing w:before="120" w:after="240" w:line="440" w:lineRule="exact"/>
      <w:jc w:val="both"/>
    </w:pPr>
    <w:rPr>
      <w:rFonts w:asciiTheme="minorHAnsi" w:hAnsiTheme="minorHAnsi" w:eastAsiaTheme="minorEastAsia" w:cstheme="minorBidi"/>
      <w:kern w:val="2"/>
      <w:sz w:val="22"/>
      <w:szCs w:val="22"/>
      <w:lang w:val="en-US" w:eastAsia="en-US" w:bidi="ar-SA"/>
    </w:rPr>
  </w:style>
  <w:style w:type="character" w:customStyle="1" w:styleId="19">
    <w:name w:val="批注文字 Char"/>
    <w:basedOn w:val="12"/>
    <w:link w:val="2"/>
    <w:qFormat/>
    <w:uiPriority w:val="99"/>
    <w:rPr>
      <w:rFonts w:ascii="Times New Roman" w:hAnsi="Times New Roman" w:eastAsia="宋体" w:cs="Times New Roman"/>
      <w:sz w:val="18"/>
      <w:szCs w:val="18"/>
    </w:rPr>
  </w:style>
  <w:style w:type="paragraph" w:customStyle="1" w:styleId="20">
    <w:name w:val="Chapter"/>
    <w:next w:val="1"/>
    <w:qFormat/>
    <w:uiPriority w:val="99"/>
    <w:pPr>
      <w:keepNext/>
      <w:keepLines/>
      <w:widowControl w:val="0"/>
      <w:spacing w:before="300" w:after="300" w:line="241" w:lineRule="auto"/>
      <w:jc w:val="both"/>
    </w:pPr>
    <w:rPr>
      <w:rFonts w:ascii="Times New Roman" w:hAnsi="Times New Roman" w:eastAsia="宋体" w:cstheme="minorBidi"/>
      <w:b/>
      <w:bCs/>
      <w:kern w:val="28"/>
      <w:sz w:val="24"/>
      <w:szCs w:val="24"/>
      <w:lang w:val="en-US" w:eastAsia="zh-CN" w:bidi="ar-SA"/>
    </w:rPr>
  </w:style>
  <w:style w:type="table" w:customStyle="1" w:styleId="21">
    <w:name w:val="网格型5"/>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
    <w:name w:val="网格型4"/>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List Paragraph"/>
    <w:basedOn w:val="1"/>
    <w:qFormat/>
    <w:uiPriority w:val="34"/>
    <w:pPr>
      <w:ind w:firstLine="420" w:firstLineChars="200"/>
    </w:pPr>
  </w:style>
  <w:style w:type="paragraph" w:customStyle="1" w:styleId="24">
    <w:name w:val="Normal_17"/>
    <w:qFormat/>
    <w:uiPriority w:val="0"/>
    <w:pPr>
      <w:spacing w:before="120" w:after="240" w:line="440" w:lineRule="exact"/>
      <w:jc w:val="both"/>
    </w:pPr>
    <w:rPr>
      <w:rFonts w:asciiTheme="minorHAnsi" w:hAnsiTheme="minorHAnsi" w:eastAsiaTheme="minorEastAsia" w:cstheme="minorBidi"/>
      <w:kern w:val="2"/>
      <w:sz w:val="22"/>
      <w:szCs w:val="22"/>
      <w:lang w:val="en-US" w:eastAsia="en-US" w:bidi="ar-SA"/>
    </w:rPr>
  </w:style>
  <w:style w:type="paragraph" w:styleId="25">
    <w:name w:val="No Spacing"/>
    <w:qFormat/>
    <w:uiPriority w:val="1"/>
    <w:pPr>
      <w:widowControl w:val="0"/>
      <w:spacing w:line="440" w:lineRule="exact"/>
      <w:jc w:val="both"/>
    </w:pPr>
    <w:rPr>
      <w:rFonts w:asciiTheme="minorHAnsi" w:hAnsiTheme="minorHAnsi" w:eastAsiaTheme="minorEastAsia" w:cstheme="minorBidi"/>
      <w:kern w:val="2"/>
      <w:sz w:val="21"/>
      <w:szCs w:val="22"/>
      <w:lang w:val="en-US" w:eastAsia="zh-CN" w:bidi="ar-SA"/>
    </w:rPr>
  </w:style>
  <w:style w:type="character" w:customStyle="1" w:styleId="26">
    <w:name w:val="批注框文本 Char"/>
    <w:basedOn w:val="12"/>
    <w:link w:val="3"/>
    <w:semiHidden/>
    <w:qFormat/>
    <w:uiPriority w:val="99"/>
    <w:rPr>
      <w:sz w:val="18"/>
      <w:szCs w:val="18"/>
    </w:rPr>
  </w:style>
  <w:style w:type="character" w:customStyle="1" w:styleId="27">
    <w:name w:val="批注主题 Char"/>
    <w:basedOn w:val="19"/>
    <w:link w:val="9"/>
    <w:semiHidden/>
    <w:qFormat/>
    <w:uiPriority w:val="99"/>
    <w:rPr>
      <w:rFonts w:ascii="Times New Roman" w:hAnsi="Times New Roman" w:eastAsia="宋体" w:cs="Times New Roman"/>
      <w:b/>
      <w:bCs/>
      <w:sz w:val="18"/>
      <w:szCs w:val="18"/>
    </w:rPr>
  </w:style>
  <w:style w:type="character" w:customStyle="1" w:styleId="28">
    <w:name w:val="页眉 Char"/>
    <w:basedOn w:val="12"/>
    <w:link w:val="5"/>
    <w:qFormat/>
    <w:uiPriority w:val="99"/>
    <w:rPr>
      <w:sz w:val="18"/>
      <w:szCs w:val="18"/>
    </w:rPr>
  </w:style>
  <w:style w:type="character" w:customStyle="1" w:styleId="29">
    <w:name w:val="页脚 Char"/>
    <w:basedOn w:val="12"/>
    <w:link w:val="4"/>
    <w:qFormat/>
    <w:uiPriority w:val="99"/>
    <w:rPr>
      <w:sz w:val="18"/>
      <w:szCs w:val="18"/>
    </w:rPr>
  </w:style>
  <w:style w:type="table" w:customStyle="1" w:styleId="30">
    <w:name w:val="网格型51"/>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1">
    <w:name w:val="修订1"/>
    <w:hidden/>
    <w:semiHidden/>
    <w:qFormat/>
    <w:uiPriority w:val="99"/>
    <w:pPr>
      <w:spacing w:line="440" w:lineRule="exact"/>
      <w:jc w:val="both"/>
    </w:pPr>
    <w:rPr>
      <w:rFonts w:asciiTheme="minorHAnsi" w:hAnsiTheme="minorHAnsi" w:eastAsiaTheme="minorEastAsia" w:cstheme="minorBidi"/>
      <w:kern w:val="2"/>
      <w:sz w:val="21"/>
      <w:szCs w:val="22"/>
      <w:lang w:val="en-US" w:eastAsia="zh-CN" w:bidi="ar-SA"/>
    </w:rPr>
  </w:style>
  <w:style w:type="character" w:customStyle="1" w:styleId="32">
    <w:name w:val="批注文字 Char1"/>
    <w:qFormat/>
    <w:locked/>
    <w:uiPriority w:val="99"/>
    <w:rPr>
      <w:rFonts w:ascii="Times New Roman" w:hAnsi="Times New Roman" w:eastAsia="宋体"/>
      <w:sz w:val="18"/>
    </w:rPr>
  </w:style>
  <w:style w:type="character" w:customStyle="1" w:styleId="33">
    <w:name w:val="标题 Char"/>
    <w:basedOn w:val="12"/>
    <w:link w:val="8"/>
    <w:qFormat/>
    <w:uiPriority w:val="99"/>
    <w:rPr>
      <w:rFonts w:ascii="Times New Roman" w:hAnsi="Times New Roman" w:eastAsia="宋体" w:cs="Times New Roman"/>
      <w:b/>
      <w:bCs/>
      <w:kern w:val="32"/>
      <w:sz w:val="32"/>
      <w:szCs w:val="32"/>
    </w:rPr>
  </w:style>
  <w:style w:type="character" w:customStyle="1" w:styleId="34">
    <w:name w:val="脚注文本 Char"/>
    <w:basedOn w:val="12"/>
    <w:link w:val="6"/>
    <w:semiHidden/>
    <w:qFormat/>
    <w:uiPriority w:val="99"/>
    <w:rPr>
      <w:sz w:val="18"/>
      <w:szCs w:val="18"/>
    </w:rPr>
  </w:style>
  <w:style w:type="character" w:customStyle="1" w:styleId="35">
    <w:name w:val="批注文字 Char2"/>
    <w:qFormat/>
    <w:locked/>
    <w:uiPriority w:val="99"/>
    <w:rPr>
      <w:rFonts w:ascii="Times New Roman" w:hAnsi="Times New Roman" w:eastAsia="宋体"/>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C1F238-3275-4CDA-951F-2B53AD30878F}">
  <ds:schemaRefs/>
</ds:datastoreItem>
</file>

<file path=docProps/app.xml><?xml version="1.0" encoding="utf-8"?>
<Properties xmlns="http://schemas.openxmlformats.org/officeDocument/2006/extended-properties" xmlns:vt="http://schemas.openxmlformats.org/officeDocument/2006/docPropsVTypes">
  <Template>Normal</Template>
  <Pages>21</Pages>
  <Words>2531</Words>
  <Characters>14433</Characters>
  <Lines>120</Lines>
  <Paragraphs>33</Paragraphs>
  <TotalTime>0</TotalTime>
  <ScaleCrop>false</ScaleCrop>
  <LinksUpToDate>false</LinksUpToDate>
  <CharactersWithSpaces>16931</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2021-07-09T07:59:00Z</dcterms:created>
  <dc:creator>Windows 用户</dc:creator>
  <cp:lastModifiedBy>邹岩</cp:lastModifiedBy>
  <dcterms:modified xsi:type="dcterms:W3CDTF">2021-07-09T08:14:12Z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546DC5AE721F4BDB8932ACCCBD54BA2C</vt:lpwstr>
  </property>
</Properties>
</file>