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312" w:lineRule="auto"/>
        <w:jc w:val="both"/>
        <w:rPr>
          <w:rFonts w:ascii="Times New Roman" w:hAnsi="Times New Roman" w:cs="Times New Roman"/>
          <w:kern w:val="2"/>
          <w:sz w:val="21"/>
          <w:szCs w:val="21"/>
        </w:rPr>
      </w:pPr>
      <w:r>
        <w:rPr>
          <w:rFonts w:hint="eastAsia" w:ascii="Times New Roman" w:hAnsi="Times New Roman" w:cs="Times New Roman"/>
          <w:kern w:val="2"/>
          <w:sz w:val="21"/>
          <w:szCs w:val="21"/>
        </w:rPr>
        <w:t>证券代码：</w:t>
      </w:r>
      <w:r>
        <w:rPr>
          <w:rFonts w:ascii="Times New Roman" w:hAnsi="Times New Roman" w:cs="Times New Roman"/>
          <w:kern w:val="2"/>
          <w:sz w:val="21"/>
          <w:szCs w:val="21"/>
        </w:rPr>
        <w:t xml:space="preserve">603232               </w:t>
      </w:r>
      <w:r>
        <w:rPr>
          <w:rFonts w:hint="eastAsia" w:ascii="Times New Roman" w:hAnsi="Times New Roman" w:cs="Times New Roman"/>
          <w:kern w:val="2"/>
          <w:sz w:val="21"/>
          <w:szCs w:val="21"/>
        </w:rPr>
        <w:t>证券简称：格尔软件</w:t>
      </w:r>
      <w:r>
        <w:rPr>
          <w:rFonts w:ascii="Times New Roman" w:hAnsi="Times New Roman" w:cs="Times New Roman"/>
          <w:kern w:val="2"/>
          <w:sz w:val="21"/>
          <w:szCs w:val="21"/>
        </w:rPr>
        <w:t xml:space="preserve">            </w:t>
      </w:r>
      <w:r>
        <w:rPr>
          <w:rFonts w:hint="eastAsia" w:ascii="Times New Roman" w:hAnsi="Times New Roman" w:cs="Times New Roman"/>
          <w:kern w:val="2"/>
          <w:sz w:val="21"/>
          <w:szCs w:val="21"/>
        </w:rPr>
        <w:t>公告编号：</w:t>
      </w:r>
      <w:r>
        <w:rPr>
          <w:rFonts w:ascii="Times New Roman" w:hAnsi="Times New Roman" w:cs="Times New Roman"/>
          <w:kern w:val="2"/>
          <w:sz w:val="21"/>
          <w:szCs w:val="21"/>
        </w:rPr>
        <w:t>2022-055</w:t>
      </w:r>
    </w:p>
    <w:p>
      <w:pPr>
        <w:widowControl w:val="0"/>
        <w:autoSpaceDE w:val="0"/>
        <w:autoSpaceDN w:val="0"/>
        <w:adjustRightInd w:val="0"/>
        <w:spacing w:line="360" w:lineRule="auto"/>
        <w:rPr>
          <w:rFonts w:ascii="宋体" w:hAnsi="宋体" w:cs="宋体-WinCharSetFFFF-H"/>
          <w:color w:val="000000"/>
          <w:sz w:val="21"/>
          <w:szCs w:val="21"/>
        </w:rPr>
      </w:pP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关于2021年股票期权激励计划首次授予股票期权第一个行权期限制行权期间的提示性公告</w:t>
      </w:r>
    </w:p>
    <w:p>
      <w:pPr>
        <w:widowControl w:val="0"/>
        <w:autoSpaceDE w:val="0"/>
        <w:autoSpaceDN w:val="0"/>
        <w:adjustRightInd w:val="0"/>
        <w:spacing w:line="360" w:lineRule="auto"/>
        <w:jc w:val="center"/>
        <w:rPr>
          <w:rFonts w:ascii="宋体" w:hAnsi="宋体" w:cs="宋体-WinCharSetFFFF-H"/>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rPr>
      </w:pPr>
      <w:r>
        <w:rPr>
          <w:rFonts w:hint="eastAsia" w:ascii="宋体" w:hAnsi="宋体"/>
        </w:rP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rFonts w:ascii="宋体" w:hAnsi="宋体" w:cs="宋体-WinCharSetFFFF-H"/>
          <w:highlight w:val="yellow"/>
        </w:rPr>
      </w:pPr>
    </w:p>
    <w:p>
      <w:pPr>
        <w:adjustRightInd w:val="0"/>
        <w:snapToGrid w:val="0"/>
        <w:spacing w:line="560" w:lineRule="exact"/>
        <w:ind w:firstLine="420"/>
        <w:jc w:val="both"/>
        <w:rPr>
          <w:shd w:val="clear" w:color="auto" w:fill="FFFFFF"/>
        </w:rPr>
      </w:pPr>
      <w:r>
        <w:rPr>
          <w:shd w:val="clear" w:color="auto" w:fill="FFFFFF"/>
        </w:rPr>
        <w:t>根据《上市公司股权激励管理办法》《上海证券交易所上市公司自律监管指南第2号—业务办理》及中国证券登记结算有限责任公司上海分公司关于股票期权自主行权的相关规定，并结合</w:t>
      </w:r>
      <w:r>
        <w:rPr>
          <w:rFonts w:hint="eastAsia"/>
          <w:shd w:val="clear" w:color="auto" w:fill="FFFFFF"/>
        </w:rPr>
        <w:t>格尔软件</w:t>
      </w:r>
      <w:r>
        <w:rPr>
          <w:shd w:val="clear" w:color="auto" w:fill="FFFFFF"/>
        </w:rPr>
        <w:t>股份有限公司（以下简称“公司”）2022年</w:t>
      </w:r>
      <w:r>
        <w:rPr>
          <w:rFonts w:hint="eastAsia"/>
          <w:shd w:val="clear" w:color="auto" w:fill="FFFFFF"/>
        </w:rPr>
        <w:t>第三季度</w:t>
      </w:r>
      <w:r>
        <w:rPr>
          <w:shd w:val="clear" w:color="auto" w:fill="FFFFFF"/>
        </w:rPr>
        <w:t>报告披露计划，现对公司2021年股票期权激励计划首次授予股票期权（以下简称</w:t>
      </w:r>
      <w:r>
        <w:rPr>
          <w:rFonts w:hint="eastAsia" w:ascii="宋体" w:hAnsi="宋体" w:eastAsia="宋体" w:cs="宋体"/>
          <w:shd w:val="clear" w:color="auto" w:fill="FFFFFF"/>
        </w:rPr>
        <w:t>“本次股票期权”</w:t>
      </w:r>
      <w:r>
        <w:rPr>
          <w:shd w:val="clear" w:color="auto" w:fill="FFFFFF"/>
        </w:rPr>
        <w:t>）第一个行权期限制行权期间（以下简称</w:t>
      </w:r>
      <w:r>
        <w:rPr>
          <w:rFonts w:hint="eastAsia" w:ascii="宋体" w:hAnsi="宋体" w:eastAsia="宋体" w:cs="宋体"/>
          <w:shd w:val="clear" w:color="auto" w:fill="FFFFFF"/>
        </w:rPr>
        <w:t>“本次限制行权期”</w:t>
      </w:r>
      <w:r>
        <w:rPr>
          <w:shd w:val="clear" w:color="auto" w:fill="FFFFFF"/>
        </w:rPr>
        <w:t>）公告如下：</w:t>
      </w:r>
    </w:p>
    <w:p>
      <w:pPr>
        <w:adjustRightInd w:val="0"/>
        <w:snapToGrid w:val="0"/>
        <w:spacing w:line="560" w:lineRule="exact"/>
        <w:ind w:firstLine="420"/>
        <w:jc w:val="both"/>
        <w:rPr>
          <w:shd w:val="clear" w:color="auto" w:fill="FFFFFF"/>
        </w:rPr>
      </w:pPr>
      <w:r>
        <w:rPr>
          <w:shd w:val="clear" w:color="auto" w:fill="FFFFFF"/>
        </w:rPr>
        <w:t>一、本次股票期权（期权代码：</w:t>
      </w:r>
      <w:r>
        <w:rPr>
          <w:rFonts w:hint="eastAsia" w:ascii="仿宋_GB2312" w:hAnsi="宋体" w:eastAsia="仿宋_GB2312" w:cs="宋体"/>
          <w:color w:val="000000"/>
          <w:szCs w:val="21"/>
        </w:rPr>
        <w:t>0000000776</w:t>
      </w:r>
      <w:r>
        <w:rPr>
          <w:shd w:val="clear" w:color="auto" w:fill="FFFFFF"/>
        </w:rPr>
        <w:t>）已于2022年9月</w:t>
      </w:r>
      <w:r>
        <w:rPr>
          <w:rFonts w:hint="eastAsia"/>
          <w:shd w:val="clear" w:color="auto" w:fill="FFFFFF"/>
        </w:rPr>
        <w:t>2</w:t>
      </w:r>
      <w:r>
        <w:rPr>
          <w:shd w:val="clear" w:color="auto" w:fill="FFFFFF"/>
        </w:rPr>
        <w:t>日进入第一个行权期，行权有效期为2022年</w:t>
      </w:r>
      <w:r>
        <w:rPr>
          <w:rFonts w:hint="eastAsia"/>
          <w:shd w:val="clear" w:color="auto" w:fill="FFFFFF"/>
        </w:rPr>
        <w:t>9</w:t>
      </w:r>
      <w:r>
        <w:rPr>
          <w:shd w:val="clear" w:color="auto" w:fill="FFFFFF"/>
        </w:rPr>
        <w:t>月2日至2023年</w:t>
      </w:r>
      <w:r>
        <w:rPr>
          <w:rFonts w:hint="eastAsia"/>
          <w:shd w:val="clear" w:color="auto" w:fill="FFFFFF"/>
        </w:rPr>
        <w:t>7</w:t>
      </w:r>
      <w:r>
        <w:rPr>
          <w:shd w:val="clear" w:color="auto" w:fill="FFFFFF"/>
        </w:rPr>
        <w:t>月</w:t>
      </w:r>
      <w:r>
        <w:rPr>
          <w:rFonts w:hint="eastAsia"/>
          <w:shd w:val="clear" w:color="auto" w:fill="FFFFFF"/>
        </w:rPr>
        <w:t>27</w:t>
      </w:r>
      <w:r>
        <w:rPr>
          <w:shd w:val="clear" w:color="auto" w:fill="FFFFFF"/>
        </w:rPr>
        <w:t>日。</w:t>
      </w:r>
    </w:p>
    <w:p>
      <w:pPr>
        <w:adjustRightInd w:val="0"/>
        <w:snapToGrid w:val="0"/>
        <w:spacing w:line="560" w:lineRule="exact"/>
        <w:ind w:firstLine="420"/>
        <w:rPr>
          <w:shd w:val="clear" w:color="auto" w:fill="FFFFFF"/>
        </w:rPr>
      </w:pPr>
      <w:r>
        <w:rPr>
          <w:shd w:val="clear" w:color="auto" w:fill="FFFFFF"/>
        </w:rPr>
        <w:t>二、本次限制行权期为2022年</w:t>
      </w:r>
      <w:r>
        <w:rPr>
          <w:rFonts w:hint="eastAsia"/>
          <w:shd w:val="clear" w:color="auto" w:fill="FFFFFF"/>
        </w:rPr>
        <w:t>10</w:t>
      </w:r>
      <w:r>
        <w:rPr>
          <w:shd w:val="clear" w:color="auto" w:fill="FFFFFF"/>
        </w:rPr>
        <w:t>月</w:t>
      </w:r>
      <w:r>
        <w:rPr>
          <w:rFonts w:hint="eastAsia"/>
          <w:shd w:val="clear" w:color="auto" w:fill="FFFFFF"/>
        </w:rPr>
        <w:t>16</w:t>
      </w:r>
      <w:r>
        <w:rPr>
          <w:shd w:val="clear" w:color="auto" w:fill="FFFFFF"/>
        </w:rPr>
        <w:t>日至2022年</w:t>
      </w:r>
      <w:r>
        <w:rPr>
          <w:rFonts w:hint="eastAsia"/>
          <w:shd w:val="clear" w:color="auto" w:fill="FFFFFF"/>
        </w:rPr>
        <w:t>10</w:t>
      </w:r>
      <w:r>
        <w:rPr>
          <w:shd w:val="clear" w:color="auto" w:fill="FFFFFF"/>
        </w:rPr>
        <w:t>月</w:t>
      </w:r>
      <w:r>
        <w:rPr>
          <w:rFonts w:hint="eastAsia"/>
          <w:shd w:val="clear" w:color="auto" w:fill="FFFFFF"/>
        </w:rPr>
        <w:t>25</w:t>
      </w:r>
      <w:r>
        <w:rPr>
          <w:shd w:val="clear" w:color="auto" w:fill="FFFFFF"/>
        </w:rPr>
        <w:t>日，在此期间全部激励对象将限制行权。</w:t>
      </w:r>
    </w:p>
    <w:p>
      <w:pPr>
        <w:adjustRightInd w:val="0"/>
        <w:snapToGrid w:val="0"/>
        <w:spacing w:line="560" w:lineRule="exact"/>
        <w:ind w:firstLine="420"/>
        <w:jc w:val="both"/>
        <w:rPr>
          <w:shd w:val="clear" w:color="auto" w:fill="FFFFFF"/>
        </w:rPr>
      </w:pPr>
      <w:r>
        <w:rPr>
          <w:shd w:val="clear" w:color="auto" w:fill="FFFFFF"/>
        </w:rPr>
        <w:t>三、公司将按照有关规定及时办理限制行权相关事宜。</w:t>
      </w:r>
    </w:p>
    <w:p>
      <w:pPr>
        <w:adjustRightInd w:val="0"/>
        <w:snapToGrid w:val="0"/>
        <w:spacing w:line="560" w:lineRule="exact"/>
        <w:jc w:val="both"/>
        <w:rPr>
          <w:shd w:val="clear" w:color="auto" w:fill="FFFFFF"/>
        </w:rPr>
      </w:pPr>
    </w:p>
    <w:p>
      <w:pPr>
        <w:snapToGrid w:val="0"/>
        <w:spacing w:line="360" w:lineRule="auto"/>
        <w:ind w:firstLine="460" w:firstLineChars="192"/>
        <w:jc w:val="both"/>
        <w:rPr>
          <w:rFonts w:eastAsiaTheme="minorEastAsia"/>
          <w:color w:val="000000"/>
        </w:rPr>
      </w:pPr>
      <w:r>
        <w:rPr>
          <w:rFonts w:eastAsiaTheme="minorEastAsia"/>
          <w:color w:val="000000"/>
        </w:rPr>
        <w:t>特此公告。</w:t>
      </w:r>
    </w:p>
    <w:p>
      <w:pPr>
        <w:snapToGrid w:val="0"/>
        <w:spacing w:line="360" w:lineRule="auto"/>
        <w:ind w:firstLine="460" w:firstLineChars="192"/>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pPr>
      <w:r>
        <w:rPr>
          <w:rFonts w:eastAsiaTheme="minorEastAsia"/>
        </w:rPr>
        <w:t>2022年</w:t>
      </w:r>
      <w:r>
        <w:rPr>
          <w:rFonts w:hint="eastAsia" w:eastAsiaTheme="minorEastAsia"/>
        </w:rPr>
        <w:t>10</w:t>
      </w:r>
      <w:r>
        <w:rPr>
          <w:rFonts w:eastAsiaTheme="minorEastAsia"/>
        </w:rPr>
        <w:t>月</w:t>
      </w:r>
      <w:r>
        <w:rPr>
          <w:rFonts w:hint="eastAsia" w:eastAsiaTheme="minorEastAsia"/>
          <w:lang w:val="en-US" w:eastAsia="zh-CN"/>
        </w:rPr>
        <w:t>11</w:t>
      </w:r>
      <w:bookmarkStart w:id="0" w:name="_GoBack"/>
      <w:bookmarkEnd w:id="0"/>
      <w:r>
        <w:rPr>
          <w:rFonts w:eastAsiaTheme="minorEastAsi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宋体-WinCharSetFFFF-H">
    <w:altName w:val="宋体"/>
    <w:panose1 w:val="00000000000000000000"/>
    <w:charset w:val="86"/>
    <w:family w:val="auto"/>
    <w:pitch w:val="default"/>
    <w:sig w:usb0="00000000" w:usb1="00000000" w:usb2="00000010" w:usb3="00000000" w:csb0="00040000" w:csb1="00000000"/>
  </w:font>
  <w:font w:name="黑体-WinCharSetFFFF-H">
    <w:altName w:val="黑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009C6E42"/>
    <w:rsid w:val="0001518A"/>
    <w:rsid w:val="00021C26"/>
    <w:rsid w:val="00022E62"/>
    <w:rsid w:val="00034C18"/>
    <w:rsid w:val="0006001C"/>
    <w:rsid w:val="00062682"/>
    <w:rsid w:val="000722A2"/>
    <w:rsid w:val="000805F0"/>
    <w:rsid w:val="000B2247"/>
    <w:rsid w:val="000B6613"/>
    <w:rsid w:val="000D159E"/>
    <w:rsid w:val="000D6DC1"/>
    <w:rsid w:val="000E2099"/>
    <w:rsid w:val="000E6472"/>
    <w:rsid w:val="000F28C0"/>
    <w:rsid w:val="00106FFA"/>
    <w:rsid w:val="00110697"/>
    <w:rsid w:val="00126977"/>
    <w:rsid w:val="0012771B"/>
    <w:rsid w:val="00131460"/>
    <w:rsid w:val="00133A94"/>
    <w:rsid w:val="001356CB"/>
    <w:rsid w:val="00163A3C"/>
    <w:rsid w:val="0017115E"/>
    <w:rsid w:val="00173872"/>
    <w:rsid w:val="00191EB6"/>
    <w:rsid w:val="001A13FD"/>
    <w:rsid w:val="001B313D"/>
    <w:rsid w:val="001C4072"/>
    <w:rsid w:val="001E14A7"/>
    <w:rsid w:val="001F1231"/>
    <w:rsid w:val="001F31B2"/>
    <w:rsid w:val="00201867"/>
    <w:rsid w:val="002115E2"/>
    <w:rsid w:val="00213E54"/>
    <w:rsid w:val="00214D08"/>
    <w:rsid w:val="00220129"/>
    <w:rsid w:val="00233B53"/>
    <w:rsid w:val="002447E5"/>
    <w:rsid w:val="00261677"/>
    <w:rsid w:val="002750E8"/>
    <w:rsid w:val="00284D3B"/>
    <w:rsid w:val="00290949"/>
    <w:rsid w:val="002C7394"/>
    <w:rsid w:val="002E0BC0"/>
    <w:rsid w:val="002F1D31"/>
    <w:rsid w:val="002F20A4"/>
    <w:rsid w:val="0030246F"/>
    <w:rsid w:val="003064A7"/>
    <w:rsid w:val="003168B3"/>
    <w:rsid w:val="00323A9D"/>
    <w:rsid w:val="00325A33"/>
    <w:rsid w:val="00332E22"/>
    <w:rsid w:val="00335674"/>
    <w:rsid w:val="003434F6"/>
    <w:rsid w:val="0037562B"/>
    <w:rsid w:val="003D0490"/>
    <w:rsid w:val="003E2EC3"/>
    <w:rsid w:val="003F4838"/>
    <w:rsid w:val="0043128F"/>
    <w:rsid w:val="00434C93"/>
    <w:rsid w:val="00441DB1"/>
    <w:rsid w:val="00456B3F"/>
    <w:rsid w:val="00457DAD"/>
    <w:rsid w:val="00462E44"/>
    <w:rsid w:val="00482B62"/>
    <w:rsid w:val="004A2F1B"/>
    <w:rsid w:val="004A51E2"/>
    <w:rsid w:val="004D3047"/>
    <w:rsid w:val="004E19B2"/>
    <w:rsid w:val="004F5440"/>
    <w:rsid w:val="00512621"/>
    <w:rsid w:val="005143EC"/>
    <w:rsid w:val="00536953"/>
    <w:rsid w:val="005411D1"/>
    <w:rsid w:val="00541CB7"/>
    <w:rsid w:val="0056507B"/>
    <w:rsid w:val="0057109C"/>
    <w:rsid w:val="00581AA0"/>
    <w:rsid w:val="00582E21"/>
    <w:rsid w:val="005843C8"/>
    <w:rsid w:val="0059046A"/>
    <w:rsid w:val="005B2138"/>
    <w:rsid w:val="005C37FF"/>
    <w:rsid w:val="005C5EB6"/>
    <w:rsid w:val="005C6518"/>
    <w:rsid w:val="00607864"/>
    <w:rsid w:val="00616A3F"/>
    <w:rsid w:val="0064491F"/>
    <w:rsid w:val="0067142C"/>
    <w:rsid w:val="00674272"/>
    <w:rsid w:val="006919FF"/>
    <w:rsid w:val="006A269B"/>
    <w:rsid w:val="006B1EBD"/>
    <w:rsid w:val="006C6417"/>
    <w:rsid w:val="006C6B4D"/>
    <w:rsid w:val="006E72E7"/>
    <w:rsid w:val="00703D83"/>
    <w:rsid w:val="00732C0F"/>
    <w:rsid w:val="0075001C"/>
    <w:rsid w:val="0075122B"/>
    <w:rsid w:val="00755D25"/>
    <w:rsid w:val="007778CE"/>
    <w:rsid w:val="00781184"/>
    <w:rsid w:val="00782594"/>
    <w:rsid w:val="00791B8D"/>
    <w:rsid w:val="007D3A51"/>
    <w:rsid w:val="007E1209"/>
    <w:rsid w:val="007E26DA"/>
    <w:rsid w:val="007E30FE"/>
    <w:rsid w:val="007F4B01"/>
    <w:rsid w:val="007F69D0"/>
    <w:rsid w:val="00861A8E"/>
    <w:rsid w:val="008709AC"/>
    <w:rsid w:val="008716AE"/>
    <w:rsid w:val="00891777"/>
    <w:rsid w:val="008A4360"/>
    <w:rsid w:val="008B09DA"/>
    <w:rsid w:val="008C3BC7"/>
    <w:rsid w:val="008C42D1"/>
    <w:rsid w:val="008D3158"/>
    <w:rsid w:val="008D7D5F"/>
    <w:rsid w:val="008E450B"/>
    <w:rsid w:val="008F4B5B"/>
    <w:rsid w:val="00923A69"/>
    <w:rsid w:val="00940A25"/>
    <w:rsid w:val="00961C0E"/>
    <w:rsid w:val="0096659B"/>
    <w:rsid w:val="00970B7D"/>
    <w:rsid w:val="009716E5"/>
    <w:rsid w:val="009A6108"/>
    <w:rsid w:val="009B3919"/>
    <w:rsid w:val="009C6E42"/>
    <w:rsid w:val="009D490D"/>
    <w:rsid w:val="00A047DF"/>
    <w:rsid w:val="00A1415E"/>
    <w:rsid w:val="00A41FFE"/>
    <w:rsid w:val="00A61F00"/>
    <w:rsid w:val="00A62962"/>
    <w:rsid w:val="00A71C97"/>
    <w:rsid w:val="00A72368"/>
    <w:rsid w:val="00A9390F"/>
    <w:rsid w:val="00A96597"/>
    <w:rsid w:val="00AC4A33"/>
    <w:rsid w:val="00AD7B8B"/>
    <w:rsid w:val="00B02BC2"/>
    <w:rsid w:val="00B10425"/>
    <w:rsid w:val="00B153C5"/>
    <w:rsid w:val="00B22C1A"/>
    <w:rsid w:val="00B27DBC"/>
    <w:rsid w:val="00B77B90"/>
    <w:rsid w:val="00B8509F"/>
    <w:rsid w:val="00B90A28"/>
    <w:rsid w:val="00B91097"/>
    <w:rsid w:val="00B9474F"/>
    <w:rsid w:val="00B94DF3"/>
    <w:rsid w:val="00B95149"/>
    <w:rsid w:val="00BC13B0"/>
    <w:rsid w:val="00BD2941"/>
    <w:rsid w:val="00BE539C"/>
    <w:rsid w:val="00BF62EF"/>
    <w:rsid w:val="00C00B3E"/>
    <w:rsid w:val="00C55A63"/>
    <w:rsid w:val="00C569F2"/>
    <w:rsid w:val="00C65383"/>
    <w:rsid w:val="00C85161"/>
    <w:rsid w:val="00C90D3C"/>
    <w:rsid w:val="00C970BB"/>
    <w:rsid w:val="00CA0083"/>
    <w:rsid w:val="00CD17CF"/>
    <w:rsid w:val="00CE13E7"/>
    <w:rsid w:val="00D07CD5"/>
    <w:rsid w:val="00D07DCA"/>
    <w:rsid w:val="00D207A5"/>
    <w:rsid w:val="00D23697"/>
    <w:rsid w:val="00D27792"/>
    <w:rsid w:val="00D30C51"/>
    <w:rsid w:val="00D370E0"/>
    <w:rsid w:val="00D45446"/>
    <w:rsid w:val="00D53CA9"/>
    <w:rsid w:val="00D64105"/>
    <w:rsid w:val="00D657AB"/>
    <w:rsid w:val="00D810EE"/>
    <w:rsid w:val="00D92124"/>
    <w:rsid w:val="00DA06E2"/>
    <w:rsid w:val="00DB096A"/>
    <w:rsid w:val="00DB75CF"/>
    <w:rsid w:val="00DC2022"/>
    <w:rsid w:val="00DC6AA1"/>
    <w:rsid w:val="00DE1453"/>
    <w:rsid w:val="00DE3EDD"/>
    <w:rsid w:val="00E1611E"/>
    <w:rsid w:val="00E21F93"/>
    <w:rsid w:val="00E33166"/>
    <w:rsid w:val="00E36290"/>
    <w:rsid w:val="00E44B3A"/>
    <w:rsid w:val="00E638CE"/>
    <w:rsid w:val="00E82A9E"/>
    <w:rsid w:val="00EA31D3"/>
    <w:rsid w:val="00EA7340"/>
    <w:rsid w:val="00EB25E7"/>
    <w:rsid w:val="00ED7676"/>
    <w:rsid w:val="00EF053F"/>
    <w:rsid w:val="00F0408C"/>
    <w:rsid w:val="00F10FE9"/>
    <w:rsid w:val="00F12600"/>
    <w:rsid w:val="00F22ADD"/>
    <w:rsid w:val="00F43499"/>
    <w:rsid w:val="00F47089"/>
    <w:rsid w:val="00F65091"/>
    <w:rsid w:val="00FB2AC6"/>
    <w:rsid w:val="00FB4734"/>
    <w:rsid w:val="00FB6F73"/>
    <w:rsid w:val="00FB79A2"/>
    <w:rsid w:val="00FC0663"/>
    <w:rsid w:val="00FD1530"/>
    <w:rsid w:val="00FD3001"/>
    <w:rsid w:val="00FE47EA"/>
    <w:rsid w:val="00FF2439"/>
    <w:rsid w:val="00FF49AD"/>
    <w:rsid w:val="011F4360"/>
    <w:rsid w:val="01E3316A"/>
    <w:rsid w:val="02214FC3"/>
    <w:rsid w:val="02B95212"/>
    <w:rsid w:val="04383D88"/>
    <w:rsid w:val="06C44988"/>
    <w:rsid w:val="073D3EE8"/>
    <w:rsid w:val="092822A5"/>
    <w:rsid w:val="0AC67B39"/>
    <w:rsid w:val="0B100CAC"/>
    <w:rsid w:val="0C1D2426"/>
    <w:rsid w:val="0C490DA4"/>
    <w:rsid w:val="0C6A5DF9"/>
    <w:rsid w:val="0CA3523B"/>
    <w:rsid w:val="0DC21D96"/>
    <w:rsid w:val="0E41082D"/>
    <w:rsid w:val="0ED830F1"/>
    <w:rsid w:val="0F851FF3"/>
    <w:rsid w:val="102B4305"/>
    <w:rsid w:val="10597E57"/>
    <w:rsid w:val="117F52E5"/>
    <w:rsid w:val="13143F34"/>
    <w:rsid w:val="18580A65"/>
    <w:rsid w:val="1AAE6AF0"/>
    <w:rsid w:val="1B037CDD"/>
    <w:rsid w:val="1D093BE7"/>
    <w:rsid w:val="1F20370F"/>
    <w:rsid w:val="21597A58"/>
    <w:rsid w:val="216A1B8D"/>
    <w:rsid w:val="21ED770F"/>
    <w:rsid w:val="224462EA"/>
    <w:rsid w:val="22FE2970"/>
    <w:rsid w:val="232D64B7"/>
    <w:rsid w:val="234447AB"/>
    <w:rsid w:val="23CF0795"/>
    <w:rsid w:val="24C108AD"/>
    <w:rsid w:val="25483E3A"/>
    <w:rsid w:val="26950971"/>
    <w:rsid w:val="2859184C"/>
    <w:rsid w:val="28A90D4C"/>
    <w:rsid w:val="2A1022F5"/>
    <w:rsid w:val="2A1E425C"/>
    <w:rsid w:val="2BEA0F44"/>
    <w:rsid w:val="2C4F2AD7"/>
    <w:rsid w:val="2CC8097D"/>
    <w:rsid w:val="2E227416"/>
    <w:rsid w:val="2EF01BE2"/>
    <w:rsid w:val="2F8751FB"/>
    <w:rsid w:val="2FD327D9"/>
    <w:rsid w:val="2FD94771"/>
    <w:rsid w:val="30411E87"/>
    <w:rsid w:val="32654859"/>
    <w:rsid w:val="32BA5BD3"/>
    <w:rsid w:val="331A4B9F"/>
    <w:rsid w:val="33E653E8"/>
    <w:rsid w:val="37092B3E"/>
    <w:rsid w:val="38D26630"/>
    <w:rsid w:val="3B277FFC"/>
    <w:rsid w:val="3D356685"/>
    <w:rsid w:val="3E920F0F"/>
    <w:rsid w:val="3FB222DC"/>
    <w:rsid w:val="407E0AA8"/>
    <w:rsid w:val="416C38DF"/>
    <w:rsid w:val="41A12AA1"/>
    <w:rsid w:val="423A0886"/>
    <w:rsid w:val="436B7FDA"/>
    <w:rsid w:val="44064FCD"/>
    <w:rsid w:val="44C7795C"/>
    <w:rsid w:val="45316EFE"/>
    <w:rsid w:val="4532027A"/>
    <w:rsid w:val="45B253A3"/>
    <w:rsid w:val="46092479"/>
    <w:rsid w:val="467C66C9"/>
    <w:rsid w:val="47FE7124"/>
    <w:rsid w:val="490876A7"/>
    <w:rsid w:val="496A4CD3"/>
    <w:rsid w:val="49B86908"/>
    <w:rsid w:val="49E12C87"/>
    <w:rsid w:val="4A172A4E"/>
    <w:rsid w:val="4B3D59C8"/>
    <w:rsid w:val="4BF70D33"/>
    <w:rsid w:val="4DA62092"/>
    <w:rsid w:val="4EF4496D"/>
    <w:rsid w:val="4F486310"/>
    <w:rsid w:val="507024A0"/>
    <w:rsid w:val="557030FD"/>
    <w:rsid w:val="56E22B76"/>
    <w:rsid w:val="56EF4352"/>
    <w:rsid w:val="58556BFC"/>
    <w:rsid w:val="5A070C42"/>
    <w:rsid w:val="5A150BDD"/>
    <w:rsid w:val="5A7E1718"/>
    <w:rsid w:val="5AF87FEB"/>
    <w:rsid w:val="5B4F7984"/>
    <w:rsid w:val="5C332A84"/>
    <w:rsid w:val="5CFC0A5F"/>
    <w:rsid w:val="5E8F65BA"/>
    <w:rsid w:val="5EBD29C7"/>
    <w:rsid w:val="607E7678"/>
    <w:rsid w:val="621857A8"/>
    <w:rsid w:val="662034EA"/>
    <w:rsid w:val="663049B1"/>
    <w:rsid w:val="66720B4E"/>
    <w:rsid w:val="67596B94"/>
    <w:rsid w:val="684E0A93"/>
    <w:rsid w:val="69411A88"/>
    <w:rsid w:val="6A0D0B87"/>
    <w:rsid w:val="6AB54AA0"/>
    <w:rsid w:val="6EAC4C03"/>
    <w:rsid w:val="70285E66"/>
    <w:rsid w:val="70765533"/>
    <w:rsid w:val="713B55CA"/>
    <w:rsid w:val="722B71FD"/>
    <w:rsid w:val="73B86637"/>
    <w:rsid w:val="74D35AD8"/>
    <w:rsid w:val="75D352C7"/>
    <w:rsid w:val="76F7441A"/>
    <w:rsid w:val="773430B1"/>
    <w:rsid w:val="7742482B"/>
    <w:rsid w:val="77781FC6"/>
    <w:rsid w:val="78975E90"/>
    <w:rsid w:val="7BC552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2"/>
    <w:semiHidden/>
    <w:unhideWhenUsed/>
    <w:qFormat/>
    <w:uiPriority w:val="99"/>
    <w:rPr>
      <w:rFonts w:ascii="宋体"/>
      <w:sz w:val="18"/>
      <w:szCs w:val="18"/>
    </w:rPr>
  </w:style>
  <w:style w:type="paragraph" w:styleId="3">
    <w:name w:val="annotation text"/>
    <w:basedOn w:val="1"/>
    <w:link w:val="24"/>
    <w:semiHidden/>
    <w:unhideWhenUsed/>
    <w:qFormat/>
    <w:uiPriority w:val="99"/>
  </w:style>
  <w:style w:type="paragraph" w:styleId="4">
    <w:name w:val="Date"/>
    <w:basedOn w:val="1"/>
    <w:next w:val="1"/>
    <w:link w:val="19"/>
    <w:semiHidden/>
    <w:unhideWhenUsed/>
    <w:qFormat/>
    <w:uiPriority w:val="99"/>
    <w:pPr>
      <w:ind w:left="100" w:leftChars="2500"/>
    </w:pPr>
  </w:style>
  <w:style w:type="paragraph" w:styleId="5">
    <w:name w:val="Balloon Text"/>
    <w:basedOn w:val="1"/>
    <w:link w:val="27"/>
    <w:semiHidden/>
    <w:unhideWhenUsed/>
    <w:qFormat/>
    <w:uiPriority w:val="99"/>
    <w:rPr>
      <w:sz w:val="18"/>
      <w:szCs w:val="18"/>
    </w:rPr>
  </w:style>
  <w:style w:type="paragraph" w:styleId="6">
    <w:name w:val="footer"/>
    <w:basedOn w:val="1"/>
    <w:link w:val="21"/>
    <w:unhideWhenUsed/>
    <w:qFormat/>
    <w:uiPriority w:val="99"/>
    <w:pPr>
      <w:tabs>
        <w:tab w:val="center" w:pos="4153"/>
        <w:tab w:val="right" w:pos="8306"/>
      </w:tabs>
      <w:snapToGrid w:val="0"/>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pPr>
  </w:style>
  <w:style w:type="paragraph" w:styleId="9">
    <w:name w:val="annotation subject"/>
    <w:basedOn w:val="3"/>
    <w:next w:val="3"/>
    <w:link w:val="25"/>
    <w:semiHidden/>
    <w:unhideWhenUsed/>
    <w:qFormat/>
    <w:uiPriority w:val="99"/>
    <w:rPr>
      <w:b/>
      <w:bCs/>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qFormat/>
    <w:uiPriority w:val="0"/>
    <w:rPr>
      <w:color w:val="0000FF"/>
      <w:u w:val="single"/>
    </w:rPr>
  </w:style>
  <w:style w:type="character" w:styleId="15">
    <w:name w:val="annotation reference"/>
    <w:basedOn w:val="12"/>
    <w:semiHidden/>
    <w:unhideWhenUsed/>
    <w:qFormat/>
    <w:uiPriority w:val="99"/>
    <w:rPr>
      <w:sz w:val="21"/>
      <w:szCs w:val="21"/>
    </w:rPr>
  </w:style>
  <w:style w:type="paragraph" w:customStyle="1" w:styleId="16">
    <w:name w:val="Default"/>
    <w:link w:val="17"/>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7">
    <w:name w:val="Default Char"/>
    <w:link w:val="16"/>
    <w:qFormat/>
    <w:uiPriority w:val="0"/>
    <w:rPr>
      <w:rFonts w:ascii="楷体_GB2312" w:hAnsi="Times New Roman" w:eastAsia="楷体_GB2312" w:cs="Times New Roman"/>
      <w:color w:val="000000"/>
      <w:kern w:val="0"/>
      <w:sz w:val="24"/>
      <w:szCs w:val="24"/>
    </w:rPr>
  </w:style>
  <w:style w:type="paragraph" w:styleId="18">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19">
    <w:name w:val="日期 字符"/>
    <w:basedOn w:val="12"/>
    <w:link w:val="4"/>
    <w:semiHidden/>
    <w:qFormat/>
    <w:uiPriority w:val="99"/>
    <w:rPr>
      <w:rFonts w:ascii="Times New Roman" w:hAnsi="Times New Roman" w:eastAsia="宋体" w:cs="Times New Roman"/>
      <w:kern w:val="0"/>
      <w:sz w:val="24"/>
      <w:szCs w:val="24"/>
    </w:rPr>
  </w:style>
  <w:style w:type="character" w:customStyle="1" w:styleId="20">
    <w:name w:val="页眉 字符"/>
    <w:basedOn w:val="12"/>
    <w:link w:val="7"/>
    <w:qFormat/>
    <w:uiPriority w:val="99"/>
    <w:rPr>
      <w:rFonts w:ascii="Times New Roman" w:hAnsi="Times New Roman" w:eastAsia="宋体" w:cs="Times New Roman"/>
      <w:kern w:val="0"/>
      <w:sz w:val="18"/>
      <w:szCs w:val="18"/>
    </w:rPr>
  </w:style>
  <w:style w:type="character" w:customStyle="1" w:styleId="21">
    <w:name w:val="页脚 字符"/>
    <w:basedOn w:val="12"/>
    <w:link w:val="6"/>
    <w:qFormat/>
    <w:uiPriority w:val="99"/>
    <w:rPr>
      <w:rFonts w:ascii="Times New Roman" w:hAnsi="Times New Roman" w:eastAsia="宋体" w:cs="Times New Roman"/>
      <w:kern w:val="0"/>
      <w:sz w:val="18"/>
      <w:szCs w:val="18"/>
    </w:rPr>
  </w:style>
  <w:style w:type="character" w:customStyle="1" w:styleId="22">
    <w:name w:val="文档结构图 字符"/>
    <w:basedOn w:val="12"/>
    <w:link w:val="2"/>
    <w:semiHidden/>
    <w:qFormat/>
    <w:uiPriority w:val="99"/>
    <w:rPr>
      <w:rFonts w:ascii="宋体" w:hAnsi="Times New Roman" w:eastAsia="宋体" w:cs="Times New Roman"/>
      <w:kern w:val="0"/>
      <w:sz w:val="18"/>
      <w:szCs w:val="18"/>
    </w:rPr>
  </w:style>
  <w:style w:type="paragraph" w:customStyle="1" w:styleId="23">
    <w:name w:val="修订1"/>
    <w:hidden/>
    <w:semiHidden/>
    <w:qFormat/>
    <w:uiPriority w:val="99"/>
    <w:rPr>
      <w:rFonts w:ascii="Times New Roman" w:hAnsi="Times New Roman" w:eastAsia="宋体" w:cs="Times New Roman"/>
      <w:sz w:val="24"/>
      <w:szCs w:val="24"/>
      <w:lang w:val="en-US" w:eastAsia="zh-CN" w:bidi="ar-SA"/>
    </w:rPr>
  </w:style>
  <w:style w:type="character" w:customStyle="1" w:styleId="24">
    <w:name w:val="批注文字 字符"/>
    <w:basedOn w:val="12"/>
    <w:link w:val="3"/>
    <w:semiHidden/>
    <w:qFormat/>
    <w:uiPriority w:val="99"/>
    <w:rPr>
      <w:rFonts w:ascii="Times New Roman" w:hAnsi="Times New Roman" w:eastAsia="宋体" w:cs="Times New Roman"/>
      <w:sz w:val="24"/>
      <w:szCs w:val="24"/>
    </w:rPr>
  </w:style>
  <w:style w:type="character" w:customStyle="1" w:styleId="25">
    <w:name w:val="批注主题 字符"/>
    <w:basedOn w:val="24"/>
    <w:link w:val="9"/>
    <w:semiHidden/>
    <w:qFormat/>
    <w:uiPriority w:val="99"/>
    <w:rPr>
      <w:rFonts w:ascii="Times New Roman" w:hAnsi="Times New Roman" w:eastAsia="宋体" w:cs="Times New Roman"/>
      <w:b/>
      <w:bCs/>
      <w:sz w:val="24"/>
      <w:szCs w:val="24"/>
    </w:rPr>
  </w:style>
  <w:style w:type="paragraph" w:customStyle="1" w:styleId="26">
    <w:name w:val="修订2"/>
    <w:hidden/>
    <w:semiHidden/>
    <w:qFormat/>
    <w:uiPriority w:val="99"/>
    <w:rPr>
      <w:rFonts w:ascii="Times New Roman" w:hAnsi="Times New Roman" w:eastAsia="宋体" w:cs="Times New Roman"/>
      <w:sz w:val="24"/>
      <w:szCs w:val="24"/>
      <w:lang w:val="en-US" w:eastAsia="zh-CN" w:bidi="ar-SA"/>
    </w:rPr>
  </w:style>
  <w:style w:type="character" w:customStyle="1" w:styleId="27">
    <w:name w:val="批注框文本 字符"/>
    <w:basedOn w:val="12"/>
    <w:link w:val="5"/>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2D8B6-FC97-4C89-8F2E-100ABEB18B35}">
  <ds:schemaRefs/>
</ds:datastoreItem>
</file>

<file path=docProps/app.xml><?xml version="1.0" encoding="utf-8"?>
<Properties xmlns="http://schemas.openxmlformats.org/officeDocument/2006/extended-properties" xmlns:vt="http://schemas.openxmlformats.org/officeDocument/2006/docPropsVTypes">
  <Template>Normal</Template>
  <Pages>1</Pages>
  <Words>88</Words>
  <Characters>507</Characters>
  <Lines>4</Lines>
  <Paragraphs>1</Paragraphs>
  <TotalTime>0</TotalTime>
  <ScaleCrop>false</ScaleCrop>
  <LinksUpToDate>false</LinksUpToDate>
  <CharactersWithSpaces>594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2022-10-08T06:59:00Z</dcterms:created>
  <dc:creator>admin</dc:creator>
  <cp:lastModifiedBy>suuuu</cp:lastModifiedBy>
  <cp:lastPrinted>2019-06-12T08:48:00Z</cp:lastPrinted>
  <dcterms:modified xsi:type="dcterms:W3CDTF">2022-10-10T02:04:46Z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ABB907681CAC4A2591A334CCFA2ECDA7</vt:lpwstr>
  </property>
</Properties>
</file>