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eastAsia="宋体"/>
          <w:szCs w:val="21"/>
          <w:lang w:val="en-US" w:eastAsia="zh-CN"/>
        </w:rPr>
      </w:pPr>
      <w:r>
        <w:rPr>
          <w:szCs w:val="21"/>
        </w:rPr>
        <w:t xml:space="preserve">证券代码：603232              证券简称：格尔软件    </w:t>
      </w:r>
      <w:r>
        <w:rPr>
          <w:rFonts w:hint="eastAsia"/>
          <w:szCs w:val="21"/>
          <w:lang w:val="en-US" w:eastAsia="zh-CN"/>
        </w:rPr>
        <w:t xml:space="preserve"> </w:t>
      </w:r>
      <w:r>
        <w:rPr>
          <w:szCs w:val="21"/>
        </w:rPr>
        <w:t xml:space="preserve">        公告编号：202</w:t>
      </w:r>
      <w:r>
        <w:rPr>
          <w:rFonts w:hint="eastAsia"/>
          <w:szCs w:val="21"/>
          <w:lang w:val="en-US" w:eastAsia="zh-CN"/>
        </w:rPr>
        <w:t>2</w:t>
      </w:r>
      <w:r>
        <w:rPr>
          <w:szCs w:val="21"/>
          <w:highlight w:val="none"/>
        </w:rPr>
        <w:t>-</w:t>
      </w:r>
      <w:r>
        <w:rPr>
          <w:rFonts w:hint="eastAsia"/>
          <w:szCs w:val="21"/>
          <w:highlight w:val="none"/>
          <w:lang w:val="en-US" w:eastAsia="zh-CN"/>
        </w:rPr>
        <w:t>021</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本公司董事会及全体董事保证本公告内容不存在任何虚假记载、误导性陈述或者重大遗漏，并对其内容的真实性、准确性和完整性承担个别及连带责任。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rPr>
      </w:pPr>
      <w:r>
        <w:rPr>
          <w:rFonts w:hint="eastAsia" w:asciiTheme="minorEastAsia" w:hAnsiTheme="minorEastAsia" w:eastAsiaTheme="minorEastAsia"/>
          <w:b/>
          <w:sz w:val="24"/>
          <w:szCs w:val="24"/>
        </w:rPr>
        <w:t>重要内容提示：</w:t>
      </w:r>
    </w:p>
    <w:p>
      <w:pPr>
        <w:keepNext w:val="0"/>
        <w:keepLines w:val="0"/>
        <w:widowControl/>
        <w:numPr>
          <w:ilvl w:val="0"/>
          <w:numId w:val="1"/>
        </w:numPr>
        <w:suppressLineNumbers w:val="0"/>
        <w:spacing w:line="360" w:lineRule="auto"/>
        <w:ind w:left="420" w:leftChars="0" w:hanging="420" w:firstLineChars="0"/>
        <w:jc w:val="left"/>
        <w:rPr>
          <w:rFonts w:eastAsiaTheme="minorEastAsia"/>
          <w:color w:val="000000"/>
          <w:kern w:val="0"/>
          <w:sz w:val="24"/>
          <w:szCs w:val="24"/>
          <w:highlight w:val="none"/>
          <w:lang w:bidi="ar"/>
        </w:rPr>
      </w:pPr>
      <w:r>
        <w:rPr>
          <w:rFonts w:hint="eastAsia" w:asciiTheme="minorEastAsia" w:hAnsiTheme="minorEastAsia" w:eastAsiaTheme="minorEastAsia" w:cstheme="minorEastAsia"/>
          <w:color w:val="000000"/>
          <w:kern w:val="0"/>
          <w:sz w:val="24"/>
          <w:szCs w:val="24"/>
          <w:highlight w:val="none"/>
          <w:lang w:bidi="ar"/>
        </w:rPr>
        <w:t>委托理财受托方：</w:t>
      </w:r>
      <w:r>
        <w:rPr>
          <w:rFonts w:hint="eastAsia" w:eastAsiaTheme="minorEastAsia"/>
          <w:color w:val="000000"/>
          <w:kern w:val="0"/>
          <w:sz w:val="24"/>
          <w:szCs w:val="24"/>
          <w:highlight w:val="none"/>
          <w:lang w:val="en-US" w:eastAsia="zh-CN" w:bidi="ar"/>
        </w:rPr>
        <w:t>中国民生银行股份有限公司</w:t>
      </w:r>
      <w:r>
        <w:rPr>
          <w:rFonts w:eastAsiaTheme="minorEastAsia"/>
          <w:color w:val="000000"/>
          <w:kern w:val="0"/>
          <w:sz w:val="24"/>
          <w:szCs w:val="24"/>
          <w:highlight w:val="none"/>
          <w:lang w:bidi="ar"/>
        </w:rPr>
        <w:t>（以下简称</w:t>
      </w:r>
      <w:r>
        <w:rPr>
          <w:rFonts w:hint="eastAsia" w:eastAsiaTheme="minorEastAsia"/>
          <w:color w:val="000000"/>
          <w:kern w:val="0"/>
          <w:sz w:val="24"/>
          <w:szCs w:val="24"/>
          <w:highlight w:val="none"/>
          <w:lang w:eastAsia="zh-CN" w:bidi="ar"/>
        </w:rPr>
        <w:t>“</w:t>
      </w:r>
      <w:r>
        <w:rPr>
          <w:rFonts w:hint="eastAsia" w:eastAsiaTheme="minorEastAsia"/>
          <w:color w:val="000000"/>
          <w:kern w:val="0"/>
          <w:sz w:val="24"/>
          <w:szCs w:val="24"/>
          <w:highlight w:val="none"/>
          <w:lang w:val="en-US" w:eastAsia="zh-CN" w:bidi="ar"/>
        </w:rPr>
        <w:t>民生银行</w:t>
      </w:r>
      <w:r>
        <w:rPr>
          <w:rFonts w:hint="eastAsia" w:eastAsiaTheme="minorEastAsia"/>
          <w:color w:val="000000"/>
          <w:kern w:val="0"/>
          <w:sz w:val="24"/>
          <w:szCs w:val="24"/>
          <w:highlight w:val="none"/>
          <w:lang w:eastAsia="zh-CN" w:bidi="ar"/>
        </w:rPr>
        <w:t>”</w:t>
      </w:r>
      <w:r>
        <w:rPr>
          <w:rFonts w:eastAsiaTheme="minorEastAsia"/>
          <w:color w:val="000000"/>
          <w:kern w:val="0"/>
          <w:sz w:val="24"/>
          <w:szCs w:val="24"/>
          <w:highlight w:val="none"/>
          <w:lang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eastAsiaTheme="minorEastAsia"/>
          <w:sz w:val="24"/>
          <w:szCs w:val="24"/>
          <w:highlight w:val="none"/>
        </w:rPr>
      </w:pPr>
      <w:r>
        <w:rPr>
          <w:rFonts w:eastAsiaTheme="minorEastAsia"/>
          <w:color w:val="000000"/>
          <w:kern w:val="0"/>
          <w:sz w:val="24"/>
          <w:szCs w:val="24"/>
          <w:highlight w:val="none"/>
          <w:lang w:bidi="ar"/>
        </w:rPr>
        <w:t>本次委托理财金额：</w:t>
      </w:r>
      <w:r>
        <w:rPr>
          <w:rFonts w:hint="eastAsia" w:eastAsiaTheme="minorEastAsia"/>
          <w:color w:val="000000"/>
          <w:kern w:val="0"/>
          <w:sz w:val="24"/>
          <w:szCs w:val="24"/>
          <w:highlight w:val="none"/>
          <w:lang w:val="en-US" w:eastAsia="zh-CN" w:bidi="ar"/>
        </w:rPr>
        <w:t>2,500</w:t>
      </w:r>
      <w:r>
        <w:rPr>
          <w:rFonts w:eastAsiaTheme="minorEastAsia"/>
          <w:color w:val="000000"/>
          <w:kern w:val="0"/>
          <w:sz w:val="24"/>
          <w:szCs w:val="24"/>
          <w:highlight w:val="none"/>
          <w:lang w:bidi="ar"/>
        </w:rPr>
        <w:t>万元</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highlight w:val="none"/>
        </w:rPr>
      </w:pPr>
      <w:r>
        <w:rPr>
          <w:rFonts w:eastAsiaTheme="minorEastAsia"/>
          <w:color w:val="000000"/>
          <w:kern w:val="0"/>
          <w:sz w:val="24"/>
          <w:szCs w:val="24"/>
          <w:highlight w:val="none"/>
          <w:lang w:bidi="ar"/>
        </w:rPr>
        <w:t>委托理财产品名称</w:t>
      </w:r>
      <w:r>
        <w:rPr>
          <w:rFonts w:hint="eastAsia" w:eastAsiaTheme="minorEastAsia"/>
          <w:color w:val="000000"/>
          <w:kern w:val="0"/>
          <w:sz w:val="24"/>
          <w:szCs w:val="24"/>
          <w:highlight w:val="none"/>
          <w:lang w:eastAsia="zh-CN" w:bidi="ar"/>
        </w:rPr>
        <w:t>：</w:t>
      </w:r>
      <w:r>
        <w:rPr>
          <w:rFonts w:hint="eastAsia" w:eastAsiaTheme="minorEastAsia"/>
          <w:color w:val="000000"/>
          <w:kern w:val="0"/>
          <w:sz w:val="24"/>
          <w:szCs w:val="24"/>
          <w:highlight w:val="none"/>
          <w:lang w:bidi="ar"/>
        </w:rPr>
        <w:t>聚赢汇率-挂钩USD/JPY结构性存款</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color w:val="000000"/>
          <w:kern w:val="0"/>
          <w:sz w:val="24"/>
          <w:szCs w:val="24"/>
          <w:highlight w:val="none"/>
          <w:lang w:bidi="ar"/>
        </w:rPr>
        <w:t>委托理财期限：</w:t>
      </w:r>
      <w:r>
        <w:rPr>
          <w:rFonts w:hint="eastAsia" w:cs="Times New Roman" w:eastAsiaTheme="minorEastAsia"/>
          <w:color w:val="000000"/>
          <w:kern w:val="0"/>
          <w:sz w:val="24"/>
          <w:szCs w:val="24"/>
          <w:highlight w:val="none"/>
          <w:lang w:val="en-US" w:eastAsia="zh-CN" w:bidi="ar"/>
        </w:rPr>
        <w:t>94</w:t>
      </w:r>
      <w:r>
        <w:rPr>
          <w:rFonts w:hint="default" w:ascii="Times New Roman" w:hAnsi="Times New Roman" w:cs="Times New Roman" w:eastAsiaTheme="minorEastAsia"/>
          <w:color w:val="000000"/>
          <w:kern w:val="0"/>
          <w:sz w:val="24"/>
          <w:szCs w:val="24"/>
          <w:highlight w:val="none"/>
          <w:lang w:bidi="ar"/>
        </w:rPr>
        <w:t>天</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color w:val="000000"/>
          <w:sz w:val="24"/>
          <w:szCs w:val="24"/>
        </w:rPr>
      </w:pPr>
      <w:r>
        <w:rPr>
          <w:rFonts w:eastAsiaTheme="minorEastAsia"/>
          <w:color w:val="000000"/>
          <w:kern w:val="0"/>
          <w:sz w:val="24"/>
          <w:szCs w:val="24"/>
          <w:highlight w:val="none"/>
          <w:lang w:bidi="ar"/>
        </w:rPr>
        <w:t>履行的审议程序：格尔软件股份有限公司（以下简称</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公司</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）于202</w:t>
      </w:r>
      <w:r>
        <w:rPr>
          <w:rFonts w:hint="eastAsia" w:eastAsiaTheme="minorEastAsia"/>
          <w:color w:val="000000"/>
          <w:kern w:val="0"/>
          <w:sz w:val="24"/>
          <w:szCs w:val="24"/>
          <w:highlight w:val="none"/>
          <w:lang w:val="en-US" w:eastAsia="zh-CN" w:bidi="ar"/>
        </w:rPr>
        <w:t>2</w:t>
      </w:r>
      <w:r>
        <w:rPr>
          <w:rFonts w:eastAsiaTheme="minorEastAsia"/>
          <w:color w:val="000000"/>
          <w:kern w:val="0"/>
          <w:sz w:val="24"/>
          <w:szCs w:val="24"/>
          <w:highlight w:val="none"/>
          <w:lang w:bidi="ar"/>
        </w:rPr>
        <w:t>年</w:t>
      </w:r>
      <w:r>
        <w:rPr>
          <w:rFonts w:hint="eastAsia" w:eastAsiaTheme="minorEastAsia"/>
          <w:color w:val="000000"/>
          <w:kern w:val="0"/>
          <w:sz w:val="24"/>
          <w:szCs w:val="24"/>
          <w:highlight w:val="none"/>
          <w:lang w:val="en-US" w:eastAsia="zh-CN" w:bidi="ar"/>
        </w:rPr>
        <w:t>4</w:t>
      </w:r>
      <w:r>
        <w:rPr>
          <w:rFonts w:eastAsiaTheme="minorEastAsia"/>
          <w:color w:val="000000"/>
          <w:kern w:val="0"/>
          <w:sz w:val="24"/>
          <w:szCs w:val="24"/>
          <w:highlight w:val="none"/>
          <w:lang w:bidi="ar"/>
        </w:rPr>
        <w:t>月</w:t>
      </w:r>
      <w:r>
        <w:rPr>
          <w:rFonts w:hint="eastAsia" w:eastAsiaTheme="minorEastAsia"/>
          <w:color w:val="000000"/>
          <w:kern w:val="0"/>
          <w:sz w:val="24"/>
          <w:szCs w:val="24"/>
          <w:highlight w:val="none"/>
          <w:lang w:val="en-US" w:eastAsia="zh-CN" w:bidi="ar"/>
        </w:rPr>
        <w:t>25</w:t>
      </w:r>
      <w:r>
        <w:rPr>
          <w:rFonts w:eastAsiaTheme="minorEastAsia"/>
          <w:color w:val="000000"/>
          <w:kern w:val="0"/>
          <w:sz w:val="24"/>
          <w:szCs w:val="24"/>
          <w:highlight w:val="none"/>
          <w:lang w:bidi="ar"/>
        </w:rPr>
        <w:t>日召开了公司第七届董事会第</w:t>
      </w:r>
      <w:r>
        <w:rPr>
          <w:rFonts w:hint="eastAsia" w:eastAsiaTheme="minorEastAsia"/>
          <w:color w:val="000000"/>
          <w:kern w:val="0"/>
          <w:sz w:val="24"/>
          <w:szCs w:val="24"/>
          <w:highlight w:val="none"/>
          <w:lang w:val="en-US" w:eastAsia="zh-CN" w:bidi="ar"/>
        </w:rPr>
        <w:t>二十三</w:t>
      </w:r>
      <w:r>
        <w:rPr>
          <w:rFonts w:eastAsiaTheme="minorEastAsia"/>
          <w:color w:val="000000"/>
          <w:kern w:val="0"/>
          <w:sz w:val="24"/>
          <w:szCs w:val="24"/>
          <w:highlight w:val="none"/>
          <w:lang w:bidi="ar"/>
        </w:rPr>
        <w:t>次会议、第七届监事会第</w:t>
      </w:r>
      <w:r>
        <w:rPr>
          <w:rFonts w:hint="eastAsia" w:eastAsiaTheme="minorEastAsia"/>
          <w:color w:val="000000"/>
          <w:kern w:val="0"/>
          <w:sz w:val="24"/>
          <w:szCs w:val="24"/>
          <w:highlight w:val="none"/>
          <w:lang w:val="en-US" w:eastAsia="zh-CN" w:bidi="ar"/>
        </w:rPr>
        <w:t>二十</w:t>
      </w:r>
      <w:r>
        <w:rPr>
          <w:rFonts w:eastAsiaTheme="minorEastAsia"/>
          <w:color w:val="000000"/>
          <w:kern w:val="0"/>
          <w:sz w:val="24"/>
          <w:szCs w:val="24"/>
          <w:highlight w:val="none"/>
          <w:lang w:bidi="ar"/>
        </w:rPr>
        <w:t>次会议，</w:t>
      </w:r>
      <w:r>
        <w:rPr>
          <w:rFonts w:eastAsiaTheme="minorEastAsia"/>
          <w:color w:val="000000"/>
          <w:sz w:val="24"/>
          <w:szCs w:val="24"/>
          <w:highlight w:val="none"/>
        </w:rPr>
        <w:t>审议通过了《关于使用部分闲置募集资</w:t>
      </w:r>
      <w:r>
        <w:rPr>
          <w:rFonts w:eastAsiaTheme="minorEastAsia"/>
          <w:color w:val="000000"/>
          <w:sz w:val="24"/>
          <w:szCs w:val="24"/>
        </w:rPr>
        <w:t>金进行现金管理的议案》。同意公司使用总额不超过人民币</w:t>
      </w:r>
      <w:r>
        <w:rPr>
          <w:rFonts w:hint="eastAsia" w:eastAsiaTheme="minorEastAsia"/>
          <w:color w:val="000000"/>
          <w:sz w:val="24"/>
          <w:szCs w:val="24"/>
          <w:lang w:val="en-US" w:eastAsia="zh-CN"/>
        </w:rPr>
        <w:t>5</w:t>
      </w:r>
      <w:r>
        <w:rPr>
          <w:rFonts w:eastAsiaTheme="minorEastAsia"/>
          <w:color w:val="000000"/>
          <w:sz w:val="24"/>
          <w:szCs w:val="24"/>
        </w:rPr>
        <w:t>亿元（含</w:t>
      </w:r>
      <w:r>
        <w:rPr>
          <w:rFonts w:hint="eastAsia" w:eastAsiaTheme="minorEastAsia"/>
          <w:color w:val="000000"/>
          <w:sz w:val="24"/>
          <w:szCs w:val="24"/>
          <w:lang w:val="en-US" w:eastAsia="zh-CN"/>
        </w:rPr>
        <w:t>5</w:t>
      </w:r>
      <w:r>
        <w:rPr>
          <w:rFonts w:eastAsiaTheme="minorEastAsia"/>
          <w:color w:val="000000"/>
          <w:sz w:val="24"/>
          <w:szCs w:val="24"/>
        </w:rPr>
        <w:t>亿元）的闲置募集资金进行现金管理，</w:t>
      </w:r>
      <w:r>
        <w:rPr>
          <w:rFonts w:hint="default" w:eastAsiaTheme="minorEastAsia"/>
          <w:color w:val="000000"/>
          <w:kern w:val="0"/>
          <w:sz w:val="24"/>
          <w:szCs w:val="24"/>
          <w:highlight w:val="none"/>
          <w:lang w:bidi="ar"/>
        </w:rPr>
        <w:t>在</w:t>
      </w:r>
      <w:r>
        <w:rPr>
          <w:rFonts w:hint="default" w:eastAsiaTheme="minorEastAsia"/>
          <w:color w:val="000000"/>
          <w:kern w:val="0"/>
          <w:sz w:val="24"/>
          <w:szCs w:val="24"/>
          <w:highlight w:val="none"/>
          <w:lang w:val="en-US" w:eastAsia="zh-CN" w:bidi="ar"/>
        </w:rPr>
        <w:t>12个月</w:t>
      </w:r>
      <w:r>
        <w:rPr>
          <w:rFonts w:hint="default" w:eastAsiaTheme="minorEastAsia"/>
          <w:color w:val="000000"/>
          <w:kern w:val="0"/>
          <w:sz w:val="24"/>
          <w:szCs w:val="24"/>
          <w:highlight w:val="none"/>
          <w:lang w:bidi="ar"/>
        </w:rPr>
        <w:t>内（</w:t>
      </w:r>
      <w:r>
        <w:rPr>
          <w:rFonts w:hint="default" w:eastAsiaTheme="minorEastAsia"/>
          <w:color w:val="000000"/>
          <w:kern w:val="0"/>
          <w:sz w:val="24"/>
          <w:szCs w:val="24"/>
          <w:highlight w:val="none"/>
          <w:lang w:val="en-US" w:eastAsia="zh-CN" w:bidi="ar"/>
        </w:rPr>
        <w:t>含12个月</w:t>
      </w:r>
      <w:r>
        <w:rPr>
          <w:rFonts w:hint="default" w:eastAsiaTheme="minorEastAsia"/>
          <w:color w:val="000000"/>
          <w:kern w:val="0"/>
          <w:sz w:val="24"/>
          <w:szCs w:val="24"/>
          <w:highlight w:val="none"/>
          <w:lang w:bidi="ar"/>
        </w:rPr>
        <w:t>）该项资金额度可滚动使用（以保证募集资金项目建设和使用为前提）</w:t>
      </w:r>
      <w:r>
        <w:rPr>
          <w:rFonts w:eastAsiaTheme="minorEastAsia"/>
          <w:color w:val="000000"/>
          <w:kern w:val="0"/>
          <w:sz w:val="24"/>
          <w:szCs w:val="24"/>
          <w:highlight w:val="none"/>
          <w:lang w:bidi="ar"/>
        </w:rPr>
        <w:t>，</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自获得公司第七届董事会第二十三次会议审议通过之日起12个月内（含12个月）有效。</w:t>
      </w:r>
      <w:r>
        <w:rPr>
          <w:rFonts w:eastAsiaTheme="minorEastAsia"/>
          <w:color w:val="000000"/>
          <w:sz w:val="24"/>
          <w:szCs w:val="24"/>
        </w:rPr>
        <w:t>公司独立董事、监</w:t>
      </w:r>
      <w:r>
        <w:rPr>
          <w:rFonts w:eastAsiaTheme="minorEastAsia"/>
          <w:color w:val="000000"/>
          <w:sz w:val="24"/>
          <w:szCs w:val="24"/>
          <w:highlight w:val="none"/>
        </w:rPr>
        <w:t>事会及保荐机构已分别对此发表了同意的意见。具体详情详见公司于202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4</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26</w:t>
      </w:r>
      <w:r>
        <w:rPr>
          <w:rFonts w:eastAsiaTheme="minorEastAsia"/>
          <w:color w:val="000000"/>
          <w:sz w:val="24"/>
          <w:szCs w:val="24"/>
          <w:highlight w:val="none"/>
        </w:rPr>
        <w:t>日刊</w:t>
      </w:r>
      <w:r>
        <w:rPr>
          <w:rFonts w:eastAsiaTheme="minorEastAsia"/>
          <w:color w:val="000000"/>
          <w:sz w:val="24"/>
          <w:szCs w:val="24"/>
        </w:rPr>
        <w:t>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lang w:val="en-US" w:eastAsia="zh-CN"/>
        </w:rPr>
        <w:t>2</w:t>
      </w:r>
      <w:r>
        <w:rPr>
          <w:rFonts w:eastAsiaTheme="minorEastAsia"/>
          <w:color w:val="000000"/>
          <w:sz w:val="24"/>
          <w:szCs w:val="24"/>
        </w:rPr>
        <w:t>-0</w:t>
      </w:r>
      <w:r>
        <w:rPr>
          <w:rFonts w:hint="eastAsia" w:eastAsiaTheme="minorEastAsia"/>
          <w:color w:val="000000"/>
          <w:sz w:val="24"/>
          <w:szCs w:val="24"/>
          <w:lang w:val="en-US" w:eastAsia="zh-CN"/>
        </w:rPr>
        <w:t>13</w:t>
      </w:r>
      <w:r>
        <w:rPr>
          <w:rFonts w:eastAsiaTheme="minorEastAsia"/>
          <w:color w:val="000000"/>
          <w:sz w:val="24"/>
          <w:szCs w:val="24"/>
        </w:rPr>
        <w:t>）。</w:t>
      </w:r>
    </w:p>
    <w:p>
      <w:pPr>
        <w:widowControl/>
        <w:spacing w:before="156" w:beforeLines="50" w:after="156" w:afterLines="50" w:line="360" w:lineRule="auto"/>
        <w:jc w:val="left"/>
        <w:rPr>
          <w:rFonts w:hint="eastAsia" w:eastAsiaTheme="minorEastAsia"/>
          <w:b/>
          <w:color w:val="000000"/>
          <w:sz w:val="24"/>
          <w:szCs w:val="24"/>
        </w:rPr>
      </w:pPr>
      <w:r>
        <w:rPr>
          <w:rFonts w:hint="eastAsia" w:eastAsiaTheme="minorEastAsia"/>
          <w:b/>
          <w:color w:val="000000"/>
          <w:sz w:val="24"/>
          <w:szCs w:val="24"/>
          <w:lang w:val="en-US" w:eastAsia="zh-CN"/>
        </w:rPr>
        <w:t>一</w:t>
      </w:r>
      <w:r>
        <w:rPr>
          <w:rFonts w:hint="eastAsia" w:eastAsiaTheme="minorEastAsia"/>
          <w:b/>
          <w:color w:val="000000"/>
          <w:sz w:val="24"/>
          <w:szCs w:val="24"/>
        </w:rPr>
        <w:t>、</w:t>
      </w:r>
      <w:r>
        <w:rPr>
          <w:rFonts w:hint="eastAsia" w:eastAsiaTheme="minorEastAsia"/>
          <w:b/>
          <w:color w:val="000000"/>
          <w:sz w:val="24"/>
          <w:szCs w:val="24"/>
          <w:lang w:val="en-US" w:eastAsia="zh-CN"/>
        </w:rPr>
        <w:t>公司前次使用暂时闲置募集资金购买理财产品到期赎回的情况</w:t>
      </w:r>
    </w:p>
    <w:tbl>
      <w:tblPr>
        <w:tblStyle w:val="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932"/>
        <w:gridCol w:w="1268"/>
        <w:gridCol w:w="954"/>
        <w:gridCol w:w="1282"/>
        <w:gridCol w:w="1169"/>
        <w:gridCol w:w="1168"/>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398"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受托方</w:t>
            </w:r>
          </w:p>
        </w:tc>
        <w:tc>
          <w:tcPr>
            <w:tcW w:w="547"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产品类型</w:t>
            </w:r>
          </w:p>
        </w:tc>
        <w:tc>
          <w:tcPr>
            <w:tcW w:w="744" w:type="pct"/>
          </w:tcPr>
          <w:p>
            <w:pPr>
              <w:autoSpaceDE w:val="0"/>
              <w:autoSpaceDN w:val="0"/>
              <w:adjustRightInd w:val="0"/>
              <w:ind w:left="219" w:leftChars="0" w:hanging="219" w:hangingChars="104"/>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产品名称</w:t>
            </w:r>
          </w:p>
        </w:tc>
        <w:tc>
          <w:tcPr>
            <w:tcW w:w="560"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赎回金额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c>
          <w:tcPr>
            <w:tcW w:w="752"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收益类型</w:t>
            </w:r>
          </w:p>
        </w:tc>
        <w:tc>
          <w:tcPr>
            <w:tcW w:w="686"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起始日</w:t>
            </w:r>
          </w:p>
        </w:tc>
        <w:tc>
          <w:tcPr>
            <w:tcW w:w="685"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兑付日</w:t>
            </w:r>
          </w:p>
        </w:tc>
        <w:tc>
          <w:tcPr>
            <w:tcW w:w="625"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实际收益金额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398" w:type="pct"/>
            <w:vAlign w:val="center"/>
          </w:tcPr>
          <w:p>
            <w:pPr>
              <w:widowControl/>
              <w:spacing w:before="156" w:beforeLines="50" w:after="156" w:afterLines="50" w:line="240" w:lineRule="auto"/>
              <w:jc w:val="center"/>
              <w:rPr>
                <w:rFonts w:hint="default" w:ascii="Times New Roman" w:hAnsi="Times New Roman" w:cs="Times New Roman" w:eastAsiaTheme="minorEastAsia"/>
                <w:color w:val="000000"/>
                <w:sz w:val="21"/>
                <w:szCs w:val="21"/>
                <w:vertAlign w:val="baseline"/>
                <w:lang w:val="en-US" w:eastAsia="zh-CN"/>
              </w:rPr>
            </w:pPr>
            <w:r>
              <w:rPr>
                <w:rFonts w:hint="default" w:ascii="Times New Roman" w:hAnsi="Times New Roman" w:cs="Times New Roman" w:eastAsiaTheme="minorEastAsia"/>
                <w:color w:val="000000"/>
                <w:sz w:val="21"/>
                <w:szCs w:val="21"/>
                <w:vertAlign w:val="baseline"/>
                <w:lang w:val="en-US" w:eastAsia="zh-CN"/>
              </w:rPr>
              <w:t>国融证券</w:t>
            </w:r>
          </w:p>
        </w:tc>
        <w:tc>
          <w:tcPr>
            <w:tcW w:w="547" w:type="pct"/>
            <w:vAlign w:val="center"/>
          </w:tcPr>
          <w:p>
            <w:pPr>
              <w:widowControl/>
              <w:spacing w:before="156" w:beforeLines="50" w:after="156" w:afterLines="50" w:line="240" w:lineRule="auto"/>
              <w:jc w:val="center"/>
              <w:rPr>
                <w:rFonts w:hint="default" w:ascii="Times New Roman" w:hAnsi="Times New Roman" w:cs="Times New Roman" w:eastAsiaTheme="minorEastAsia"/>
                <w:color w:val="000000"/>
                <w:sz w:val="21"/>
                <w:szCs w:val="21"/>
                <w:vertAlign w:val="baseline"/>
                <w:lang w:val="en-US" w:eastAsia="zh-CN"/>
              </w:rPr>
            </w:pPr>
            <w:r>
              <w:rPr>
                <w:rFonts w:hint="default" w:ascii="Times New Roman" w:hAnsi="Times New Roman" w:cs="Times New Roman" w:eastAsiaTheme="minorEastAsia"/>
                <w:color w:val="000000"/>
                <w:sz w:val="21"/>
                <w:szCs w:val="21"/>
                <w:vertAlign w:val="baseline"/>
                <w:lang w:val="en-US" w:eastAsia="zh-CN"/>
              </w:rPr>
              <w:t>券商收益凭证</w:t>
            </w:r>
          </w:p>
        </w:tc>
        <w:tc>
          <w:tcPr>
            <w:tcW w:w="744" w:type="pct"/>
            <w:vAlign w:val="center"/>
          </w:tcPr>
          <w:p>
            <w:pPr>
              <w:widowControl/>
              <w:spacing w:before="156" w:beforeLines="50" w:after="156" w:afterLines="50" w:line="240" w:lineRule="auto"/>
              <w:jc w:val="center"/>
              <w:rPr>
                <w:rFonts w:hint="default" w:ascii="Times New Roman" w:hAnsi="Times New Roman" w:cs="Times New Roman" w:eastAsiaTheme="minorEastAsia"/>
                <w:color w:val="000000"/>
                <w:sz w:val="21"/>
                <w:szCs w:val="21"/>
                <w:vertAlign w:val="baseline"/>
                <w:lang w:val="en-US" w:eastAsia="zh-CN"/>
              </w:rPr>
            </w:pPr>
            <w:r>
              <w:rPr>
                <w:rFonts w:hint="default" w:ascii="Times New Roman" w:hAnsi="Times New Roman" w:cs="Times New Roman" w:eastAsiaTheme="minorEastAsia"/>
                <w:color w:val="000000"/>
                <w:sz w:val="21"/>
                <w:szCs w:val="21"/>
                <w:vertAlign w:val="baseline"/>
                <w:lang w:val="en-US" w:eastAsia="zh-CN"/>
              </w:rPr>
              <w:t>安享收益凭证</w:t>
            </w:r>
            <w:r>
              <w:rPr>
                <w:rFonts w:hint="eastAsia" w:cs="Times New Roman" w:eastAsiaTheme="minorEastAsia"/>
                <w:color w:val="000000"/>
                <w:sz w:val="21"/>
                <w:szCs w:val="21"/>
                <w:vertAlign w:val="baseline"/>
                <w:lang w:val="en-US" w:eastAsia="zh-CN"/>
              </w:rPr>
              <w:t>2217</w:t>
            </w:r>
            <w:r>
              <w:rPr>
                <w:rFonts w:hint="default" w:ascii="Times New Roman" w:hAnsi="Times New Roman" w:cs="Times New Roman" w:eastAsiaTheme="minorEastAsia"/>
                <w:color w:val="000000"/>
                <w:sz w:val="21"/>
                <w:szCs w:val="21"/>
                <w:vertAlign w:val="baseline"/>
                <w:lang w:val="en-US" w:eastAsia="zh-CN"/>
              </w:rPr>
              <w:t>号</w:t>
            </w:r>
          </w:p>
        </w:tc>
        <w:tc>
          <w:tcPr>
            <w:tcW w:w="560"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6,500</w:t>
            </w:r>
          </w:p>
        </w:tc>
        <w:tc>
          <w:tcPr>
            <w:tcW w:w="752"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default" w:ascii="Times New Roman" w:hAnsi="Times New Roman" w:cs="Times New Roman" w:eastAsiaTheme="minorEastAsia"/>
                <w:color w:val="000000"/>
                <w:sz w:val="21"/>
                <w:szCs w:val="21"/>
                <w:vertAlign w:val="baseline"/>
                <w:lang w:val="en-US" w:eastAsia="zh-CN"/>
              </w:rPr>
              <w:t>本金保障固定收益型</w:t>
            </w:r>
          </w:p>
        </w:tc>
        <w:tc>
          <w:tcPr>
            <w:tcW w:w="686"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2022.1.10</w:t>
            </w:r>
          </w:p>
        </w:tc>
        <w:tc>
          <w:tcPr>
            <w:tcW w:w="685"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highlight w:val="none"/>
                <w:vertAlign w:val="baseline"/>
                <w:lang w:val="en-US" w:eastAsia="zh-CN"/>
              </w:rPr>
              <w:t>2022.5.26</w:t>
            </w:r>
          </w:p>
        </w:tc>
        <w:tc>
          <w:tcPr>
            <w:tcW w:w="625"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96.16</w:t>
            </w:r>
          </w:p>
        </w:tc>
      </w:tr>
    </w:tbl>
    <w:p>
      <w:pPr>
        <w:widowControl/>
        <w:spacing w:before="156" w:beforeLines="50" w:after="156" w:afterLines="50" w:line="360" w:lineRule="auto"/>
        <w:ind w:firstLine="420" w:firstLineChars="175"/>
        <w:jc w:val="both"/>
        <w:rPr>
          <w:rFonts w:eastAsiaTheme="minorEastAsia"/>
          <w:color w:val="000000"/>
          <w:sz w:val="24"/>
          <w:szCs w:val="24"/>
          <w:highlight w:val="none"/>
        </w:rPr>
      </w:pPr>
      <w:r>
        <w:rPr>
          <w:rFonts w:hint="eastAsia" w:cs="Times New Roman" w:eastAsiaTheme="minorEastAsia"/>
          <w:color w:val="000000"/>
          <w:sz w:val="24"/>
          <w:szCs w:val="24"/>
          <w:highlight w:val="none"/>
          <w:lang w:val="en-US" w:eastAsia="zh-CN"/>
        </w:rPr>
        <w:t>公司于2022年1月7日以募集资金认购了国融</w:t>
      </w:r>
      <w:r>
        <w:rPr>
          <w:rFonts w:hint="eastAsia" w:asciiTheme="minorEastAsia" w:hAnsiTheme="minorEastAsia" w:eastAsiaTheme="minorEastAsia" w:cstheme="minorEastAsia"/>
          <w:color w:val="000000"/>
          <w:kern w:val="0"/>
          <w:sz w:val="24"/>
          <w:szCs w:val="24"/>
          <w:highlight w:val="none"/>
          <w:lang w:val="en-US" w:eastAsia="zh-CN" w:bidi="ar"/>
        </w:rPr>
        <w:t>证券的收益凭证。</w:t>
      </w:r>
      <w:r>
        <w:rPr>
          <w:rFonts w:hint="eastAsia" w:ascii="Times New Roman" w:hAnsi="Times New Roman" w:cs="Times New Roman" w:eastAsiaTheme="minorEastAsia"/>
          <w:color w:val="000000"/>
          <w:sz w:val="24"/>
          <w:szCs w:val="24"/>
          <w:highlight w:val="none"/>
          <w:lang w:val="en-US" w:eastAsia="zh-CN"/>
        </w:rPr>
        <w:t>具体内容详见公司</w:t>
      </w:r>
      <w:r>
        <w:rPr>
          <w:rFonts w:hint="eastAsia" w:cs="Times New Roman" w:eastAsiaTheme="minorEastAsia"/>
          <w:color w:val="000000"/>
          <w:sz w:val="24"/>
          <w:szCs w:val="24"/>
          <w:highlight w:val="none"/>
          <w:lang w:val="en-US" w:eastAsia="zh-CN"/>
        </w:rPr>
        <w:t>于2022年1月8日</w:t>
      </w:r>
      <w:r>
        <w:rPr>
          <w:rFonts w:hint="eastAsia" w:ascii="Times New Roman" w:hAnsi="Times New Roman" w:cs="Times New Roman" w:eastAsiaTheme="minorEastAsia"/>
          <w:color w:val="000000"/>
          <w:sz w:val="24"/>
          <w:szCs w:val="24"/>
          <w:highlight w:val="none"/>
          <w:lang w:val="en-US" w:eastAsia="zh-CN"/>
        </w:rPr>
        <w:t>在上海证券交易所官方网站（www.sse.com.cn）披露的</w:t>
      </w:r>
      <w:r>
        <w:rPr>
          <w:rFonts w:hint="eastAsia" w:cs="Times New Roman" w:eastAsiaTheme="minorEastAsia"/>
          <w:color w:val="000000"/>
          <w:sz w:val="24"/>
          <w:szCs w:val="24"/>
          <w:highlight w:val="none"/>
          <w:lang w:val="en-US" w:eastAsia="zh-CN"/>
        </w:rPr>
        <w:t>《格尔软件股份有限公司关于使用部分闲置募集资金进行现金管理的进展公告》（公告编号：2022-002</w:t>
      </w:r>
      <w:r>
        <w:rPr>
          <w:rFonts w:hint="eastAsia" w:ascii="Times New Roman" w:hAnsi="Times New Roman" w:cs="Times New Roman" w:eastAsiaTheme="minorEastAsia"/>
          <w:color w:val="000000"/>
          <w:sz w:val="24"/>
          <w:szCs w:val="24"/>
          <w:highlight w:val="none"/>
          <w:lang w:val="en-US" w:eastAsia="zh-CN"/>
        </w:rPr>
        <w:t>）。</w:t>
      </w:r>
    </w:p>
    <w:p>
      <w:pPr>
        <w:widowControl/>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lang w:val="en-US" w:eastAsia="zh-CN"/>
        </w:rPr>
        <w:t>二</w:t>
      </w:r>
      <w:r>
        <w:rPr>
          <w:rFonts w:hint="eastAsia" w:eastAsiaTheme="minorEastAsia"/>
          <w:b/>
          <w:color w:val="000000"/>
          <w:sz w:val="24"/>
          <w:szCs w:val="24"/>
        </w:rPr>
        <w:t>、本次委托理财概况</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（一）委托理财目的</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在确保不影响公司募投项目实施进度的情况下，为更好地发挥资金效益，提高公司资金的使用效率，更好地实现公司现金资产的保值增值，保障公司及股东的利益。</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（二）资金来源</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1、资金来源的一般情况：资金来源为暂时闲置的募集资金。</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2、募集资金的基本情况</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经中国证券监督管理委员会《关于核准格尔软件股份有限公司非公开发行股票的批复》（证监许可〔2020〕1328号）核准，公司实际非公开发行人民币A股股票20,901,134股</w:t>
      </w:r>
      <w:r>
        <w:rPr>
          <w:rFonts w:hint="eastAsia" w:eastAsiaTheme="minorEastAsia"/>
          <w:color w:val="000000"/>
          <w:sz w:val="24"/>
          <w:szCs w:val="24"/>
        </w:rPr>
        <w:t>（每股面值1.00元人民币）</w:t>
      </w:r>
      <w:r>
        <w:rPr>
          <w:rFonts w:eastAsiaTheme="minorEastAsia"/>
          <w:color w:val="000000"/>
          <w:sz w:val="24"/>
          <w:szCs w:val="24"/>
        </w:rPr>
        <w:t>，每股发行价人民币30.85元</w:t>
      </w:r>
      <w:r>
        <w:rPr>
          <w:rFonts w:hint="eastAsia" w:eastAsiaTheme="minorEastAsia"/>
          <w:color w:val="000000"/>
          <w:sz w:val="24"/>
          <w:szCs w:val="24"/>
        </w:rPr>
        <w:t>。本次非公开发行</w:t>
      </w:r>
      <w:r>
        <w:rPr>
          <w:rFonts w:eastAsiaTheme="minorEastAsia"/>
          <w:color w:val="000000"/>
          <w:sz w:val="24"/>
          <w:szCs w:val="24"/>
        </w:rPr>
        <w:t>募集资金总额为644,799,983.90元，扣除发行费用人民币8,844,116.58（不含税）元</w:t>
      </w:r>
      <w:r>
        <w:rPr>
          <w:rFonts w:hint="eastAsia" w:eastAsiaTheme="minorEastAsia"/>
          <w:color w:val="000000"/>
          <w:sz w:val="24"/>
          <w:szCs w:val="24"/>
        </w:rPr>
        <w:t>后</w:t>
      </w:r>
      <w:r>
        <w:rPr>
          <w:rFonts w:eastAsiaTheme="minorEastAsia"/>
          <w:color w:val="000000"/>
          <w:sz w:val="24"/>
          <w:szCs w:val="24"/>
        </w:rPr>
        <w:t>，募集资金净额为635,955,867.32元</w:t>
      </w:r>
      <w:r>
        <w:rPr>
          <w:rFonts w:hint="eastAsia" w:eastAsiaTheme="minorEastAsia"/>
          <w:color w:val="000000"/>
          <w:sz w:val="24"/>
          <w:szCs w:val="24"/>
        </w:rPr>
        <w:t>。上会会计师事务所（特殊普通合伙）已于2020年8月25日</w:t>
      </w:r>
      <w:r>
        <w:rPr>
          <w:rFonts w:eastAsiaTheme="minorEastAsia"/>
          <w:color w:val="000000"/>
          <w:sz w:val="24"/>
          <w:szCs w:val="24"/>
        </w:rPr>
        <w:t>对</w:t>
      </w:r>
      <w:r>
        <w:rPr>
          <w:rFonts w:hint="eastAsia" w:eastAsiaTheme="minorEastAsia"/>
          <w:color w:val="000000"/>
          <w:sz w:val="24"/>
          <w:szCs w:val="24"/>
        </w:rPr>
        <w:t>本次非公开发行</w:t>
      </w:r>
      <w:r>
        <w:rPr>
          <w:rFonts w:eastAsiaTheme="minorEastAsia"/>
          <w:color w:val="000000"/>
          <w:sz w:val="24"/>
          <w:szCs w:val="24"/>
        </w:rPr>
        <w:t>的资金到位情况进行了审验，</w:t>
      </w:r>
      <w:r>
        <w:rPr>
          <w:rFonts w:hint="eastAsia" w:eastAsiaTheme="minorEastAsia"/>
          <w:color w:val="000000"/>
          <w:sz w:val="24"/>
          <w:szCs w:val="24"/>
        </w:rPr>
        <w:t>并出具了《验资报告》（上会师报字</w:t>
      </w:r>
      <w:r>
        <w:rPr>
          <w:rFonts w:eastAsiaTheme="minorEastAsia"/>
          <w:color w:val="000000"/>
          <w:sz w:val="24"/>
          <w:szCs w:val="24"/>
        </w:rPr>
        <w:t>〔20</w:t>
      </w:r>
      <w:r>
        <w:rPr>
          <w:rFonts w:hint="eastAsia" w:eastAsiaTheme="minorEastAsia"/>
          <w:color w:val="000000"/>
          <w:sz w:val="24"/>
          <w:szCs w:val="24"/>
        </w:rPr>
        <w:t>20</w:t>
      </w:r>
      <w:r>
        <w:rPr>
          <w:rFonts w:eastAsiaTheme="minorEastAsia"/>
          <w:color w:val="000000"/>
          <w:sz w:val="24"/>
          <w:szCs w:val="24"/>
        </w:rPr>
        <w:t>〕</w:t>
      </w:r>
      <w:r>
        <w:rPr>
          <w:rFonts w:hint="eastAsia" w:eastAsiaTheme="minorEastAsia"/>
          <w:color w:val="000000"/>
          <w:sz w:val="24"/>
          <w:szCs w:val="24"/>
        </w:rPr>
        <w:t>第6894号）。公司已对募集资金进行了专户管理。</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highlight w:val="none"/>
        </w:rPr>
      </w:pPr>
      <w:r>
        <w:rPr>
          <w:rFonts w:hint="eastAsia" w:eastAsiaTheme="minorEastAsia"/>
          <w:b/>
          <w:color w:val="000000"/>
          <w:sz w:val="24"/>
          <w:szCs w:val="24"/>
          <w:highlight w:val="none"/>
        </w:rPr>
        <w:t>（三）委托理财产品的基本情况</w:t>
      </w:r>
    </w:p>
    <w:tbl>
      <w:tblPr>
        <w:tblStyle w:val="2"/>
        <w:tblW w:w="8926" w:type="dxa"/>
        <w:jc w:val="center"/>
        <w:tblLayout w:type="fixed"/>
        <w:tblCellMar>
          <w:top w:w="0" w:type="dxa"/>
          <w:left w:w="108" w:type="dxa"/>
          <w:bottom w:w="0" w:type="dxa"/>
          <w:right w:w="108" w:type="dxa"/>
        </w:tblCellMar>
      </w:tblPr>
      <w:tblGrid>
        <w:gridCol w:w="669"/>
        <w:gridCol w:w="862"/>
        <w:gridCol w:w="1387"/>
        <w:gridCol w:w="834"/>
        <w:gridCol w:w="892"/>
        <w:gridCol w:w="916"/>
        <w:gridCol w:w="742"/>
        <w:gridCol w:w="1266"/>
        <w:gridCol w:w="692"/>
        <w:gridCol w:w="666"/>
      </w:tblGrid>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kern w:val="0"/>
                <w:szCs w:val="21"/>
                <w:highlight w:val="none"/>
                <w:lang w:val="en-US" w:eastAsia="zh-CN"/>
              </w:rPr>
            </w:pPr>
            <w:r>
              <w:rPr>
                <w:rFonts w:hint="eastAsia" w:eastAsiaTheme="minorEastAsia"/>
                <w:color w:val="000000"/>
                <w:kern w:val="0"/>
                <w:szCs w:val="21"/>
                <w:highlight w:val="none"/>
                <w:lang w:val="en-US" w:eastAsia="zh-CN"/>
              </w:rPr>
              <w:t>民生银行</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kern w:val="0"/>
                <w:szCs w:val="21"/>
                <w:highlight w:val="none"/>
                <w:lang w:val="en-US" w:eastAsia="zh-CN"/>
              </w:rPr>
            </w:pPr>
            <w:r>
              <w:rPr>
                <w:rFonts w:hint="eastAsia" w:eastAsiaTheme="minorEastAsia"/>
                <w:color w:val="000000"/>
                <w:szCs w:val="21"/>
                <w:highlight w:val="none"/>
                <w:lang w:val="en-US" w:eastAsia="zh-CN"/>
              </w:rPr>
              <w:t>银行理财产品</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yellow"/>
              </w:rPr>
            </w:pPr>
            <w:r>
              <w:rPr>
                <w:rFonts w:hint="eastAsia" w:eastAsiaTheme="minorEastAsia"/>
                <w:color w:val="000000"/>
                <w:kern w:val="0"/>
                <w:sz w:val="21"/>
                <w:szCs w:val="21"/>
                <w:highlight w:val="none"/>
                <w:lang w:bidi="ar"/>
              </w:rPr>
              <w:t>聚赢汇率-挂钩USD/JPY结构性存款</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jc w:val="center"/>
              <w:textAlignment w:val="center"/>
              <w:rPr>
                <w:rFonts w:hint="default" w:eastAsiaTheme="minorEastAsia"/>
                <w:color w:val="000000"/>
                <w:szCs w:val="21"/>
                <w:highlight w:val="none"/>
                <w:lang w:val="en-US"/>
              </w:rPr>
            </w:pPr>
            <w:r>
              <w:rPr>
                <w:rFonts w:hint="eastAsia" w:eastAsiaTheme="minorEastAsia"/>
                <w:color w:val="000000"/>
                <w:kern w:val="0"/>
                <w:szCs w:val="21"/>
                <w:highlight w:val="none"/>
                <w:lang w:val="en-US" w:eastAsia="zh-CN" w:bidi="ar"/>
              </w:rPr>
              <w:t>2,500</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rPr>
            </w:pPr>
            <w:r>
              <w:rPr>
                <w:rFonts w:hint="eastAsia" w:eastAsiaTheme="minorEastAsia"/>
                <w:color w:val="000000"/>
                <w:szCs w:val="21"/>
                <w:highlight w:val="none"/>
                <w:lang w:val="en-US" w:eastAsia="zh-CN"/>
              </w:rPr>
              <w:t>1.55%-3.20%</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hint="eastAsia" w:eastAsiaTheme="minorEastAsia"/>
                <w:color w:val="000000"/>
                <w:szCs w:val="21"/>
                <w:highlight w:val="none"/>
                <w:lang w:val="en-US" w:eastAsia="zh-CN"/>
              </w:rPr>
              <w:t>94</w:t>
            </w:r>
            <w:r>
              <w:rPr>
                <w:rFonts w:hint="eastAsia" w:eastAsiaTheme="minorEastAsia"/>
                <w:color w:val="000000"/>
                <w:szCs w:val="21"/>
                <w:highlight w:val="none"/>
              </w:rPr>
              <w:t>天</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yellow"/>
              </w:rPr>
            </w:pPr>
            <w:r>
              <w:rPr>
                <w:rFonts w:hint="eastAsia" w:eastAsiaTheme="minorEastAsia"/>
                <w:bCs/>
                <w:color w:val="000000"/>
                <w:kern w:val="0"/>
                <w:szCs w:val="21"/>
                <w:highlight w:val="none"/>
                <w:lang w:val="en-US" w:eastAsia="zh-CN"/>
              </w:rPr>
              <w:t>保本浮动</w:t>
            </w:r>
            <w:r>
              <w:rPr>
                <w:rFonts w:hint="eastAsia" w:eastAsiaTheme="minorEastAsia"/>
                <w:bCs/>
                <w:color w:val="000000"/>
                <w:kern w:val="0"/>
                <w:szCs w:val="21"/>
                <w:highlight w:val="none"/>
              </w:rPr>
              <w:t>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否</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（四）公司对委托理财相关风险的内部控制</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进行现金管理购买的理财产品发行主体为能提供保本承诺的金融机构，产品品种为安全性高、流动性好、短期（不超过1年）、有保本约定的理财产品（包括但不限于结构性存款、协定存款、通知存款、定期存款、大额存单、收益凭证等），且该理财产品不得用于质押。同时，公司严格遵守审慎投资原则，筛选投资对象，选择信誉好、规模大、有能力保障资金安全、经营效益好、资金运作能力强的单位所发行的产品。</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highlight w:val="none"/>
        </w:rPr>
        <w:t>公司根据</w:t>
      </w:r>
      <w:r>
        <w:rPr>
          <w:rFonts w:hint="eastAsia" w:eastAsiaTheme="minorEastAsia"/>
          <w:color w:val="000000"/>
          <w:sz w:val="24"/>
          <w:szCs w:val="24"/>
          <w:highlight w:val="none"/>
          <w:lang w:eastAsia="zh-CN"/>
        </w:rPr>
        <w:t>《</w:t>
      </w:r>
      <w:r>
        <w:rPr>
          <w:rFonts w:hint="eastAsia" w:eastAsiaTheme="minorEastAsia"/>
          <w:color w:val="000000"/>
          <w:sz w:val="24"/>
          <w:szCs w:val="24"/>
          <w:highlight w:val="none"/>
          <w:lang w:val="en-US" w:eastAsia="zh-CN"/>
        </w:rPr>
        <w:t>上市公司监管指引第2号--上市公司募集资金管理和使用的监管要求</w:t>
      </w:r>
      <w:r>
        <w:rPr>
          <w:rFonts w:hint="eastAsia" w:eastAsiaTheme="minorEastAsia"/>
          <w:color w:val="000000"/>
          <w:sz w:val="24"/>
          <w:szCs w:val="24"/>
          <w:highlight w:val="none"/>
          <w:lang w:eastAsia="zh-CN"/>
        </w:rPr>
        <w:t>》</w:t>
      </w:r>
      <w:r>
        <w:rPr>
          <w:rFonts w:eastAsiaTheme="minorEastAsia"/>
          <w:color w:val="000000"/>
          <w:sz w:val="24"/>
          <w:szCs w:val="24"/>
        </w:rPr>
        <w:t>及内部资金管理制度，对投资理财产品行为进行规范和控制，严格审批投资产品准入范围，确保现金管理事宜的有效开展和规范运行。</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公司董事会审计委员会、独立董事、监事会有权对理财资金使用情况进行监督与检查。</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三</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b/>
          <w:bCs/>
          <w:color w:val="000000"/>
          <w:sz w:val="24"/>
          <w:szCs w:val="24"/>
          <w:highlight w:val="none"/>
        </w:rPr>
        <w:t>本次委托理财的具体情况</w:t>
      </w:r>
    </w:p>
    <w:p>
      <w:pPr>
        <w:keepNext w:val="0"/>
        <w:keepLines w:val="0"/>
        <w:pageBreakBefore w:val="0"/>
        <w:widowControl/>
        <w:kinsoku/>
        <w:wordWrap/>
        <w:overflowPunct/>
        <w:topLinePunct w:val="0"/>
        <w:autoSpaceDE/>
        <w:autoSpaceDN/>
        <w:bidi w:val="0"/>
        <w:adjustRightInd/>
        <w:snapToGrid/>
        <w:spacing w:line="360" w:lineRule="auto"/>
        <w:ind w:firstLine="422" w:firstLineChars="175"/>
        <w:jc w:val="left"/>
        <w:textAlignment w:val="auto"/>
        <w:rPr>
          <w:rFonts w:eastAsiaTheme="minorEastAsia"/>
          <w:b/>
          <w:color w:val="000000"/>
          <w:sz w:val="24"/>
          <w:szCs w:val="24"/>
          <w:highlight w:val="none"/>
        </w:rPr>
      </w:pPr>
      <w:r>
        <w:rPr>
          <w:rFonts w:hint="eastAsia" w:eastAsiaTheme="minorEastAsia"/>
          <w:b/>
          <w:color w:val="000000"/>
          <w:sz w:val="24"/>
          <w:szCs w:val="24"/>
          <w:highlight w:val="none"/>
        </w:rPr>
        <w:t>（一）委托理财合同主要条款</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left"/>
        <w:textAlignment w:val="auto"/>
        <w:rPr>
          <w:rFonts w:eastAsiaTheme="minorEastAsia"/>
          <w:color w:val="000000"/>
          <w:sz w:val="24"/>
          <w:szCs w:val="24"/>
          <w:highlight w:val="none"/>
        </w:rPr>
      </w:pPr>
      <w:r>
        <w:rPr>
          <w:rFonts w:hint="eastAsia" w:eastAsiaTheme="minorEastAsia"/>
          <w:color w:val="000000"/>
          <w:sz w:val="24"/>
          <w:szCs w:val="24"/>
          <w:highlight w:val="none"/>
        </w:rPr>
        <w:t>1、聚赢汇率-挂钩USD/JPY结构性存款</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9"/>
        <w:gridCol w:w="6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产品名称</w:t>
            </w:r>
          </w:p>
        </w:tc>
        <w:tc>
          <w:tcPr>
            <w:tcW w:w="6323"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eastAsiaTheme="minorEastAsia"/>
                <w:bCs/>
                <w:color w:val="000000"/>
                <w:kern w:val="0"/>
                <w:szCs w:val="21"/>
                <w:highlight w:val="none"/>
                <w:lang w:val="en-US" w:eastAsia="zh-CN"/>
              </w:rPr>
              <w:t>聚赢汇率-挂钩USD/JPY结构性存款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产品代码</w:t>
            </w:r>
          </w:p>
        </w:tc>
        <w:tc>
          <w:tcPr>
            <w:tcW w:w="6323"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default" w:eastAsiaTheme="minorEastAsia"/>
                <w:bCs/>
                <w:color w:val="000000"/>
                <w:kern w:val="0"/>
                <w:szCs w:val="21"/>
                <w:highlight w:val="none"/>
                <w:lang w:val="en-US" w:eastAsia="zh-CN"/>
              </w:rPr>
              <w:t>SDGA2200</w:t>
            </w:r>
            <w:r>
              <w:rPr>
                <w:rFonts w:hint="eastAsia" w:eastAsiaTheme="minorEastAsia"/>
                <w:bCs/>
                <w:color w:val="000000"/>
                <w:kern w:val="0"/>
                <w:szCs w:val="21"/>
                <w:highlight w:val="none"/>
                <w:lang w:val="en-US" w:eastAsia="zh-CN"/>
              </w:rPr>
              <w:t>6</w:t>
            </w:r>
            <w:r>
              <w:rPr>
                <w:rFonts w:hint="default" w:eastAsiaTheme="minorEastAsia"/>
                <w:bCs/>
                <w:color w:val="000000"/>
                <w:kern w:val="0"/>
                <w:szCs w:val="21"/>
                <w:highlight w:val="none"/>
                <w:lang w:val="en-US" w:eastAsia="zh-CN"/>
              </w:rPr>
              <w:t>3V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产品类型</w:t>
            </w:r>
          </w:p>
        </w:tc>
        <w:tc>
          <w:tcPr>
            <w:tcW w:w="6323" w:type="dxa"/>
            <w:vAlign w:val="center"/>
          </w:tcPr>
          <w:p>
            <w:pPr>
              <w:autoSpaceDE w:val="0"/>
              <w:autoSpaceDN w:val="0"/>
              <w:adjustRightInd w:val="0"/>
              <w:jc w:val="center"/>
              <w:rPr>
                <w:rFonts w:hint="default" w:eastAsiaTheme="minorEastAsia"/>
                <w:bCs/>
                <w:color w:val="000000"/>
                <w:kern w:val="0"/>
                <w:szCs w:val="21"/>
                <w:highlight w:val="none"/>
                <w:lang w:val="en-US"/>
              </w:rPr>
            </w:pPr>
            <w:r>
              <w:rPr>
                <w:rFonts w:hint="eastAsia" w:eastAsiaTheme="minorEastAsia"/>
                <w:bCs/>
                <w:color w:val="000000"/>
                <w:kern w:val="0"/>
                <w:szCs w:val="21"/>
                <w:highlight w:val="none"/>
                <w:lang w:val="en-US" w:eastAsia="zh-CN"/>
              </w:rPr>
              <w:t>银行理财产品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产品期限</w:t>
            </w:r>
          </w:p>
        </w:tc>
        <w:tc>
          <w:tcPr>
            <w:tcW w:w="6323"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lang w:val="en-US" w:eastAsia="zh-CN"/>
              </w:rPr>
              <w:t>94</w:t>
            </w:r>
            <w:r>
              <w:rPr>
                <w:rFonts w:hint="eastAsia" w:eastAsiaTheme="minorEastAsia"/>
                <w:bCs/>
                <w:color w:val="000000"/>
                <w:kern w:val="0"/>
                <w:szCs w:val="21"/>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本金（万元）</w:t>
            </w:r>
          </w:p>
        </w:tc>
        <w:tc>
          <w:tcPr>
            <w:tcW w:w="6323" w:type="dxa"/>
            <w:vAlign w:val="center"/>
          </w:tcPr>
          <w:p>
            <w:pPr>
              <w:autoSpaceDE w:val="0"/>
              <w:autoSpaceDN w:val="0"/>
              <w:adjustRightInd w:val="0"/>
              <w:jc w:val="center"/>
              <w:rPr>
                <w:rFonts w:hint="default" w:eastAsiaTheme="minorEastAsia"/>
                <w:bCs/>
                <w:color w:val="000000"/>
                <w:kern w:val="0"/>
                <w:szCs w:val="21"/>
                <w:highlight w:val="none"/>
                <w:lang w:val="en-US"/>
              </w:rPr>
            </w:pPr>
            <w:r>
              <w:rPr>
                <w:rFonts w:hint="eastAsia" w:eastAsiaTheme="minorEastAsia"/>
                <w:bCs/>
                <w:color w:val="000000"/>
                <w:kern w:val="0"/>
                <w:szCs w:val="21"/>
                <w:highlight w:val="none"/>
                <w:lang w:val="en-US" w:eastAsia="zh-CN"/>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收益类型</w:t>
            </w:r>
          </w:p>
        </w:tc>
        <w:tc>
          <w:tcPr>
            <w:tcW w:w="6323"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产品起息日期</w:t>
            </w:r>
          </w:p>
        </w:tc>
        <w:tc>
          <w:tcPr>
            <w:tcW w:w="6323" w:type="dxa"/>
            <w:vAlign w:val="center"/>
          </w:tcPr>
          <w:p>
            <w:pPr>
              <w:autoSpaceDE w:val="0"/>
              <w:autoSpaceDN w:val="0"/>
              <w:adjustRightInd w:val="0"/>
              <w:jc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2022年5月30日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产品到期日期</w:t>
            </w:r>
          </w:p>
        </w:tc>
        <w:tc>
          <w:tcPr>
            <w:tcW w:w="6323" w:type="dxa"/>
            <w:vAlign w:val="center"/>
          </w:tcPr>
          <w:p>
            <w:pPr>
              <w:autoSpaceDE w:val="0"/>
              <w:autoSpaceDN w:val="0"/>
              <w:adjustRightInd w:val="0"/>
              <w:jc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2022年9月1日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lang w:val="en-US" w:eastAsia="zh-CN"/>
              </w:rPr>
              <w:t>产品期初观察日期</w:t>
            </w:r>
          </w:p>
        </w:tc>
        <w:tc>
          <w:tcPr>
            <w:tcW w:w="6323" w:type="dxa"/>
            <w:vAlign w:val="center"/>
          </w:tcPr>
          <w:p>
            <w:pPr>
              <w:autoSpaceDE w:val="0"/>
              <w:autoSpaceDN w:val="0"/>
              <w:adjustRightInd w:val="0"/>
              <w:jc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2022年5月30日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lang w:val="en-US" w:eastAsia="zh-CN"/>
              </w:rPr>
              <w:t>产品期初末察日期</w:t>
            </w:r>
          </w:p>
        </w:tc>
        <w:tc>
          <w:tcPr>
            <w:tcW w:w="6323" w:type="dxa"/>
            <w:vAlign w:val="center"/>
          </w:tcPr>
          <w:p>
            <w:pPr>
              <w:autoSpaceDE w:val="0"/>
              <w:autoSpaceDN w:val="0"/>
              <w:adjustRightInd w:val="0"/>
              <w:jc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2022年8月29日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2199"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color w:val="000000"/>
                <w:kern w:val="0"/>
                <w:szCs w:val="21"/>
                <w:highlight w:val="none"/>
                <w:lang w:val="en-US" w:eastAsia="zh-CN"/>
              </w:rPr>
            </w:pPr>
            <w:r>
              <w:rPr>
                <w:rFonts w:hint="eastAsia" w:asciiTheme="minorEastAsia" w:hAnsiTheme="minorEastAsia" w:eastAsiaTheme="minorEastAsia" w:cstheme="minorEastAsia"/>
                <w:b/>
                <w:color w:val="000000"/>
                <w:kern w:val="0"/>
                <w:szCs w:val="21"/>
                <w:highlight w:val="none"/>
                <w:lang w:val="en-US" w:eastAsia="zh-CN"/>
              </w:rPr>
              <w:t>挂钩标的</w:t>
            </w:r>
          </w:p>
        </w:tc>
        <w:tc>
          <w:tcPr>
            <w:tcW w:w="6323"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USD/JPY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产品预期年化收益率</w:t>
            </w:r>
          </w:p>
        </w:tc>
        <w:tc>
          <w:tcPr>
            <w:tcW w:w="6323" w:type="dxa"/>
            <w:vAlign w:val="center"/>
          </w:tcPr>
          <w:p>
            <w:pPr>
              <w:keepNext w:val="0"/>
              <w:keepLines w:val="0"/>
              <w:widowControl/>
              <w:suppressLineNumbers w:val="0"/>
              <w:jc w:val="both"/>
              <w:textAlignment w:val="center"/>
              <w:rPr>
                <w:rFonts w:hint="default" w:eastAsiaTheme="minorEastAsia"/>
                <w:bCs/>
                <w:color w:val="000000"/>
                <w:kern w:val="0"/>
                <w:szCs w:val="21"/>
                <w:highlight w:val="none"/>
                <w:lang w:val="en-US"/>
              </w:rPr>
            </w:pPr>
            <w:r>
              <w:rPr>
                <w:rFonts w:hint="default" w:eastAsiaTheme="minorEastAsia"/>
                <w:bCs/>
                <w:color w:val="000000"/>
                <w:kern w:val="0"/>
                <w:szCs w:val="21"/>
                <w:highlight w:val="none"/>
                <w:lang w:val="en-US"/>
              </w:rPr>
              <w:t>年化收益率=1.55%+1.65%×n/N，其中N为观察期内美元对日元汇率交易日总天数，n为观察期内美元对日元汇率的定盘价在[期初观察日定盘价-10.00，期初观察日定盘价+10.00]区间内的交易日天数。上述定盘价指观察日当日东京时间下午15:00彭博BFIX界面显示的美元对日元汇率中间价，交易日指彭博BFIX界面公布价格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highlight w:val="none"/>
                <w:lang w:val="en-US" w:eastAsia="zh-CN"/>
              </w:rPr>
            </w:pPr>
            <w:r>
              <w:rPr>
                <w:rFonts w:hint="eastAsia" w:asciiTheme="minorEastAsia" w:hAnsiTheme="minorEastAsia" w:eastAsiaTheme="minorEastAsia" w:cstheme="minorEastAsia"/>
                <w:b/>
                <w:color w:val="000000"/>
                <w:kern w:val="0"/>
                <w:szCs w:val="21"/>
                <w:highlight w:val="none"/>
              </w:rPr>
              <w:t>资金</w:t>
            </w:r>
            <w:r>
              <w:rPr>
                <w:rFonts w:hint="eastAsia" w:asciiTheme="minorEastAsia" w:hAnsiTheme="minorEastAsia" w:eastAsiaTheme="minorEastAsia" w:cstheme="minorEastAsia"/>
                <w:b/>
                <w:color w:val="000000"/>
                <w:kern w:val="0"/>
                <w:szCs w:val="21"/>
                <w:highlight w:val="none"/>
                <w:lang w:val="en-US" w:eastAsia="zh-CN"/>
              </w:rPr>
              <w:t>投向</w:t>
            </w:r>
          </w:p>
        </w:tc>
        <w:tc>
          <w:tcPr>
            <w:tcW w:w="6323" w:type="dxa"/>
            <w:vAlign w:val="center"/>
          </w:tcPr>
          <w:p>
            <w:pPr>
              <w:keepNext w:val="0"/>
              <w:keepLines w:val="0"/>
              <w:widowControl/>
              <w:suppressLineNumbers w:val="0"/>
              <w:jc w:val="both"/>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eastAsiaTheme="minorEastAsia"/>
                <w:bCs/>
                <w:color w:val="000000"/>
                <w:kern w:val="0"/>
                <w:szCs w:val="21"/>
                <w:highlight w:val="none"/>
                <w:lang w:val="en-US" w:eastAsia="zh-CN"/>
              </w:rPr>
              <w:t>本结构性存款产品销售所募集资金本金部分按照存款管理，并以该存款收益部分与交易对手叙作和USD/JPY挂钩的金融衍生品交易。</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（二）风险控制分析</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3、独立董事、监事会有权对募集资金使用和购买理财产品情况进行监督检查，必要时可以聘请专业机构进行审计</w:t>
      </w:r>
      <w:r>
        <w:rPr>
          <w:rFonts w:hint="eastAsia"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4、公司将根据上海证券交易所的有关规定，及时履行信息披露义务</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四</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委托理财受托方的情况</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20" w:firstLineChars="0"/>
        <w:jc w:val="left"/>
        <w:textAlignment w:val="auto"/>
        <w:rPr>
          <w:rFonts w:hint="eastAsia" w:asciiTheme="minorEastAsia" w:hAnsiTheme="minorEastAsia" w:eastAsiaTheme="minorEastAsia" w:cstheme="minorEastAsia"/>
          <w:b/>
          <w:bCs/>
          <w:color w:val="000000"/>
          <w:sz w:val="24"/>
          <w:szCs w:val="24"/>
        </w:rPr>
      </w:pPr>
      <w:r>
        <w:rPr>
          <w:rFonts w:eastAsiaTheme="minorEastAsia"/>
          <w:color w:val="000000"/>
          <w:sz w:val="24"/>
          <w:szCs w:val="24"/>
        </w:rPr>
        <w:t>本次购买理财产品的受托</w:t>
      </w:r>
      <w:r>
        <w:rPr>
          <w:rFonts w:hint="eastAsia" w:eastAsiaTheme="minorEastAsia"/>
          <w:color w:val="000000"/>
          <w:sz w:val="24"/>
          <w:szCs w:val="24"/>
          <w:lang w:val="en-US" w:eastAsia="zh-CN"/>
        </w:rPr>
        <w:t>方民生银行</w:t>
      </w:r>
      <w:r>
        <w:rPr>
          <w:rFonts w:eastAsiaTheme="minorEastAsia"/>
          <w:color w:val="000000"/>
          <w:sz w:val="24"/>
          <w:szCs w:val="24"/>
        </w:rPr>
        <w:t>为上海证券交易所上市公司（公司代码：60</w:t>
      </w:r>
      <w:r>
        <w:rPr>
          <w:rFonts w:hint="eastAsia" w:eastAsiaTheme="minorEastAsia"/>
          <w:color w:val="000000"/>
          <w:sz w:val="24"/>
          <w:szCs w:val="24"/>
          <w:lang w:val="en-US" w:eastAsia="zh-CN"/>
        </w:rPr>
        <w:t>0016</w:t>
      </w:r>
      <w:r>
        <w:rPr>
          <w:rFonts w:eastAsiaTheme="minorEastAsia"/>
          <w:color w:val="000000"/>
          <w:sz w:val="24"/>
          <w:szCs w:val="24"/>
        </w:rPr>
        <w:t>）与公司、公司控股股东及其一致行动人、实际控制人之间不存在产权、业务、资产、债权债务、人员等关联关系。</w:t>
      </w:r>
    </w:p>
    <w:p>
      <w:pPr>
        <w:keepNext w:val="0"/>
        <w:keepLines w:val="0"/>
        <w:widowControl/>
        <w:numPr>
          <w:ilvl w:val="0"/>
          <w:numId w:val="2"/>
        </w:numPr>
        <w:suppressLineNumbers w:val="0"/>
        <w:spacing w:line="360" w:lineRule="auto"/>
        <w:ind w:left="368" w:leftChars="175" w:firstLine="0" w:firstLineChars="0"/>
        <w:jc w:val="left"/>
        <w:rPr>
          <w:rFonts w:hint="default" w:asciiTheme="minorEastAsia" w:hAnsiTheme="minorEastAsia" w:eastAsiaTheme="minorEastAsia" w:cstheme="minorEastAsia"/>
          <w:b/>
          <w:bCs/>
          <w:color w:val="000000"/>
          <w:sz w:val="24"/>
          <w:szCs w:val="24"/>
          <w:lang w:val="en-US" w:eastAsia="zh-CN"/>
        </w:rPr>
      </w:pPr>
      <w:r>
        <w:rPr>
          <w:rFonts w:hint="default" w:asciiTheme="minorEastAsia" w:hAnsiTheme="minorEastAsia" w:eastAsiaTheme="minorEastAsia" w:cstheme="minorEastAsia"/>
          <w:b/>
          <w:bCs/>
          <w:color w:val="000000"/>
          <w:sz w:val="24"/>
          <w:szCs w:val="24"/>
          <w:lang w:val="en-US" w:eastAsia="zh-CN"/>
        </w:rPr>
        <w:t>公司董事会尽职调查情况</w:t>
      </w:r>
    </w:p>
    <w:p>
      <w:pPr>
        <w:keepNext w:val="0"/>
        <w:keepLines w:val="0"/>
        <w:widowControl/>
        <w:numPr>
          <w:ilvl w:val="0"/>
          <w:numId w:val="0"/>
        </w:numPr>
        <w:suppressLineNumbers w:val="0"/>
        <w:spacing w:line="360" w:lineRule="auto"/>
        <w:ind w:left="0" w:leftChars="0" w:firstLine="420" w:firstLineChars="175"/>
        <w:jc w:val="both"/>
        <w:rPr>
          <w:rFonts w:hint="default"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公司董事会授权公司董事长在额度范围和时效内行使该项投资决策权并签署相关合同文件，并由公司管理层组织相关部门实施。公司</w:t>
      </w:r>
      <w:r>
        <w:rPr>
          <w:rFonts w:hint="default" w:asciiTheme="minorEastAsia" w:hAnsiTheme="minorEastAsia" w:eastAsiaTheme="minorEastAsia" w:cstheme="minorEastAsia"/>
          <w:color w:val="000000"/>
          <w:sz w:val="24"/>
          <w:szCs w:val="24"/>
          <w:lang w:val="en-US" w:eastAsia="zh-CN"/>
        </w:rPr>
        <w:t>管理层对受托方、资金使用方等交易各方当事人的基本情况、信用情况及其交易履约能力等进行了必要的尽职调查，未发现存在损害公司</w:t>
      </w:r>
      <w:r>
        <w:rPr>
          <w:rFonts w:hint="eastAsia" w:asciiTheme="minorEastAsia" w:hAnsiTheme="minorEastAsia" w:eastAsiaTheme="minorEastAsia" w:cstheme="minorEastAsia"/>
          <w:color w:val="000000"/>
          <w:sz w:val="24"/>
          <w:szCs w:val="24"/>
          <w:lang w:val="en-US" w:eastAsia="zh-CN"/>
        </w:rPr>
        <w:t>现金管理</w:t>
      </w:r>
      <w:r>
        <w:rPr>
          <w:rFonts w:hint="default" w:asciiTheme="minorEastAsia" w:hAnsiTheme="minorEastAsia" w:eastAsiaTheme="minorEastAsia" w:cstheme="minorEastAsia"/>
          <w:color w:val="000000"/>
          <w:sz w:val="24"/>
          <w:szCs w:val="24"/>
          <w:lang w:val="en-US" w:eastAsia="zh-CN"/>
        </w:rPr>
        <w:t>业务开展的具体情况。</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五</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对公司的影响</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highlight w:val="none"/>
        </w:rPr>
      </w:pPr>
      <w:r>
        <w:rPr>
          <w:rFonts w:hint="eastAsia" w:eastAsiaTheme="minorEastAsia"/>
          <w:color w:val="000000"/>
          <w:sz w:val="24"/>
          <w:szCs w:val="24"/>
          <w:highlight w:val="none"/>
        </w:rPr>
        <w:t>公司最近一年一期的主要财务指标如下：</w:t>
      </w:r>
    </w:p>
    <w:p>
      <w:pPr>
        <w:widowControl/>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2"/>
        <w:tblW w:w="8281" w:type="dxa"/>
        <w:jc w:val="center"/>
        <w:tblLayout w:type="autofit"/>
        <w:tblCellMar>
          <w:top w:w="0" w:type="dxa"/>
          <w:left w:w="108" w:type="dxa"/>
          <w:bottom w:w="0" w:type="dxa"/>
          <w:right w:w="108" w:type="dxa"/>
        </w:tblCellMar>
      </w:tblPr>
      <w:tblGrid>
        <w:gridCol w:w="2990"/>
        <w:gridCol w:w="2716"/>
        <w:gridCol w:w="2575"/>
      </w:tblGrid>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项</w:t>
            </w:r>
            <w:r>
              <w:rPr>
                <w:rFonts w:hint="eastAsia" w:eastAsiaTheme="minorEastAsia"/>
                <w:b/>
                <w:color w:val="000000"/>
                <w:kern w:val="0"/>
                <w:szCs w:val="21"/>
              </w:rPr>
              <w:t xml:space="preserve"> </w:t>
            </w:r>
            <w:r>
              <w:rPr>
                <w:rFonts w:eastAsiaTheme="minorEastAsia"/>
                <w:b/>
                <w:color w:val="000000"/>
                <w:kern w:val="0"/>
                <w:szCs w:val="21"/>
              </w:rPr>
              <w:t xml:space="preserve"> 目</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20</w:t>
            </w:r>
            <w:r>
              <w:rPr>
                <w:rFonts w:hint="eastAsia" w:eastAsiaTheme="minorEastAsia"/>
                <w:b/>
                <w:color w:val="000000"/>
                <w:kern w:val="0"/>
                <w:szCs w:val="21"/>
                <w:lang w:val="en-US" w:eastAsia="zh-CN"/>
              </w:rPr>
              <w:t>21</w:t>
            </w:r>
            <w:r>
              <w:rPr>
                <w:rFonts w:eastAsiaTheme="minorEastAsia"/>
                <w:b/>
                <w:color w:val="000000"/>
                <w:kern w:val="0"/>
                <w:szCs w:val="21"/>
              </w:rPr>
              <w:t>年12月31日</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center"/>
              <w:rPr>
                <w:rFonts w:ascii="仿宋_GB2312" w:hAnsi="宋体" w:eastAsia="仿宋_GB2312" w:cs="宋体"/>
                <w:b/>
                <w:color w:val="000000"/>
                <w:kern w:val="0"/>
                <w:szCs w:val="21"/>
              </w:rPr>
            </w:pPr>
            <w:r>
              <w:rPr>
                <w:rFonts w:eastAsiaTheme="minorEastAsia"/>
                <w:b/>
                <w:color w:val="000000"/>
                <w:kern w:val="0"/>
                <w:szCs w:val="21"/>
              </w:rPr>
              <w:t>202</w:t>
            </w:r>
            <w:r>
              <w:rPr>
                <w:rFonts w:hint="eastAsia" w:eastAsiaTheme="minorEastAsia"/>
                <w:b/>
                <w:color w:val="000000"/>
                <w:kern w:val="0"/>
                <w:szCs w:val="21"/>
                <w:lang w:val="en-US" w:eastAsia="zh-CN"/>
              </w:rPr>
              <w:t>2</w:t>
            </w:r>
            <w:r>
              <w:rPr>
                <w:rFonts w:eastAsiaTheme="minorEastAsia"/>
                <w:b/>
                <w:color w:val="000000"/>
                <w:kern w:val="0"/>
                <w:szCs w:val="21"/>
              </w:rPr>
              <w:t>年</w:t>
            </w:r>
            <w:r>
              <w:rPr>
                <w:rFonts w:hint="eastAsia" w:eastAsiaTheme="minorEastAsia"/>
                <w:b/>
                <w:color w:val="000000"/>
                <w:kern w:val="0"/>
                <w:szCs w:val="21"/>
                <w:lang w:val="en-US" w:eastAsia="zh-CN"/>
              </w:rPr>
              <w:t>3</w:t>
            </w:r>
            <w:r>
              <w:rPr>
                <w:rFonts w:eastAsiaTheme="minorEastAsia"/>
                <w:b/>
                <w:color w:val="000000"/>
                <w:kern w:val="0"/>
                <w:szCs w:val="21"/>
              </w:rPr>
              <w:t>月3</w:t>
            </w:r>
            <w:r>
              <w:rPr>
                <w:rFonts w:hint="eastAsia" w:eastAsiaTheme="minorEastAsia"/>
                <w:b/>
                <w:color w:val="000000"/>
                <w:kern w:val="0"/>
                <w:szCs w:val="21"/>
                <w:lang w:val="en-US" w:eastAsia="zh-CN"/>
              </w:rPr>
              <w:t>1</w:t>
            </w:r>
            <w:r>
              <w:rPr>
                <w:rFonts w:eastAsiaTheme="minorEastAsia"/>
                <w:b/>
                <w:color w:val="000000"/>
                <w:kern w:val="0"/>
                <w:szCs w:val="21"/>
              </w:rPr>
              <w:t>日</w:t>
            </w:r>
          </w:p>
        </w:tc>
      </w:tr>
      <w:tr>
        <w:tblPrEx>
          <w:tblCellMar>
            <w:top w:w="0" w:type="dxa"/>
            <w:left w:w="108" w:type="dxa"/>
            <w:bottom w:w="0" w:type="dxa"/>
            <w:right w:w="108" w:type="dxa"/>
          </w:tblCellMar>
        </w:tblPrEx>
        <w:trPr>
          <w:trHeight w:val="90"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资产总额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t>1,903,713,079.42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1,853,668,283.31</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负债总额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t>507,790,887.72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511,710,691.69</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所有者权益合计</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t>1,395,922,191.70</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1,341,957,591.62</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Cs/>
                <w:color w:val="000000"/>
                <w:kern w:val="0"/>
                <w:szCs w:val="21"/>
              </w:rPr>
              <w:t>经营活动产生的现金</w:t>
            </w:r>
            <w:r>
              <w:rPr>
                <w:rFonts w:hint="eastAsia" w:eastAsiaTheme="minorEastAsia"/>
                <w:bCs/>
                <w:color w:val="000000"/>
                <w:kern w:val="0"/>
                <w:szCs w:val="21"/>
                <w:lang w:val="en-US" w:eastAsia="zh-CN"/>
              </w:rPr>
              <w:t>流量</w:t>
            </w:r>
            <w:r>
              <w:rPr>
                <w:rFonts w:eastAsiaTheme="minorEastAsia"/>
                <w:bCs/>
                <w:color w:val="000000"/>
                <w:kern w:val="0"/>
                <w:szCs w:val="21"/>
              </w:rPr>
              <w:t>净额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
                <w:color w:val="000000"/>
                <w:kern w:val="0"/>
                <w:szCs w:val="21"/>
              </w:rPr>
            </w:pPr>
            <w:r>
              <w:t>-12,617,595.37</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
                <w:color w:val="000000"/>
                <w:kern w:val="0"/>
                <w:szCs w:val="21"/>
              </w:rPr>
            </w:pPr>
            <w:r>
              <w:t>-133,429,081.93</w:t>
            </w:r>
          </w:p>
        </w:tc>
      </w:tr>
    </w:tbl>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在符合国家法律法规，确保不影响公司正常运营、公司募集资金投资计划正常进行和募集资金安全的前提下，公司使用部分闲置募集资金进行现金管理购买期限不超过一年的保本型理财产品，可以提高公司资金使用效率，增加存储收益，符合公司和全体股东的利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highlight w:val="none"/>
        </w:rPr>
        <w:t>截止202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3</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31</w:t>
      </w:r>
      <w:r>
        <w:rPr>
          <w:rFonts w:eastAsiaTheme="minorEastAsia"/>
          <w:color w:val="000000"/>
          <w:sz w:val="24"/>
          <w:szCs w:val="24"/>
          <w:highlight w:val="none"/>
        </w:rPr>
        <w:t>日，公司资产负债率为</w:t>
      </w:r>
      <w:r>
        <w:rPr>
          <w:rFonts w:hint="eastAsia" w:cs="Times New Roman" w:eastAsiaTheme="minorEastAsia"/>
          <w:color w:val="000000"/>
          <w:sz w:val="24"/>
          <w:szCs w:val="24"/>
          <w:highlight w:val="none"/>
          <w:lang w:val="en-US" w:eastAsia="zh-CN"/>
        </w:rPr>
        <w:t>27.61</w:t>
      </w:r>
      <w:r>
        <w:rPr>
          <w:rFonts w:eastAsiaTheme="minorEastAsia"/>
          <w:color w:val="000000"/>
          <w:sz w:val="24"/>
          <w:szCs w:val="24"/>
          <w:highlight w:val="none"/>
        </w:rPr>
        <w:t>%，不存在负有大额负债的同时购买大额理财产品的情形，不会对公司未来主营业务、财务</w:t>
      </w:r>
      <w:r>
        <w:rPr>
          <w:rFonts w:eastAsiaTheme="minorEastAsia"/>
          <w:color w:val="000000"/>
          <w:sz w:val="24"/>
          <w:szCs w:val="24"/>
        </w:rPr>
        <w:t>状况、经营成果和现金流量造成较大影响。本次购买的理财产品计入资产负债表中</w:t>
      </w:r>
      <w:r>
        <w:rPr>
          <w:rFonts w:hint="eastAsia" w:eastAsiaTheme="minorEastAsia"/>
          <w:color w:val="000000"/>
          <w:sz w:val="24"/>
          <w:szCs w:val="24"/>
        </w:rPr>
        <w:t>“</w:t>
      </w:r>
      <w:r>
        <w:rPr>
          <w:rFonts w:eastAsiaTheme="minorEastAsia"/>
          <w:color w:val="000000"/>
          <w:sz w:val="24"/>
          <w:szCs w:val="24"/>
        </w:rPr>
        <w:t>交易性金融资产</w:t>
      </w:r>
      <w:r>
        <w:rPr>
          <w:rFonts w:hint="eastAsia" w:eastAsiaTheme="minorEastAsia"/>
          <w:color w:val="000000"/>
          <w:sz w:val="24"/>
          <w:szCs w:val="24"/>
        </w:rPr>
        <w:t>”</w:t>
      </w:r>
      <w:r>
        <w:rPr>
          <w:rFonts w:eastAsiaTheme="minorEastAsia"/>
          <w:color w:val="000000"/>
          <w:sz w:val="24"/>
          <w:szCs w:val="24"/>
        </w:rPr>
        <w:t>，将产生的利息收益计入利润表中</w:t>
      </w:r>
      <w:r>
        <w:rPr>
          <w:rFonts w:hint="eastAsia" w:eastAsiaTheme="minorEastAsia"/>
          <w:color w:val="000000"/>
          <w:sz w:val="24"/>
          <w:szCs w:val="24"/>
        </w:rPr>
        <w:t>“</w:t>
      </w:r>
      <w:r>
        <w:rPr>
          <w:rFonts w:eastAsiaTheme="minorEastAsia"/>
          <w:color w:val="000000"/>
          <w:sz w:val="24"/>
          <w:szCs w:val="24"/>
        </w:rPr>
        <w:t>投资收益</w:t>
      </w:r>
      <w:r>
        <w:rPr>
          <w:rFonts w:hint="eastAsia" w:eastAsiaTheme="minorEastAsia"/>
          <w:color w:val="000000"/>
          <w:sz w:val="24"/>
          <w:szCs w:val="24"/>
        </w:rPr>
        <w:t>”</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6" w:beforeLines="50" w:after="156" w:afterLines="50" w:line="360" w:lineRule="auto"/>
        <w:textAlignment w:val="auto"/>
        <w:rPr>
          <w:rFonts w:eastAsiaTheme="minorEastAsia"/>
          <w:b/>
          <w:bCs/>
          <w:color w:val="000000"/>
          <w:sz w:val="24"/>
          <w:szCs w:val="24"/>
        </w:rPr>
      </w:pPr>
      <w:r>
        <w:rPr>
          <w:rFonts w:hint="eastAsia" w:eastAsiaTheme="minorEastAsia"/>
          <w:b/>
          <w:bCs/>
          <w:color w:val="000000"/>
          <w:sz w:val="24"/>
          <w:szCs w:val="24"/>
          <w:lang w:val="en-US" w:eastAsia="zh-CN"/>
        </w:rPr>
        <w:t>六</w:t>
      </w:r>
      <w:r>
        <w:rPr>
          <w:rFonts w:hint="eastAsia" w:eastAsiaTheme="minorEastAsia"/>
          <w:b/>
          <w:bCs/>
          <w:color w:val="000000"/>
          <w:sz w:val="24"/>
          <w:szCs w:val="24"/>
        </w:rPr>
        <w:t>、风险提示</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尽管本次公司进行现金管理，</w:t>
      </w:r>
      <w:r>
        <w:rPr>
          <w:rFonts w:hint="eastAsia" w:eastAsiaTheme="minorEastAsia"/>
          <w:color w:val="000000"/>
          <w:sz w:val="24"/>
          <w:szCs w:val="24"/>
        </w:rPr>
        <w:t>投资购买的理财品种为安全性高、流动性好、低风险、短期（不超过1年）的理财产品</w:t>
      </w:r>
      <w:r>
        <w:rPr>
          <w:rFonts w:eastAsiaTheme="minorEastAsia"/>
          <w:color w:val="000000"/>
          <w:sz w:val="24"/>
          <w:szCs w:val="24"/>
        </w:rPr>
        <w:t>，但金融市场受宏观经济、财政及货币政策的影响较大，该项投资仍会受到市场波动的影响。</w:t>
      </w:r>
      <w:r>
        <w:rPr>
          <w:rFonts w:hint="eastAsia" w:eastAsiaTheme="minorEastAsia"/>
          <w:color w:val="000000"/>
          <w:sz w:val="24"/>
          <w:szCs w:val="24"/>
        </w:rPr>
        <w:t>敬请广大投资者谨慎决策，注意防范投资风险。</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eastAsiaTheme="minorEastAsia"/>
          <w:b/>
          <w:color w:val="000000"/>
          <w:sz w:val="24"/>
          <w:szCs w:val="24"/>
          <w:lang w:val="en-US" w:eastAsia="zh-CN"/>
        </w:rPr>
        <w:t>七</w:t>
      </w:r>
      <w:r>
        <w:rPr>
          <w:rFonts w:hint="eastAsia" w:eastAsiaTheme="minorEastAsia"/>
          <w:b/>
          <w:color w:val="000000"/>
          <w:sz w:val="24"/>
          <w:szCs w:val="24"/>
        </w:rPr>
        <w:t>、</w:t>
      </w:r>
      <w:r>
        <w:rPr>
          <w:rFonts w:asciiTheme="minorEastAsia" w:hAnsiTheme="minorEastAsia" w:eastAsiaTheme="minorEastAsia" w:cstheme="minorEastAsia"/>
          <w:b/>
          <w:bCs/>
          <w:color w:val="000000"/>
          <w:sz w:val="24"/>
          <w:szCs w:val="24"/>
        </w:rPr>
        <w:t>决策程序的履行及监事会、独立董事、保荐机构意见</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kern w:val="0"/>
          <w:sz w:val="24"/>
          <w:szCs w:val="24"/>
          <w:highlight w:val="none"/>
          <w:lang w:bidi="ar"/>
        </w:rPr>
        <w:t>公司于202</w:t>
      </w:r>
      <w:r>
        <w:rPr>
          <w:rFonts w:hint="eastAsia" w:eastAsiaTheme="minorEastAsia"/>
          <w:color w:val="000000"/>
          <w:kern w:val="0"/>
          <w:sz w:val="24"/>
          <w:szCs w:val="24"/>
          <w:highlight w:val="none"/>
          <w:lang w:val="en-US" w:eastAsia="zh-CN" w:bidi="ar"/>
        </w:rPr>
        <w:t>2</w:t>
      </w:r>
      <w:r>
        <w:rPr>
          <w:rFonts w:eastAsiaTheme="minorEastAsia"/>
          <w:color w:val="000000"/>
          <w:kern w:val="0"/>
          <w:sz w:val="24"/>
          <w:szCs w:val="24"/>
          <w:highlight w:val="none"/>
          <w:lang w:bidi="ar"/>
        </w:rPr>
        <w:t>年</w:t>
      </w:r>
      <w:r>
        <w:rPr>
          <w:rFonts w:hint="eastAsia" w:eastAsiaTheme="minorEastAsia"/>
          <w:color w:val="000000"/>
          <w:kern w:val="0"/>
          <w:sz w:val="24"/>
          <w:szCs w:val="24"/>
          <w:highlight w:val="none"/>
          <w:lang w:val="en-US" w:eastAsia="zh-CN" w:bidi="ar"/>
        </w:rPr>
        <w:t>4</w:t>
      </w:r>
      <w:r>
        <w:rPr>
          <w:rFonts w:eastAsiaTheme="minorEastAsia"/>
          <w:color w:val="000000"/>
          <w:kern w:val="0"/>
          <w:sz w:val="24"/>
          <w:szCs w:val="24"/>
          <w:highlight w:val="none"/>
          <w:lang w:bidi="ar"/>
        </w:rPr>
        <w:t>月</w:t>
      </w:r>
      <w:r>
        <w:rPr>
          <w:rFonts w:hint="eastAsia" w:eastAsiaTheme="minorEastAsia"/>
          <w:color w:val="000000"/>
          <w:kern w:val="0"/>
          <w:sz w:val="24"/>
          <w:szCs w:val="24"/>
          <w:highlight w:val="none"/>
          <w:lang w:val="en-US" w:eastAsia="zh-CN" w:bidi="ar"/>
        </w:rPr>
        <w:t>25</w:t>
      </w:r>
      <w:r>
        <w:rPr>
          <w:rFonts w:eastAsiaTheme="minorEastAsia"/>
          <w:color w:val="000000"/>
          <w:kern w:val="0"/>
          <w:sz w:val="24"/>
          <w:szCs w:val="24"/>
          <w:highlight w:val="none"/>
          <w:lang w:bidi="ar"/>
        </w:rPr>
        <w:t>日召开了公司第七届董事会第</w:t>
      </w:r>
      <w:r>
        <w:rPr>
          <w:rFonts w:hint="eastAsia" w:eastAsiaTheme="minorEastAsia"/>
          <w:color w:val="000000"/>
          <w:kern w:val="0"/>
          <w:sz w:val="24"/>
          <w:szCs w:val="24"/>
          <w:highlight w:val="none"/>
          <w:lang w:val="en-US" w:eastAsia="zh-CN" w:bidi="ar"/>
        </w:rPr>
        <w:t>二十三</w:t>
      </w:r>
      <w:r>
        <w:rPr>
          <w:rFonts w:eastAsiaTheme="minorEastAsia"/>
          <w:color w:val="000000"/>
          <w:kern w:val="0"/>
          <w:sz w:val="24"/>
          <w:szCs w:val="24"/>
          <w:highlight w:val="none"/>
          <w:lang w:bidi="ar"/>
        </w:rPr>
        <w:t>次会议、第七届监事会第</w:t>
      </w:r>
      <w:r>
        <w:rPr>
          <w:rFonts w:hint="eastAsia" w:eastAsiaTheme="minorEastAsia"/>
          <w:color w:val="000000"/>
          <w:kern w:val="0"/>
          <w:sz w:val="24"/>
          <w:szCs w:val="24"/>
          <w:highlight w:val="none"/>
          <w:lang w:val="en-US" w:eastAsia="zh-CN" w:bidi="ar"/>
        </w:rPr>
        <w:t>二十</w:t>
      </w:r>
      <w:r>
        <w:rPr>
          <w:rFonts w:eastAsiaTheme="minorEastAsia"/>
          <w:color w:val="000000"/>
          <w:kern w:val="0"/>
          <w:sz w:val="24"/>
          <w:szCs w:val="24"/>
          <w:highlight w:val="none"/>
          <w:lang w:bidi="ar"/>
        </w:rPr>
        <w:t>次会议，</w:t>
      </w:r>
      <w:r>
        <w:rPr>
          <w:rFonts w:eastAsiaTheme="minorEastAsia"/>
          <w:color w:val="000000"/>
          <w:sz w:val="24"/>
          <w:szCs w:val="24"/>
          <w:highlight w:val="none"/>
        </w:rPr>
        <w:t>审议通过了《关于使用部分闲置募集资</w:t>
      </w:r>
      <w:r>
        <w:rPr>
          <w:rFonts w:eastAsiaTheme="minorEastAsia"/>
          <w:color w:val="000000"/>
          <w:sz w:val="24"/>
          <w:szCs w:val="24"/>
        </w:rPr>
        <w:t>金进行现金管理的议案》。同意公司使用总额不超过人民币</w:t>
      </w:r>
      <w:r>
        <w:rPr>
          <w:rFonts w:hint="eastAsia" w:eastAsiaTheme="minorEastAsia"/>
          <w:color w:val="000000"/>
          <w:sz w:val="24"/>
          <w:szCs w:val="24"/>
          <w:lang w:val="en-US" w:eastAsia="zh-CN"/>
        </w:rPr>
        <w:t>5</w:t>
      </w:r>
      <w:r>
        <w:rPr>
          <w:rFonts w:eastAsiaTheme="minorEastAsia"/>
          <w:color w:val="000000"/>
          <w:sz w:val="24"/>
          <w:szCs w:val="24"/>
        </w:rPr>
        <w:t>亿元（含</w:t>
      </w:r>
      <w:r>
        <w:rPr>
          <w:rFonts w:hint="eastAsia" w:eastAsiaTheme="minorEastAsia"/>
          <w:color w:val="000000"/>
          <w:sz w:val="24"/>
          <w:szCs w:val="24"/>
          <w:lang w:val="en-US" w:eastAsia="zh-CN"/>
        </w:rPr>
        <w:t>5</w:t>
      </w:r>
      <w:r>
        <w:rPr>
          <w:rFonts w:eastAsiaTheme="minorEastAsia"/>
          <w:color w:val="000000"/>
          <w:sz w:val="24"/>
          <w:szCs w:val="24"/>
        </w:rPr>
        <w:t>亿元）的闲置募集资金进行现金管理，</w:t>
      </w:r>
      <w:r>
        <w:rPr>
          <w:rFonts w:hint="default" w:eastAsiaTheme="minorEastAsia"/>
          <w:color w:val="000000"/>
          <w:kern w:val="0"/>
          <w:sz w:val="24"/>
          <w:szCs w:val="24"/>
          <w:highlight w:val="none"/>
          <w:lang w:bidi="ar"/>
        </w:rPr>
        <w:t>在</w:t>
      </w:r>
      <w:r>
        <w:rPr>
          <w:rFonts w:hint="default" w:eastAsiaTheme="minorEastAsia"/>
          <w:color w:val="000000"/>
          <w:kern w:val="0"/>
          <w:sz w:val="24"/>
          <w:szCs w:val="24"/>
          <w:highlight w:val="none"/>
          <w:lang w:val="en-US" w:eastAsia="zh-CN" w:bidi="ar"/>
        </w:rPr>
        <w:t>12个月</w:t>
      </w:r>
      <w:r>
        <w:rPr>
          <w:rFonts w:hint="default" w:eastAsiaTheme="minorEastAsia"/>
          <w:color w:val="000000"/>
          <w:kern w:val="0"/>
          <w:sz w:val="24"/>
          <w:szCs w:val="24"/>
          <w:highlight w:val="none"/>
          <w:lang w:bidi="ar"/>
        </w:rPr>
        <w:t>内（</w:t>
      </w:r>
      <w:r>
        <w:rPr>
          <w:rFonts w:hint="default" w:eastAsiaTheme="minorEastAsia"/>
          <w:color w:val="000000"/>
          <w:kern w:val="0"/>
          <w:sz w:val="24"/>
          <w:szCs w:val="24"/>
          <w:highlight w:val="none"/>
          <w:lang w:val="en-US" w:eastAsia="zh-CN" w:bidi="ar"/>
        </w:rPr>
        <w:t>含12个月</w:t>
      </w:r>
      <w:r>
        <w:rPr>
          <w:rFonts w:hint="default" w:eastAsiaTheme="minorEastAsia"/>
          <w:color w:val="000000"/>
          <w:kern w:val="0"/>
          <w:sz w:val="24"/>
          <w:szCs w:val="24"/>
          <w:highlight w:val="none"/>
          <w:lang w:bidi="ar"/>
        </w:rPr>
        <w:t>）该项资金额度可滚动使用（以保证募集资金项目建设和使用为前提）</w:t>
      </w:r>
      <w:r>
        <w:rPr>
          <w:rFonts w:eastAsiaTheme="minorEastAsia"/>
          <w:color w:val="000000"/>
          <w:kern w:val="0"/>
          <w:sz w:val="24"/>
          <w:szCs w:val="24"/>
          <w:highlight w:val="none"/>
          <w:lang w:bidi="ar"/>
        </w:rPr>
        <w:t>，</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自获得公司第七届董事会第二十三次会议审议通过之日起12个月内（含12个月）有效。</w:t>
      </w:r>
      <w:r>
        <w:rPr>
          <w:rFonts w:eastAsiaTheme="minorEastAsia"/>
          <w:color w:val="000000"/>
          <w:sz w:val="24"/>
          <w:szCs w:val="24"/>
        </w:rPr>
        <w:t>公司独立董事、监</w:t>
      </w:r>
      <w:r>
        <w:rPr>
          <w:rFonts w:eastAsiaTheme="minorEastAsia"/>
          <w:color w:val="000000"/>
          <w:sz w:val="24"/>
          <w:szCs w:val="24"/>
          <w:highlight w:val="none"/>
        </w:rPr>
        <w:t>事会及保荐机构已分别对此发表了同意的意见。具体详情详见公司</w:t>
      </w:r>
      <w:bookmarkStart w:id="0" w:name="_GoBack"/>
      <w:bookmarkEnd w:id="0"/>
      <w:r>
        <w:rPr>
          <w:rFonts w:eastAsiaTheme="minorEastAsia"/>
          <w:color w:val="000000"/>
          <w:sz w:val="24"/>
          <w:szCs w:val="24"/>
          <w:highlight w:val="none"/>
        </w:rPr>
        <w:t>于202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4</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26</w:t>
      </w:r>
      <w:r>
        <w:rPr>
          <w:rFonts w:eastAsiaTheme="minorEastAsia"/>
          <w:color w:val="000000"/>
          <w:sz w:val="24"/>
          <w:szCs w:val="24"/>
          <w:highlight w:val="none"/>
        </w:rPr>
        <w:t>日刊</w:t>
      </w:r>
      <w:r>
        <w:rPr>
          <w:rFonts w:eastAsiaTheme="minorEastAsia"/>
          <w:color w:val="000000"/>
          <w:sz w:val="24"/>
          <w:szCs w:val="24"/>
        </w:rPr>
        <w:t>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lang w:val="en-US" w:eastAsia="zh-CN"/>
        </w:rPr>
        <w:t>2</w:t>
      </w:r>
      <w:r>
        <w:rPr>
          <w:rFonts w:eastAsiaTheme="minorEastAsia"/>
          <w:color w:val="000000"/>
          <w:sz w:val="24"/>
          <w:szCs w:val="24"/>
        </w:rPr>
        <w:t>-0</w:t>
      </w:r>
      <w:r>
        <w:rPr>
          <w:rFonts w:hint="eastAsia" w:eastAsiaTheme="minorEastAsia"/>
          <w:color w:val="000000"/>
          <w:sz w:val="24"/>
          <w:szCs w:val="24"/>
          <w:lang w:val="en-US" w:eastAsia="zh-CN"/>
        </w:rPr>
        <w:t>13</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val="en-US" w:eastAsia="zh-CN"/>
        </w:rPr>
        <w:t>八</w:t>
      </w:r>
      <w:r>
        <w:rPr>
          <w:rFonts w:hint="eastAsia" w:asciiTheme="minorEastAsia" w:hAnsiTheme="minorEastAsia" w:eastAsiaTheme="minorEastAsia" w:cstheme="minorEastAsia"/>
          <w:b/>
          <w:bCs/>
          <w:color w:val="000000"/>
          <w:sz w:val="24"/>
          <w:szCs w:val="24"/>
          <w:highlight w:val="none"/>
        </w:rPr>
        <w:t>、</w:t>
      </w:r>
      <w:r>
        <w:rPr>
          <w:rFonts w:asciiTheme="minorEastAsia" w:hAnsiTheme="minorEastAsia" w:eastAsiaTheme="minorEastAsia" w:cstheme="minorEastAsia"/>
          <w:b/>
          <w:bCs/>
          <w:color w:val="000000"/>
          <w:sz w:val="24"/>
          <w:szCs w:val="24"/>
          <w:highlight w:val="none"/>
        </w:rPr>
        <w:t>截至本公告日，公司最近十二个月使用募集资金委托理财的情况</w:t>
      </w:r>
    </w:p>
    <w:p>
      <w:pPr>
        <w:widowControl/>
        <w:ind w:left="368" w:leftChars="175"/>
        <w:jc w:val="right"/>
        <w:rPr>
          <w:rFonts w:hint="eastAsia" w:ascii="宋体" w:hAnsi="宋体"/>
          <w:bCs/>
          <w:szCs w:val="21"/>
        </w:rPr>
      </w:pPr>
      <w:r>
        <w:rPr>
          <w:rFonts w:hint="eastAsia" w:ascii="宋体" w:hAnsi="宋体"/>
          <w:bCs/>
          <w:szCs w:val="21"/>
        </w:rPr>
        <w:t>单位：万元</w:t>
      </w:r>
    </w:p>
    <w:tbl>
      <w:tblPr>
        <w:tblStyle w:val="2"/>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序号</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理财产品类型</w:t>
            </w:r>
          </w:p>
        </w:tc>
        <w:tc>
          <w:tcPr>
            <w:tcW w:w="15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实际投入金额</w:t>
            </w:r>
          </w:p>
        </w:tc>
        <w:tc>
          <w:tcPr>
            <w:tcW w:w="1701"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实际收回本金</w:t>
            </w:r>
          </w:p>
        </w:tc>
        <w:tc>
          <w:tcPr>
            <w:tcW w:w="1378"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实际收益</w:t>
            </w:r>
          </w:p>
        </w:tc>
        <w:tc>
          <w:tcPr>
            <w:tcW w:w="1449" w:type="dxa"/>
            <w:vAlign w:val="top"/>
          </w:tcPr>
          <w:p>
            <w:pPr>
              <w:widowControl/>
              <w:jc w:val="center"/>
              <w:textAlignment w:val="center"/>
              <w:rPr>
                <w:color w:val="000000"/>
                <w:kern w:val="0"/>
                <w:szCs w:val="21"/>
                <w:highlight w:val="none"/>
                <w:lang w:bidi="ar"/>
              </w:rPr>
            </w:pPr>
            <w:r>
              <w:rPr>
                <w:color w:val="000000"/>
                <w:kern w:val="0"/>
                <w:szCs w:val="21"/>
                <w:highlight w:val="none"/>
                <w:lang w:bidi="ar"/>
              </w:rPr>
              <w:t>尚未收回</w:t>
            </w:r>
          </w:p>
          <w:p>
            <w:pPr>
              <w:widowControl/>
              <w:jc w:val="center"/>
              <w:textAlignment w:val="center"/>
              <w:rPr>
                <w:color w:val="000000"/>
                <w:kern w:val="0"/>
                <w:szCs w:val="21"/>
                <w:highlight w:val="none"/>
                <w:lang w:bidi="ar"/>
              </w:rPr>
            </w:pPr>
            <w:r>
              <w:rPr>
                <w:color w:val="000000"/>
                <w:kern w:val="0"/>
                <w:szCs w:val="21"/>
                <w:highlight w:val="none"/>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1</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20,000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20,000.00</w:t>
            </w:r>
          </w:p>
        </w:tc>
        <w:tc>
          <w:tcPr>
            <w:tcW w:w="1378"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892.63</w:t>
            </w:r>
          </w:p>
        </w:tc>
        <w:tc>
          <w:tcPr>
            <w:tcW w:w="1449" w:type="dxa"/>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2</w:t>
            </w:r>
          </w:p>
        </w:tc>
        <w:tc>
          <w:tcPr>
            <w:tcW w:w="1559"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69.21</w:t>
            </w:r>
          </w:p>
        </w:tc>
        <w:tc>
          <w:tcPr>
            <w:tcW w:w="1449" w:type="dxa"/>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3</w:t>
            </w:r>
          </w:p>
        </w:tc>
        <w:tc>
          <w:tcPr>
            <w:tcW w:w="1559"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8,000.00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yellow"/>
                <w:lang w:val="en-US" w:eastAsia="zh-CN" w:bidi="ar"/>
              </w:rPr>
            </w:pPr>
            <w:r>
              <w:rPr>
                <w:rFonts w:hint="eastAsia"/>
                <w:color w:val="000000"/>
                <w:kern w:val="0"/>
                <w:szCs w:val="21"/>
                <w:highlight w:val="none"/>
                <w:lang w:val="en-US" w:eastAsia="zh-CN" w:bidi="ar"/>
              </w:rPr>
              <w:t>8,000.00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yellow"/>
                <w:lang w:val="en-US" w:eastAsia="zh-CN" w:bidi="ar"/>
              </w:rPr>
            </w:pPr>
            <w:r>
              <w:rPr>
                <w:rFonts w:hint="eastAsia"/>
                <w:color w:val="000000"/>
                <w:kern w:val="0"/>
                <w:szCs w:val="21"/>
                <w:highlight w:val="none"/>
                <w:lang w:val="en-US" w:eastAsia="zh-CN" w:bidi="ar"/>
              </w:rPr>
              <w:t>355.35</w:t>
            </w:r>
          </w:p>
        </w:tc>
        <w:tc>
          <w:tcPr>
            <w:tcW w:w="1449" w:type="dxa"/>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4</w:t>
            </w:r>
          </w:p>
        </w:tc>
        <w:tc>
          <w:tcPr>
            <w:tcW w:w="1559"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7,500.00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auto"/>
                <w:kern w:val="0"/>
                <w:szCs w:val="21"/>
                <w:highlight w:val="none"/>
                <w:lang w:val="en-US" w:eastAsia="zh-CN" w:bidi="ar"/>
              </w:rPr>
              <w:t>73.97</w:t>
            </w:r>
          </w:p>
        </w:tc>
        <w:tc>
          <w:tcPr>
            <w:tcW w:w="1449" w:type="dxa"/>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5</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3,000.00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3,000.00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21.80</w:t>
            </w:r>
          </w:p>
        </w:tc>
        <w:tc>
          <w:tcPr>
            <w:tcW w:w="1449" w:type="dxa"/>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6</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4,000.00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4,000.00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32.79</w:t>
            </w:r>
          </w:p>
        </w:tc>
        <w:tc>
          <w:tcPr>
            <w:tcW w:w="1449" w:type="dxa"/>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7</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118.13</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8</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20,000.00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20,000.00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9</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76.52</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10</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6,500.00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6,500.00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yellow"/>
                <w:lang w:val="en-US" w:eastAsia="zh-CN" w:bidi="ar"/>
              </w:rPr>
            </w:pPr>
            <w:r>
              <w:rPr>
                <w:rFonts w:hint="eastAsia" w:cs="Times New Roman"/>
                <w:color w:val="auto"/>
                <w:kern w:val="0"/>
                <w:sz w:val="21"/>
                <w:szCs w:val="21"/>
                <w:highlight w:val="none"/>
                <w:lang w:val="en-US" w:eastAsia="zh-CN" w:bidi="ar"/>
              </w:rPr>
              <w:t>96.16</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yellow"/>
                <w:lang w:val="en-US" w:eastAsia="zh-CN" w:bidi="ar"/>
              </w:rPr>
            </w:pPr>
            <w:r>
              <w:rPr>
                <w:rFonts w:hint="eastAsia"/>
                <w:color w:val="auto"/>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11</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6,000.00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6,000.00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yellow"/>
                <w:lang w:val="en-US" w:eastAsia="zh-CN" w:bidi="ar"/>
              </w:rPr>
            </w:pPr>
            <w:r>
              <w:rPr>
                <w:rFonts w:hint="eastAsia" w:cs="Times New Roman"/>
                <w:color w:val="auto"/>
                <w:kern w:val="0"/>
                <w:sz w:val="21"/>
                <w:szCs w:val="21"/>
                <w:highlight w:val="none"/>
                <w:lang w:val="en-US" w:eastAsia="zh-CN" w:bidi="ar"/>
              </w:rPr>
              <w:t>12</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13</w:t>
            </w:r>
          </w:p>
        </w:tc>
        <w:tc>
          <w:tcPr>
            <w:tcW w:w="1559" w:type="dxa"/>
            <w:shd w:val="clear" w:color="auto" w:fill="auto"/>
            <w:vAlign w:val="center"/>
          </w:tcPr>
          <w:p>
            <w:pPr>
              <w:widowControl/>
              <w:jc w:val="center"/>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2,500.00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2,500.00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b/>
                <w:bCs/>
                <w:color w:val="000000"/>
                <w:kern w:val="0"/>
                <w:szCs w:val="21"/>
                <w:lang w:bidi="ar"/>
              </w:rPr>
              <w:t>合计</w:t>
            </w:r>
          </w:p>
        </w:tc>
        <w:tc>
          <w:tcPr>
            <w:tcW w:w="1560"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106,000.00</w:t>
            </w:r>
          </w:p>
        </w:tc>
        <w:tc>
          <w:tcPr>
            <w:tcW w:w="1701"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yellow"/>
                <w:lang w:val="en-US" w:eastAsia="zh-CN" w:bidi="ar"/>
              </w:rPr>
            </w:pPr>
            <w:r>
              <w:rPr>
                <w:rFonts w:hint="eastAsia"/>
                <w:b/>
                <w:bCs/>
                <w:color w:val="000000"/>
                <w:kern w:val="0"/>
                <w:szCs w:val="21"/>
                <w:highlight w:val="none"/>
                <w:lang w:val="en-US" w:eastAsia="zh-CN" w:bidi="ar"/>
              </w:rPr>
              <w:t>70,000.00</w:t>
            </w:r>
          </w:p>
        </w:tc>
        <w:tc>
          <w:tcPr>
            <w:tcW w:w="1378" w:type="dxa"/>
            <w:tcBorders>
              <w:bottom w:val="thinThickSmallGap" w:color="auto" w:sz="24" w:space="0"/>
            </w:tcBorders>
            <w:shd w:val="clear" w:color="auto" w:fill="auto"/>
            <w:vAlign w:val="center"/>
          </w:tcPr>
          <w:p>
            <w:pPr>
              <w:widowControl/>
              <w:jc w:val="right"/>
              <w:textAlignment w:val="center"/>
              <w:rPr>
                <w:rFonts w:hint="default" w:eastAsia="宋体"/>
                <w:b/>
                <w:bCs/>
                <w:color w:val="000000"/>
                <w:kern w:val="0"/>
                <w:szCs w:val="21"/>
                <w:highlight w:val="yellow"/>
                <w:lang w:val="en-US" w:eastAsia="zh-CN" w:bidi="ar"/>
              </w:rPr>
            </w:pPr>
            <w:r>
              <w:rPr>
                <w:rFonts w:hint="eastAsia"/>
                <w:b/>
                <w:bCs/>
                <w:color w:val="000000"/>
                <w:kern w:val="0"/>
                <w:szCs w:val="21"/>
                <w:highlight w:val="none"/>
                <w:lang w:val="en-US" w:eastAsia="zh-CN" w:bidi="ar"/>
              </w:rPr>
              <w:t>1,736.56</w:t>
            </w:r>
          </w:p>
        </w:tc>
        <w:tc>
          <w:tcPr>
            <w:tcW w:w="1449" w:type="dxa"/>
            <w:tcBorders>
              <w:bottom w:val="thinThickSmallGap" w:color="auto" w:sz="24" w:space="0"/>
            </w:tcBorders>
            <w:vAlign w:val="top"/>
          </w:tcPr>
          <w:p>
            <w:pPr>
              <w:widowControl/>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36,000.00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jc w:val="right"/>
              <w:textAlignment w:val="center"/>
              <w:rPr>
                <w:color w:val="000000"/>
                <w:kern w:val="0"/>
                <w:szCs w:val="21"/>
                <w:highlight w:val="yellow"/>
                <w:lang w:bidi="ar"/>
              </w:rPr>
            </w:pPr>
            <w:r>
              <w:rPr>
                <w:rFonts w:hint="eastAsia"/>
                <w:color w:val="000000"/>
                <w:kern w:val="0"/>
                <w:szCs w:val="21"/>
                <w:highlight w:val="none"/>
                <w:lang w:bidi="ar"/>
              </w:rPr>
              <w:t>42</w:t>
            </w:r>
            <w:r>
              <w:rPr>
                <w:color w:val="000000"/>
                <w:kern w:val="0"/>
                <w:szCs w:val="21"/>
                <w:highlight w:val="none"/>
                <w:lang w:bidi="ar"/>
              </w:rPr>
              <w:t>,</w:t>
            </w:r>
            <w:r>
              <w:rPr>
                <w:rFonts w:hint="eastAsia"/>
                <w:color w:val="000000"/>
                <w:kern w:val="0"/>
                <w:szCs w:val="21"/>
                <w:highlight w:val="none"/>
                <w:lang w:val="en-US" w:eastAsia="zh-CN" w:bidi="ar"/>
              </w:rPr>
              <w:t>5</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jc w:val="right"/>
              <w:textAlignment w:val="center"/>
              <w:rPr>
                <w:color w:val="000000"/>
                <w:kern w:val="0"/>
                <w:szCs w:val="21"/>
                <w:highlight w:val="yellow"/>
                <w:lang w:bidi="ar"/>
              </w:rPr>
            </w:pPr>
            <w:r>
              <w:rPr>
                <w:rFonts w:hint="eastAsia"/>
                <w:color w:val="000000"/>
                <w:kern w:val="0"/>
                <w:szCs w:val="21"/>
                <w:highlight w:val="none"/>
                <w:lang w:val="en-US" w:eastAsia="zh-CN" w:bidi="ar"/>
              </w:rPr>
              <w:t>30.45</w:t>
            </w:r>
            <w:r>
              <w:rPr>
                <w:rFonts w:hint="eastAsia"/>
                <w:color w:val="000000"/>
                <w:kern w:val="0"/>
                <w:szCs w:val="21"/>
                <w:highlight w:val="none"/>
                <w:lang w:bidi="ar"/>
              </w:rPr>
              <w:t>%</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580" w:type="dxa"/>
            <w:gridSpan w:val="4"/>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最近12个月委托理财累计收益/最近一年净利润（%）</w:t>
            </w:r>
          </w:p>
        </w:tc>
        <w:tc>
          <w:tcPr>
            <w:tcW w:w="2827" w:type="dxa"/>
            <w:gridSpan w:val="2"/>
            <w:shd w:val="clear" w:color="auto" w:fill="auto"/>
            <w:vAlign w:val="center"/>
          </w:tcPr>
          <w:p>
            <w:pPr>
              <w:widowControl/>
              <w:jc w:val="right"/>
              <w:textAlignment w:val="center"/>
              <w:rPr>
                <w:rFonts w:hint="default" w:eastAsia="宋体"/>
                <w:color w:val="000000"/>
                <w:kern w:val="0"/>
                <w:szCs w:val="21"/>
                <w:highlight w:val="yellow"/>
                <w:lang w:val="en-US" w:eastAsia="zh-CN" w:bidi="ar"/>
              </w:rPr>
            </w:pPr>
            <w:r>
              <w:rPr>
                <w:rFonts w:hint="eastAsia"/>
                <w:color w:val="000000"/>
                <w:kern w:val="0"/>
                <w:szCs w:val="21"/>
                <w:highlight w:val="none"/>
                <w:lang w:val="en-US" w:eastAsia="zh-CN" w:bidi="ar"/>
              </w:rPr>
              <w:t>21.76%</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目前已使用的理财额度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36,0</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尚未使用的理财额度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14,000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总理财额度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5</w:t>
            </w:r>
            <w:r>
              <w:rPr>
                <w:color w:val="000000"/>
                <w:kern w:val="0"/>
                <w:szCs w:val="21"/>
                <w:highlight w:val="none"/>
                <w:lang w:bidi="ar"/>
              </w:rPr>
              <w:t>0,000</w:t>
            </w:r>
            <w:r>
              <w:rPr>
                <w:rFonts w:hint="eastAsia"/>
                <w:color w:val="000000"/>
                <w:kern w:val="0"/>
                <w:szCs w:val="21"/>
                <w:highlight w:val="none"/>
                <w:lang w:bidi="ar"/>
              </w:rPr>
              <w:t>.00</w:t>
            </w:r>
          </w:p>
        </w:tc>
      </w:tr>
    </w:tbl>
    <w:p>
      <w:pPr>
        <w:widowControl/>
        <w:ind w:left="0" w:leftChars="0"/>
        <w:jc w:val="left"/>
        <w:rPr>
          <w:rFonts w:hint="eastAsia" w:ascii="宋体" w:hAnsi="宋体"/>
          <w:bCs/>
          <w:szCs w:val="21"/>
        </w:rPr>
      </w:pPr>
    </w:p>
    <w:p>
      <w:pPr>
        <w:keepNext w:val="0"/>
        <w:keepLines w:val="0"/>
        <w:pageBreakBefore w:val="0"/>
        <w:widowControl/>
        <w:kinsoku/>
        <w:wordWrap/>
        <w:overflowPunct/>
        <w:topLinePunct w:val="0"/>
        <w:autoSpaceDE/>
        <w:autoSpaceDN/>
        <w:bidi w:val="0"/>
        <w:adjustRightInd/>
        <w:snapToGrid/>
        <w:spacing w:before="156" w:beforeLines="50" w:line="360" w:lineRule="auto"/>
        <w:ind w:firstLine="420" w:firstLineChars="175"/>
        <w:jc w:val="left"/>
        <w:textAlignment w:val="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rFonts w:eastAsiaTheme="minorEastAsia"/>
          <w:color w:val="000000"/>
          <w:sz w:val="24"/>
          <w:szCs w:val="24"/>
        </w:rPr>
      </w:pPr>
      <w:r>
        <w:rPr>
          <w:rFonts w:hint="eastAsia" w:eastAsiaTheme="minorEastAsia"/>
          <w:color w:val="000000"/>
          <w:sz w:val="24"/>
          <w:szCs w:val="24"/>
        </w:rPr>
        <w:t>格尔软件股份有限公司董事会</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highlight w:val="none"/>
        </w:rPr>
      </w:pPr>
      <w:r>
        <w:rPr>
          <w:rFonts w:eastAsiaTheme="minorEastAsia"/>
          <w:color w:val="000000"/>
          <w:sz w:val="24"/>
          <w:szCs w:val="24"/>
          <w:highlight w:val="none"/>
        </w:rPr>
        <w:t>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5</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28</w:t>
      </w:r>
      <w:r>
        <w:rPr>
          <w:rFonts w:eastAsiaTheme="minorEastAsia"/>
          <w:color w:val="000000"/>
          <w:sz w:val="24"/>
          <w:szCs w:val="24"/>
          <w:highlight w:val="none"/>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1">
    <w:nsid w:val="31FF68AF"/>
    <w:multiLevelType w:val="singleLevel"/>
    <w:tmpl w:val="31FF68A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3Y2JlNzkyMmU2MDNmNmE5NDEyZDZjNWU0NmZkZmQifQ=="/>
  </w:docVars>
  <w:rsids>
    <w:rsidRoot w:val="14346CCF"/>
    <w:rsid w:val="00491A48"/>
    <w:rsid w:val="013D0DB1"/>
    <w:rsid w:val="018E4822"/>
    <w:rsid w:val="027576DF"/>
    <w:rsid w:val="02AF4FED"/>
    <w:rsid w:val="02D768EE"/>
    <w:rsid w:val="049C0D81"/>
    <w:rsid w:val="04BC2DF0"/>
    <w:rsid w:val="050F3BF1"/>
    <w:rsid w:val="051D5553"/>
    <w:rsid w:val="05202816"/>
    <w:rsid w:val="05B5678A"/>
    <w:rsid w:val="07832D9E"/>
    <w:rsid w:val="083E47F0"/>
    <w:rsid w:val="08977F70"/>
    <w:rsid w:val="08C60F31"/>
    <w:rsid w:val="097203F7"/>
    <w:rsid w:val="097944B0"/>
    <w:rsid w:val="0AC149D4"/>
    <w:rsid w:val="0BC4590D"/>
    <w:rsid w:val="0BE8347C"/>
    <w:rsid w:val="0F34760A"/>
    <w:rsid w:val="0FBD3F46"/>
    <w:rsid w:val="100E2521"/>
    <w:rsid w:val="11535FD3"/>
    <w:rsid w:val="11B55FCB"/>
    <w:rsid w:val="11FA498B"/>
    <w:rsid w:val="14346CCF"/>
    <w:rsid w:val="15462F97"/>
    <w:rsid w:val="15E54F66"/>
    <w:rsid w:val="17391ED0"/>
    <w:rsid w:val="17965A93"/>
    <w:rsid w:val="17A17C4F"/>
    <w:rsid w:val="17E62CEF"/>
    <w:rsid w:val="195B1E01"/>
    <w:rsid w:val="1A041605"/>
    <w:rsid w:val="1D36117A"/>
    <w:rsid w:val="1DA85962"/>
    <w:rsid w:val="1DE640C3"/>
    <w:rsid w:val="1E125A00"/>
    <w:rsid w:val="1F6C3676"/>
    <w:rsid w:val="26A50469"/>
    <w:rsid w:val="27426F9D"/>
    <w:rsid w:val="29A7485D"/>
    <w:rsid w:val="2DF44503"/>
    <w:rsid w:val="2E4E7A2B"/>
    <w:rsid w:val="2E80779D"/>
    <w:rsid w:val="3340749F"/>
    <w:rsid w:val="38D05A6D"/>
    <w:rsid w:val="390212BA"/>
    <w:rsid w:val="397D10DC"/>
    <w:rsid w:val="39B02A11"/>
    <w:rsid w:val="3A6457A9"/>
    <w:rsid w:val="3AF7441B"/>
    <w:rsid w:val="3C295A99"/>
    <w:rsid w:val="3EE1443F"/>
    <w:rsid w:val="3EE71B36"/>
    <w:rsid w:val="3EFB2631"/>
    <w:rsid w:val="3F3C3818"/>
    <w:rsid w:val="40024126"/>
    <w:rsid w:val="40461D28"/>
    <w:rsid w:val="40502228"/>
    <w:rsid w:val="409F3150"/>
    <w:rsid w:val="42FD048C"/>
    <w:rsid w:val="433B62FA"/>
    <w:rsid w:val="43426F87"/>
    <w:rsid w:val="48000720"/>
    <w:rsid w:val="49721DBB"/>
    <w:rsid w:val="4A0E310F"/>
    <w:rsid w:val="4AFD1F57"/>
    <w:rsid w:val="4B501A2D"/>
    <w:rsid w:val="4C565D83"/>
    <w:rsid w:val="4CAD5B18"/>
    <w:rsid w:val="4D2706C5"/>
    <w:rsid w:val="516C6209"/>
    <w:rsid w:val="51817CCE"/>
    <w:rsid w:val="549A5A7A"/>
    <w:rsid w:val="55803C7C"/>
    <w:rsid w:val="559A12B4"/>
    <w:rsid w:val="56FD7F32"/>
    <w:rsid w:val="59DB62D9"/>
    <w:rsid w:val="5C646231"/>
    <w:rsid w:val="604E6A0A"/>
    <w:rsid w:val="609A26F5"/>
    <w:rsid w:val="61FC78BC"/>
    <w:rsid w:val="62CD788E"/>
    <w:rsid w:val="64274C3E"/>
    <w:rsid w:val="64785719"/>
    <w:rsid w:val="66066C4D"/>
    <w:rsid w:val="669A14AD"/>
    <w:rsid w:val="6736715E"/>
    <w:rsid w:val="67BF6746"/>
    <w:rsid w:val="683A721E"/>
    <w:rsid w:val="688A543D"/>
    <w:rsid w:val="68BA5CE9"/>
    <w:rsid w:val="692A202C"/>
    <w:rsid w:val="69760C36"/>
    <w:rsid w:val="6B797D08"/>
    <w:rsid w:val="6B7F203F"/>
    <w:rsid w:val="6C360C93"/>
    <w:rsid w:val="6DBF37EC"/>
    <w:rsid w:val="6E471F02"/>
    <w:rsid w:val="70BD7855"/>
    <w:rsid w:val="716E7BB1"/>
    <w:rsid w:val="73911D1F"/>
    <w:rsid w:val="757F2282"/>
    <w:rsid w:val="75A620CB"/>
    <w:rsid w:val="76CC503A"/>
    <w:rsid w:val="776179CD"/>
    <w:rsid w:val="7A656D7F"/>
    <w:rsid w:val="7BEB393A"/>
    <w:rsid w:val="7F0013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3650</Words>
  <Characters>4468</Characters>
  <Lines>0</Lines>
  <Paragraphs>0</Paragraphs>
  <TotalTime>3</TotalTime>
  <ScaleCrop>false</ScaleCrop>
  <LinksUpToDate>false</LinksUpToDate>
  <CharactersWithSpaces>4497</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2022-01-19T02:35:00Z</dcterms:created>
  <dc:creator>邹岩</dc:creator>
  <cp:lastModifiedBy>邹岩</cp:lastModifiedBy>
  <dcterms:modified xsi:type="dcterms:W3CDTF">2022-05-27T05:57:17Z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FD349AB1BF0B4D7BBCB4980BCB9DF898</vt:lpwstr>
  </property>
</Properties>
</file>