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证券代码：603232              证券简称：格尔软件            公告编</w:t>
      </w:r>
      <w:r>
        <w:rPr>
          <w:rFonts w:hint="default" w:ascii="Times New Roman" w:hAnsi="Times New Roman" w:cs="Times New Roman"/>
          <w:sz w:val="21"/>
          <w:szCs w:val="21"/>
          <w:highlight w:val="none"/>
        </w:rPr>
        <w:t>号：</w:t>
      </w:r>
      <w:r>
        <w:rPr>
          <w:rFonts w:hint="default" w:ascii="Times New Roman" w:hAnsi="Times New Roman" w:cs="Times New Roman"/>
          <w:sz w:val="21"/>
          <w:szCs w:val="21"/>
          <w:highlight w:val="none"/>
          <w:lang w:val="en-US" w:eastAsia="zh-CN"/>
        </w:rPr>
        <w:t>202</w:t>
      </w:r>
      <w:r>
        <w:rPr>
          <w:rFonts w:hint="eastAsia" w:cs="Times New Roman"/>
          <w:sz w:val="21"/>
          <w:szCs w:val="21"/>
          <w:highlight w:val="none"/>
          <w:lang w:val="en-US" w:eastAsia="zh-CN"/>
        </w:rPr>
        <w:t>2</w:t>
      </w:r>
      <w:r>
        <w:rPr>
          <w:rFonts w:hint="default" w:ascii="Times New Roman" w:hAnsi="Times New Roman" w:cs="Times New Roman"/>
          <w:sz w:val="21"/>
          <w:szCs w:val="21"/>
          <w:highlight w:val="none"/>
        </w:rPr>
        <w:t>-</w:t>
      </w:r>
      <w:r>
        <w:rPr>
          <w:rFonts w:hint="eastAsia" w:cs="Times New Roman"/>
          <w:sz w:val="21"/>
          <w:szCs w:val="21"/>
          <w:highlight w:val="none"/>
          <w:lang w:val="en-US" w:eastAsia="zh-CN"/>
        </w:rPr>
        <w:t>013</w:t>
      </w:r>
    </w:p>
    <w:p>
      <w:pPr>
        <w:widowControl w:val="0"/>
        <w:autoSpaceDE w:val="0"/>
        <w:autoSpaceDN w:val="0"/>
        <w:adjustRightInd w:val="0"/>
        <w:spacing w:line="360" w:lineRule="auto"/>
        <w:rPr>
          <w:rFonts w:ascii="宋体" w:hAnsi="宋体" w:cs="宋体-WinCharSetFFFF-H"/>
          <w:color w:val="000000"/>
          <w:sz w:val="21"/>
          <w:szCs w:val="21"/>
        </w:rPr>
      </w:pPr>
    </w:p>
    <w:p>
      <w:pPr>
        <w:widowControl w:val="0"/>
        <w:adjustRightInd w:val="0"/>
        <w:snapToGrid w:val="0"/>
        <w:spacing w:line="360" w:lineRule="auto"/>
        <w:jc w:val="center"/>
        <w:rPr>
          <w:rFonts w:hint="eastAsia" w:ascii="黑体" w:hAnsi="黑体" w:eastAsia="黑体" w:cs="黑体"/>
          <w:b/>
          <w:bCs/>
          <w:color w:val="FF0000"/>
          <w:kern w:val="0"/>
          <w:sz w:val="36"/>
          <w:szCs w:val="36"/>
        </w:rPr>
      </w:pPr>
      <w:r>
        <w:rPr>
          <w:rFonts w:hint="eastAsia" w:ascii="黑体" w:hAnsi="黑体" w:eastAsia="黑体" w:cs="黑体"/>
          <w:b/>
          <w:bCs/>
          <w:color w:val="FF0000"/>
          <w:kern w:val="0"/>
          <w:sz w:val="36"/>
          <w:szCs w:val="36"/>
        </w:rPr>
        <w:t>格尔软件股份有限公司</w:t>
      </w:r>
    </w:p>
    <w:p>
      <w:pPr>
        <w:widowControl w:val="0"/>
        <w:adjustRightInd w:val="0"/>
        <w:snapToGrid w:val="0"/>
        <w:spacing w:line="360" w:lineRule="auto"/>
        <w:jc w:val="center"/>
        <w:rPr>
          <w:rFonts w:hint="eastAsia" w:ascii="黑体" w:hAnsi="黑体" w:eastAsia="黑体" w:cs="黑体"/>
          <w:b/>
          <w:bCs/>
          <w:color w:val="FF0000"/>
          <w:kern w:val="0"/>
          <w:sz w:val="36"/>
          <w:szCs w:val="36"/>
        </w:rPr>
      </w:pPr>
      <w:r>
        <w:rPr>
          <w:rFonts w:hint="eastAsia" w:ascii="黑体" w:hAnsi="黑体" w:eastAsia="黑体" w:cs="黑体"/>
          <w:b/>
          <w:bCs/>
          <w:color w:val="FF0000"/>
          <w:kern w:val="0"/>
          <w:sz w:val="36"/>
          <w:szCs w:val="36"/>
        </w:rPr>
        <w:t>关于使用部分闲置募集资金</w:t>
      </w:r>
      <w:r>
        <w:rPr>
          <w:rFonts w:hint="eastAsia" w:ascii="黑体" w:hAnsi="黑体" w:eastAsia="黑体" w:cs="黑体"/>
          <w:b/>
          <w:bCs/>
          <w:color w:val="FF0000"/>
          <w:kern w:val="0"/>
          <w:sz w:val="36"/>
          <w:szCs w:val="36"/>
          <w:lang w:eastAsia="zh-CN"/>
        </w:rPr>
        <w:t>进行现金管理的</w:t>
      </w:r>
      <w:r>
        <w:rPr>
          <w:rFonts w:hint="eastAsia" w:ascii="黑体" w:hAnsi="黑体" w:eastAsia="黑体" w:cs="黑体"/>
          <w:b/>
          <w:bCs/>
          <w:color w:val="FF0000"/>
          <w:kern w:val="0"/>
          <w:sz w:val="36"/>
          <w:szCs w:val="36"/>
        </w:rPr>
        <w:t>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本公司董事会及全体董事保证本公告内容不存在任何虚假记载、误导性陈述或者重大遗漏，并对其内容的真实性、准确性和完整性承担个别及连带责任。</w:t>
      </w:r>
    </w:p>
    <w:p>
      <w:pPr>
        <w:pStyle w:val="7"/>
        <w:spacing w:line="360" w:lineRule="auto"/>
        <w:ind w:firstLine="476"/>
        <w:jc w:val="both"/>
        <w:rPr>
          <w:rFonts w:ascii="宋体" w:hAnsi="宋体" w:eastAsia="宋体" w:cs="宋体-WinCharSetFFFF-H"/>
          <w:highlight w:val="yellow"/>
        </w:rPr>
      </w:pPr>
    </w:p>
    <w:p>
      <w:pPr>
        <w:pStyle w:val="7"/>
        <w:spacing w:line="360" w:lineRule="auto"/>
        <w:rPr>
          <w:rFonts w:hint="eastAsia" w:ascii="宋体" w:hAnsi="宋体" w:eastAsia="宋体" w:cs="宋体"/>
          <w:b/>
        </w:rPr>
      </w:pPr>
      <w:r>
        <w:rPr>
          <w:rFonts w:hint="eastAsia" w:ascii="宋体" w:hAnsi="宋体" w:eastAsia="宋体" w:cs="宋体"/>
          <w:b/>
        </w:rPr>
        <w:t>重要内容提示：</w:t>
      </w:r>
    </w:p>
    <w:p>
      <w:pPr>
        <w:pStyle w:val="7"/>
        <w:numPr>
          <w:ilvl w:val="0"/>
          <w:numId w:val="1"/>
        </w:numPr>
        <w:spacing w:line="360" w:lineRule="auto"/>
        <w:rPr>
          <w:rFonts w:hint="default" w:ascii="Times New Roman" w:hAnsi="Times New Roman" w:cs="Times New Roman" w:eastAsiaTheme="minorEastAsia"/>
        </w:rPr>
      </w:pPr>
      <w:r>
        <w:rPr>
          <w:rFonts w:hint="default" w:ascii="Times New Roman" w:hAnsi="Times New Roman" w:cs="Times New Roman" w:eastAsiaTheme="minorEastAsia"/>
        </w:rPr>
        <w:t>格尔软件股份有限公司（以下简称</w:t>
      </w:r>
      <w:r>
        <w:rPr>
          <w:rFonts w:hint="eastAsia" w:ascii="Times New Roman" w:cs="Times New Roman" w:eastAsiaTheme="minorEastAsia"/>
          <w:lang w:eastAsia="zh-CN"/>
        </w:rPr>
        <w:t>“</w:t>
      </w:r>
      <w:r>
        <w:rPr>
          <w:rFonts w:hint="default" w:ascii="Times New Roman" w:hAnsi="Times New Roman" w:cs="Times New Roman" w:eastAsiaTheme="minorEastAsia"/>
        </w:rPr>
        <w:t>公司</w:t>
      </w:r>
      <w:r>
        <w:rPr>
          <w:rFonts w:hint="eastAsia" w:ascii="Times New Roman" w:cs="Times New Roman" w:eastAsiaTheme="minorEastAsia"/>
          <w:lang w:eastAsia="zh-CN"/>
        </w:rPr>
        <w:t>”</w:t>
      </w:r>
      <w:r>
        <w:rPr>
          <w:rFonts w:hint="default" w:ascii="Times New Roman" w:hAnsi="Times New Roman" w:cs="Times New Roman" w:eastAsiaTheme="minorEastAsia"/>
        </w:rPr>
        <w:t>）为提高募集资金使用效率，在确保不影响募集资金项目建设和募集资金使用的情况下，公司拟使用总额不超过</w:t>
      </w:r>
      <w:r>
        <w:rPr>
          <w:rFonts w:hint="default" w:ascii="Times New Roman" w:hAnsi="Times New Roman" w:cs="Times New Roman" w:eastAsiaTheme="minorEastAsia"/>
          <w:highlight w:val="none"/>
        </w:rPr>
        <w:t>人民币</w:t>
      </w:r>
      <w:r>
        <w:rPr>
          <w:rFonts w:hint="default" w:ascii="Times New Roman" w:hAnsi="Times New Roman" w:cs="Times New Roman" w:eastAsiaTheme="minorEastAsia"/>
          <w:highlight w:val="none"/>
          <w:lang w:val="en-US" w:eastAsia="zh-CN"/>
        </w:rPr>
        <w:t>5亿</w:t>
      </w:r>
      <w:r>
        <w:rPr>
          <w:rFonts w:hint="default" w:ascii="Times New Roman" w:hAnsi="Times New Roman" w:cs="Times New Roman" w:eastAsiaTheme="minorEastAsia"/>
          <w:highlight w:val="none"/>
        </w:rPr>
        <w:t>元（含</w:t>
      </w:r>
      <w:r>
        <w:rPr>
          <w:rFonts w:hint="default" w:ascii="Times New Roman" w:hAnsi="Times New Roman" w:cs="Times New Roman" w:eastAsiaTheme="minorEastAsia"/>
          <w:highlight w:val="none"/>
          <w:lang w:val="en-US" w:eastAsia="zh-CN"/>
        </w:rPr>
        <w:t>5亿</w:t>
      </w:r>
      <w:r>
        <w:rPr>
          <w:rFonts w:hint="default" w:ascii="Times New Roman" w:hAnsi="Times New Roman" w:cs="Times New Roman" w:eastAsiaTheme="minorEastAsia"/>
          <w:highlight w:val="none"/>
        </w:rPr>
        <w:t>元）的闲</w:t>
      </w:r>
      <w:r>
        <w:rPr>
          <w:rFonts w:hint="default" w:ascii="Times New Roman" w:hAnsi="Times New Roman" w:cs="Times New Roman" w:eastAsiaTheme="minorEastAsia"/>
        </w:rPr>
        <w:t>置募集资金</w:t>
      </w:r>
      <w:r>
        <w:rPr>
          <w:rFonts w:hint="default" w:ascii="Times New Roman" w:hAnsi="Times New Roman" w:cs="Times New Roman" w:eastAsiaTheme="minorEastAsia"/>
          <w:lang w:eastAsia="zh-CN"/>
        </w:rPr>
        <w:t>进行现金管理</w:t>
      </w:r>
      <w:r>
        <w:rPr>
          <w:rFonts w:hint="default" w:ascii="Times New Roman" w:hAnsi="Times New Roman" w:cs="Times New Roman" w:eastAsiaTheme="minorEastAsia"/>
        </w:rPr>
        <w:t>，同时在</w:t>
      </w:r>
      <w:r>
        <w:rPr>
          <w:rFonts w:hint="default" w:ascii="Times New Roman" w:hAnsi="Times New Roman" w:cs="Times New Roman" w:eastAsiaTheme="minorEastAsia"/>
          <w:lang w:val="en-US" w:eastAsia="zh-CN"/>
        </w:rPr>
        <w:t>12个月</w:t>
      </w:r>
      <w:r>
        <w:rPr>
          <w:rFonts w:hint="default" w:ascii="Times New Roman" w:hAnsi="Times New Roman" w:cs="Times New Roman" w:eastAsiaTheme="minorEastAsia"/>
        </w:rPr>
        <w:t>内（含</w:t>
      </w:r>
      <w:r>
        <w:rPr>
          <w:rFonts w:hint="default" w:ascii="Times New Roman" w:hAnsi="Times New Roman" w:cs="Times New Roman" w:eastAsiaTheme="minorEastAsia"/>
          <w:lang w:val="en-US" w:eastAsia="zh-CN"/>
        </w:rPr>
        <w:t>12个月</w:t>
      </w:r>
      <w:r>
        <w:rPr>
          <w:rFonts w:hint="default" w:ascii="Times New Roman" w:hAnsi="Times New Roman" w:cs="Times New Roman" w:eastAsiaTheme="minorEastAsia"/>
        </w:rPr>
        <w:t>）该资金额度可滚动使用（该滚动使用以保证募集资金项目建设和使用为前提）。</w:t>
      </w:r>
    </w:p>
    <w:p>
      <w:pPr>
        <w:pStyle w:val="7"/>
        <w:numPr>
          <w:ilvl w:val="0"/>
          <w:numId w:val="1"/>
        </w:numPr>
        <w:spacing w:line="360" w:lineRule="auto"/>
        <w:rPr>
          <w:rFonts w:hint="default" w:ascii="Times New Roman" w:hAnsi="Times New Roman" w:cs="Times New Roman" w:eastAsiaTheme="minorEastAsia"/>
          <w:highlight w:val="none"/>
        </w:rPr>
      </w:pPr>
      <w:r>
        <w:rPr>
          <w:rFonts w:hint="default" w:ascii="Times New Roman" w:hAnsi="Times New Roman" w:cs="Times New Roman" w:eastAsiaTheme="minorEastAsia"/>
        </w:rPr>
        <w:t>公司第</w:t>
      </w:r>
      <w:r>
        <w:rPr>
          <w:rFonts w:hint="default" w:ascii="Times New Roman" w:hAnsi="Times New Roman" w:cs="Times New Roman" w:eastAsiaTheme="minorEastAsia"/>
          <w:lang w:eastAsia="zh-CN"/>
        </w:rPr>
        <w:t>七</w:t>
      </w:r>
      <w:r>
        <w:rPr>
          <w:rFonts w:hint="default" w:ascii="Times New Roman" w:hAnsi="Times New Roman" w:cs="Times New Roman" w:eastAsiaTheme="minorEastAsia"/>
        </w:rPr>
        <w:t>届董事会第</w:t>
      </w:r>
      <w:r>
        <w:rPr>
          <w:rFonts w:hint="default" w:ascii="Times New Roman" w:hAnsi="Times New Roman" w:cs="Times New Roman" w:eastAsiaTheme="minorEastAsia"/>
          <w:lang w:val="en-US" w:eastAsia="zh-CN"/>
        </w:rPr>
        <w:t>二十三</w:t>
      </w:r>
      <w:r>
        <w:rPr>
          <w:rFonts w:hint="default" w:ascii="Times New Roman" w:hAnsi="Times New Roman" w:cs="Times New Roman" w:eastAsiaTheme="minorEastAsia"/>
        </w:rPr>
        <w:t>次会议、第</w:t>
      </w:r>
      <w:r>
        <w:rPr>
          <w:rFonts w:hint="default" w:ascii="Times New Roman" w:hAnsi="Times New Roman" w:cs="Times New Roman" w:eastAsiaTheme="minorEastAsia"/>
          <w:lang w:eastAsia="zh-CN"/>
        </w:rPr>
        <w:t>七</w:t>
      </w:r>
      <w:r>
        <w:rPr>
          <w:rFonts w:hint="default" w:ascii="Times New Roman" w:hAnsi="Times New Roman" w:cs="Times New Roman" w:eastAsiaTheme="minorEastAsia"/>
        </w:rPr>
        <w:t>届监事会第</w:t>
      </w:r>
      <w:r>
        <w:rPr>
          <w:rFonts w:hint="default" w:ascii="Times New Roman" w:hAnsi="Times New Roman" w:cs="Times New Roman" w:eastAsiaTheme="minorEastAsia"/>
          <w:lang w:val="en-US" w:eastAsia="zh-CN"/>
        </w:rPr>
        <w:t>二十</w:t>
      </w:r>
      <w:r>
        <w:rPr>
          <w:rFonts w:hint="default" w:ascii="Times New Roman" w:hAnsi="Times New Roman" w:cs="Times New Roman" w:eastAsiaTheme="minorEastAsia"/>
        </w:rPr>
        <w:t>次会议审议通过《关于使用部分闲置募集资金</w:t>
      </w:r>
      <w:r>
        <w:rPr>
          <w:rFonts w:hint="default" w:ascii="Times New Roman" w:hAnsi="Times New Roman" w:cs="Times New Roman" w:eastAsiaTheme="minorEastAsia"/>
          <w:lang w:eastAsia="zh-CN"/>
        </w:rPr>
        <w:t>进行现金管理</w:t>
      </w:r>
      <w:r>
        <w:rPr>
          <w:rFonts w:hint="default" w:ascii="Times New Roman" w:hAnsi="Times New Roman" w:cs="Times New Roman" w:eastAsiaTheme="minorEastAsia"/>
        </w:rPr>
        <w:t>的议案》。公司监事会、公司独立董事、保荐机构</w:t>
      </w:r>
      <w:r>
        <w:rPr>
          <w:rFonts w:hint="default" w:ascii="Times New Roman" w:hAnsi="Times New Roman" w:cs="Times New Roman" w:eastAsiaTheme="minorEastAsia"/>
          <w:lang w:eastAsia="zh-CN"/>
        </w:rPr>
        <w:t>中信</w:t>
      </w:r>
      <w:r>
        <w:rPr>
          <w:rFonts w:hint="default" w:ascii="Times New Roman" w:hAnsi="Times New Roman" w:cs="Times New Roman" w:eastAsiaTheme="minorEastAsia"/>
        </w:rPr>
        <w:t>证券股份有限公</w:t>
      </w:r>
      <w:r>
        <w:rPr>
          <w:rFonts w:hint="default" w:ascii="Times New Roman" w:hAnsi="Times New Roman" w:cs="Times New Roman" w:eastAsiaTheme="minorEastAsia"/>
          <w:highlight w:val="none"/>
        </w:rPr>
        <w:t>司</w:t>
      </w:r>
      <w:r>
        <w:rPr>
          <w:rFonts w:hint="default" w:ascii="Times New Roman" w:hAnsi="Times New Roman" w:eastAsia="宋体" w:cs="Times New Roman"/>
          <w:highlight w:val="none"/>
          <w:lang w:eastAsia="zh-CN"/>
        </w:rPr>
        <w:t>（以下简</w:t>
      </w:r>
      <w:r>
        <w:rPr>
          <w:rFonts w:hint="eastAsia" w:ascii="宋体" w:hAnsi="宋体" w:eastAsia="宋体" w:cs="宋体"/>
          <w:highlight w:val="none"/>
          <w:lang w:eastAsia="zh-CN"/>
        </w:rPr>
        <w:t>称“中信证券”）</w:t>
      </w:r>
      <w:r>
        <w:rPr>
          <w:rFonts w:hint="default" w:ascii="Times New Roman" w:hAnsi="Times New Roman" w:cs="Times New Roman" w:eastAsiaTheme="minorEastAsia"/>
          <w:highlight w:val="none"/>
        </w:rPr>
        <w:t>发表明确同意意见。</w:t>
      </w:r>
    </w:p>
    <w:p>
      <w:pPr>
        <w:pStyle w:val="7"/>
        <w:numPr>
          <w:ilvl w:val="0"/>
          <w:numId w:val="1"/>
        </w:numPr>
        <w:spacing w:line="360" w:lineRule="auto"/>
        <w:rPr>
          <w:rFonts w:hint="default" w:ascii="Times New Roman" w:hAnsi="Times New Roman" w:eastAsia="宋体" w:cs="Times New Roman"/>
          <w:highlight w:val="none"/>
        </w:rPr>
      </w:pPr>
      <w:r>
        <w:rPr>
          <w:rFonts w:hint="default" w:ascii="Times New Roman" w:hAnsi="Times New Roman" w:eastAsia="宋体" w:cs="Times New Roman"/>
          <w:highlight w:val="none"/>
          <w:lang w:val="en-US" w:eastAsia="zh-CN"/>
        </w:rPr>
        <w:t>公司同时提请公司董事会授权公司董事长在上述额度范围和时效内行使该项投资权并签署相关合同文件，并由公司管理层组织相关部门实施。</w:t>
      </w:r>
    </w:p>
    <w:p>
      <w:pPr>
        <w:pStyle w:val="7"/>
        <w:numPr>
          <w:ilvl w:val="0"/>
          <w:numId w:val="1"/>
        </w:numPr>
        <w:spacing w:line="360" w:lineRule="auto"/>
        <w:rPr>
          <w:rFonts w:hint="default" w:ascii="Times New Roman" w:hAnsi="Times New Roman" w:cs="Times New Roman" w:eastAsiaTheme="minorEastAsia"/>
          <w:highlight w:val="none"/>
        </w:rPr>
      </w:pPr>
      <w:r>
        <w:rPr>
          <w:rFonts w:hint="eastAsia" w:ascii="Times New Roman" w:eastAsia="宋体" w:cs="Times New Roman"/>
          <w:highlight w:val="none"/>
          <w:lang w:val="en-US" w:eastAsia="zh-CN"/>
        </w:rPr>
        <w:t>根据上海证券交易所《股票上市规则》</w:t>
      </w:r>
      <w:r>
        <w:rPr>
          <w:rFonts w:hint="default" w:ascii="Times New Roman" w:hAnsi="Times New Roman" w:eastAsia="宋体" w:cs="Times New Roman"/>
          <w:highlight w:val="none"/>
        </w:rPr>
        <w:t>该</w:t>
      </w:r>
      <w:r>
        <w:rPr>
          <w:rFonts w:hint="eastAsia" w:ascii="Times New Roman" w:eastAsia="宋体" w:cs="Times New Roman"/>
          <w:highlight w:val="none"/>
          <w:lang w:val="en-US" w:eastAsia="zh-CN"/>
        </w:rPr>
        <w:t>事项无需提交股东大会，</w:t>
      </w:r>
      <w:r>
        <w:rPr>
          <w:rFonts w:hint="default" w:ascii="Times New Roman" w:hAnsi="Times New Roman" w:eastAsia="宋体" w:cs="Times New Roman"/>
          <w:highlight w:val="none"/>
        </w:rPr>
        <w:t>自获得</w:t>
      </w:r>
      <w:r>
        <w:rPr>
          <w:rFonts w:hint="default" w:ascii="Times New Roman" w:hAnsi="Times New Roman" w:eastAsia="宋体" w:cs="Times New Roman"/>
        </w:rPr>
        <w:t>公司</w:t>
      </w:r>
      <w:r>
        <w:rPr>
          <w:rFonts w:hint="eastAsia" w:ascii="Times New Roman" w:eastAsia="宋体" w:cs="Times New Roman"/>
          <w:lang w:val="en-US" w:eastAsia="zh-CN"/>
        </w:rPr>
        <w:t>第七届董事会第二十三次会议</w:t>
      </w:r>
      <w:r>
        <w:rPr>
          <w:rFonts w:hint="default" w:ascii="Times New Roman" w:hAnsi="Times New Roman" w:eastAsia="宋体" w:cs="Times New Roman"/>
          <w:highlight w:val="none"/>
        </w:rPr>
        <w:t>审议通</w:t>
      </w:r>
      <w:r>
        <w:rPr>
          <w:rFonts w:hint="default" w:ascii="Times New Roman" w:hAnsi="Times New Roman" w:cs="Times New Roman" w:eastAsiaTheme="minorEastAsia"/>
          <w:highlight w:val="none"/>
        </w:rPr>
        <w:t>过之日起</w:t>
      </w:r>
      <w:r>
        <w:rPr>
          <w:rFonts w:hint="default" w:ascii="Times New Roman" w:hAnsi="Times New Roman" w:cs="Times New Roman" w:eastAsiaTheme="minorEastAsia"/>
          <w:highlight w:val="none"/>
          <w:lang w:val="en-US" w:eastAsia="zh-CN"/>
        </w:rPr>
        <w:t>12个月内</w:t>
      </w:r>
      <w:r>
        <w:rPr>
          <w:rFonts w:hint="default" w:ascii="Times New Roman" w:hAnsi="Times New Roman" w:cs="Times New Roman" w:eastAsiaTheme="minorEastAsia"/>
        </w:rPr>
        <w:t>（含</w:t>
      </w:r>
      <w:r>
        <w:rPr>
          <w:rFonts w:hint="default" w:ascii="Times New Roman" w:hAnsi="Times New Roman" w:cs="Times New Roman" w:eastAsiaTheme="minorEastAsia"/>
          <w:lang w:val="en-US" w:eastAsia="zh-CN"/>
        </w:rPr>
        <w:t>12个月</w:t>
      </w:r>
      <w:r>
        <w:rPr>
          <w:rFonts w:hint="default" w:ascii="Times New Roman" w:hAnsi="Times New Roman" w:cs="Times New Roman" w:eastAsiaTheme="minorEastAsia"/>
        </w:rPr>
        <w:t>）</w:t>
      </w:r>
      <w:r>
        <w:rPr>
          <w:rFonts w:hint="default" w:ascii="Times New Roman" w:hAnsi="Times New Roman" w:cs="Times New Roman" w:eastAsiaTheme="minorEastAsia"/>
          <w:highlight w:val="none"/>
        </w:rPr>
        <w:t>有效。</w:t>
      </w:r>
    </w:p>
    <w:p>
      <w:pPr>
        <w:pStyle w:val="7"/>
        <w:rPr>
          <w:rFonts w:asciiTheme="minorEastAsia" w:hAnsiTheme="minorEastAsia" w:eastAsiaTheme="minorEastAsia"/>
        </w:rPr>
      </w:pP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0" w:leftChars="0" w:firstLine="482"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募集资金基本情况</w:t>
      </w:r>
    </w:p>
    <w:p>
      <w:pPr>
        <w:keepNext w:val="0"/>
        <w:keepLines w:val="0"/>
        <w:pageBreakBefore w:val="0"/>
        <w:widowControl/>
        <w:kinsoku/>
        <w:wordWrap/>
        <w:overflowPunct/>
        <w:topLinePunct w:val="0"/>
        <w:autoSpaceDE/>
        <w:autoSpaceDN/>
        <w:bidi w:val="0"/>
        <w:adjustRightInd/>
        <w:spacing w:line="360" w:lineRule="auto"/>
        <w:ind w:left="0" w:leftChars="0" w:firstLine="480" w:firstLineChars="200"/>
        <w:jc w:val="both"/>
        <w:textAlignment w:val="auto"/>
        <w:rPr>
          <w:rFonts w:hint="default" w:ascii="Times New Roman" w:hAnsi="Times New Roman" w:cs="Times New Roman" w:eastAsiaTheme="minorEastAsia"/>
        </w:rPr>
      </w:pPr>
      <w:r>
        <w:rPr>
          <w:rFonts w:hint="default" w:ascii="Times New Roman" w:hAnsi="Times New Roman" w:eastAsia="宋体" w:cs="Times New Roman"/>
          <w:sz w:val="24"/>
          <w:lang w:eastAsia="zh-CN"/>
        </w:rPr>
        <w:t>经中国证券监督管理委员会《关于核准格尔软件股份有限公司非公开发行股票的批复》（证监许可〔2020〕1328号）核准，公司实际非公开发行人民币A股股票20,901,134股（每股面值</w:t>
      </w:r>
      <w:r>
        <w:rPr>
          <w:rFonts w:hint="default" w:ascii="Times New Roman" w:hAnsi="Times New Roman" w:eastAsia="宋体" w:cs="Times New Roman"/>
          <w:sz w:val="24"/>
          <w:lang w:val="en-US" w:eastAsia="zh-CN"/>
        </w:rPr>
        <w:t>1.00元人民币</w:t>
      </w:r>
      <w:r>
        <w:rPr>
          <w:rFonts w:hint="default" w:ascii="Times New Roman" w:hAnsi="Times New Roman" w:eastAsia="宋体" w:cs="Times New Roman"/>
          <w:sz w:val="24"/>
          <w:lang w:eastAsia="zh-CN"/>
        </w:rPr>
        <w:t>），每股发行价人民币30.85元。本次非公开发行募集资金总额为644,799,983.90元，扣除发行费用人民币8,844,116.58（不含税）元后，募集资金净额为635,955,867.32元。上会会计师事务所（特殊普通合伙）已于</w:t>
      </w:r>
      <w:r>
        <w:rPr>
          <w:rFonts w:hint="default" w:ascii="Times New Roman" w:hAnsi="Times New Roman" w:eastAsia="宋体" w:cs="Times New Roman"/>
          <w:sz w:val="24"/>
          <w:lang w:val="en-US" w:eastAsia="zh-CN"/>
        </w:rPr>
        <w:t>2020年8月25日</w:t>
      </w:r>
      <w:r>
        <w:rPr>
          <w:rFonts w:hint="default" w:ascii="Times New Roman" w:hAnsi="Times New Roman" w:eastAsia="宋体" w:cs="Times New Roman"/>
          <w:sz w:val="24"/>
          <w:lang w:eastAsia="zh-CN"/>
        </w:rPr>
        <w:t>对本次非公开发行的资金到位情况进行了审验，并出具了《验资报告》（上会师报字〔20</w:t>
      </w:r>
      <w:r>
        <w:rPr>
          <w:rFonts w:hint="default" w:ascii="Times New Roman" w:hAnsi="Times New Roman" w:eastAsia="宋体" w:cs="Times New Roman"/>
          <w:sz w:val="24"/>
          <w:lang w:val="en-US" w:eastAsia="zh-CN"/>
        </w:rPr>
        <w:t>20</w:t>
      </w:r>
      <w:r>
        <w:rPr>
          <w:rFonts w:hint="default" w:ascii="Times New Roman" w:hAnsi="Times New Roman" w:eastAsia="宋体" w:cs="Times New Roman"/>
          <w:sz w:val="24"/>
          <w:lang w:eastAsia="zh-CN"/>
        </w:rPr>
        <w:t>〕第6894号）</w:t>
      </w:r>
      <w:r>
        <w:rPr>
          <w:rFonts w:hint="default" w:ascii="Times New Roman" w:hAnsi="Times New Roman" w:eastAsia="宋体" w:cs="Times New Roman"/>
          <w:sz w:val="24"/>
          <w:highlight w:val="none"/>
          <w:lang w:eastAsia="zh-CN"/>
        </w:rPr>
        <w:t>。公司已对募集资金进行了专户管理。</w:t>
      </w:r>
    </w:p>
    <w:p>
      <w:pPr>
        <w:keepNext w:val="0"/>
        <w:keepLines w:val="0"/>
        <w:pageBreakBefore w:val="0"/>
        <w:widowControl/>
        <w:numPr>
          <w:ilvl w:val="0"/>
          <w:numId w:val="2"/>
        </w:numPr>
        <w:kinsoku/>
        <w:wordWrap/>
        <w:overflowPunct/>
        <w:topLinePunct w:val="0"/>
        <w:autoSpaceDE/>
        <w:autoSpaceDN/>
        <w:bidi w:val="0"/>
        <w:adjustRightInd/>
        <w:snapToGrid w:val="0"/>
        <w:spacing w:line="360" w:lineRule="auto"/>
        <w:ind w:left="0" w:leftChars="0" w:firstLine="482"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募集资金的使用情况</w:t>
      </w:r>
    </w:p>
    <w:p>
      <w:pPr>
        <w:keepNext w:val="0"/>
        <w:keepLines w:val="0"/>
        <w:pageBreakBefore w:val="0"/>
        <w:widowControl/>
        <w:kinsoku/>
        <w:wordWrap/>
        <w:overflowPunct/>
        <w:topLinePunct w:val="0"/>
        <w:autoSpaceDE/>
        <w:autoSpaceDN/>
        <w:bidi w:val="0"/>
        <w:adjustRightInd/>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公司本次非公开发行募集资金金额详细情况如下表所示：</w:t>
      </w:r>
    </w:p>
    <w:p>
      <w:pPr>
        <w:keepNext w:val="0"/>
        <w:keepLines w:val="0"/>
        <w:pageBreakBefore w:val="0"/>
        <w:widowControl/>
        <w:kinsoku/>
        <w:wordWrap/>
        <w:overflowPunct/>
        <w:topLinePunct w:val="0"/>
        <w:autoSpaceDE/>
        <w:autoSpaceDN/>
        <w:bidi w:val="0"/>
        <w:adjustRightInd/>
        <w:spacing w:line="360" w:lineRule="auto"/>
        <w:ind w:left="0" w:firstLine="504" w:firstLineChars="210"/>
        <w:jc w:val="righ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单位：万元</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17"/>
        <w:gridCol w:w="2444"/>
        <w:gridCol w:w="1753"/>
        <w:gridCol w:w="1753"/>
        <w:gridCol w:w="175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397" w:hRule="atLeast"/>
          <w:tblHeader/>
        </w:trPr>
        <w:tc>
          <w:tcPr>
            <w:tcW w:w="817" w:type="dxa"/>
            <w:tcBorders>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b/>
                <w:kern w:val="0"/>
                <w:sz w:val="21"/>
                <w:szCs w:val="18"/>
                <w:highlight w:val="none"/>
              </w:rPr>
            </w:pPr>
            <w:r>
              <w:rPr>
                <w:rFonts w:hint="default" w:ascii="Times New Roman" w:hAnsi="Times New Roman" w:eastAsia="宋体" w:cs="Times New Roman"/>
                <w:b/>
                <w:kern w:val="0"/>
                <w:szCs w:val="21"/>
                <w:highlight w:val="none"/>
              </w:rPr>
              <w:t>序号</w:t>
            </w:r>
          </w:p>
        </w:tc>
        <w:tc>
          <w:tcPr>
            <w:tcW w:w="2444" w:type="dxa"/>
            <w:tcBorders>
              <w:left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b/>
                <w:kern w:val="0"/>
                <w:sz w:val="21"/>
                <w:szCs w:val="18"/>
                <w:highlight w:val="none"/>
              </w:rPr>
            </w:pPr>
            <w:r>
              <w:rPr>
                <w:rFonts w:hint="default" w:ascii="Times New Roman" w:hAnsi="Times New Roman" w:eastAsia="宋体" w:cs="Times New Roman"/>
                <w:b/>
                <w:kern w:val="0"/>
                <w:szCs w:val="21"/>
                <w:highlight w:val="none"/>
              </w:rPr>
              <w:t>项目名称</w:t>
            </w:r>
          </w:p>
        </w:tc>
        <w:tc>
          <w:tcPr>
            <w:tcW w:w="1753" w:type="dxa"/>
            <w:tcBorders>
              <w:left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b/>
                <w:kern w:val="0"/>
                <w:sz w:val="21"/>
                <w:szCs w:val="18"/>
                <w:highlight w:val="none"/>
              </w:rPr>
            </w:pPr>
            <w:r>
              <w:rPr>
                <w:rFonts w:hint="default" w:ascii="Times New Roman" w:hAnsi="Times New Roman" w:eastAsia="宋体" w:cs="Times New Roman"/>
                <w:b/>
                <w:kern w:val="0"/>
                <w:szCs w:val="21"/>
                <w:highlight w:val="none"/>
              </w:rPr>
              <w:t>投资总额</w:t>
            </w:r>
          </w:p>
        </w:tc>
        <w:tc>
          <w:tcPr>
            <w:tcW w:w="1753" w:type="dxa"/>
            <w:tcBorders>
              <w:left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eastAsia="宋体" w:cs="Times New Roman"/>
                <w:b/>
                <w:kern w:val="0"/>
                <w:sz w:val="21"/>
                <w:szCs w:val="18"/>
                <w:highlight w:val="none"/>
                <w:lang w:eastAsia="zh-CN"/>
              </w:rPr>
            </w:pPr>
            <w:r>
              <w:rPr>
                <w:rFonts w:hint="default" w:ascii="Times New Roman" w:hAnsi="Times New Roman" w:eastAsia="宋体" w:cs="Times New Roman"/>
                <w:b/>
                <w:kern w:val="0"/>
                <w:szCs w:val="21"/>
                <w:highlight w:val="none"/>
              </w:rPr>
              <w:t>募集资金</w:t>
            </w:r>
            <w:r>
              <w:rPr>
                <w:rFonts w:hint="default" w:ascii="Times New Roman" w:hAnsi="Times New Roman" w:eastAsia="宋体" w:cs="Times New Roman"/>
                <w:b/>
                <w:kern w:val="0"/>
                <w:szCs w:val="21"/>
                <w:highlight w:val="none"/>
                <w:lang w:eastAsia="zh-CN"/>
              </w:rPr>
              <w:t>投资金额</w:t>
            </w:r>
          </w:p>
        </w:tc>
        <w:tc>
          <w:tcPr>
            <w:tcW w:w="1755" w:type="dxa"/>
            <w:tcBorders>
              <w:left w:val="single" w:color="auto" w:sz="4" w:space="0"/>
              <w:bottom w:val="single" w:color="auto" w:sz="4" w:space="0"/>
            </w:tcBorders>
            <w:noWrap w:val="0"/>
            <w:vAlign w:val="center"/>
          </w:tcPr>
          <w:p>
            <w:pPr>
              <w:autoSpaceDE w:val="0"/>
              <w:autoSpaceDN w:val="0"/>
              <w:adjustRightInd w:val="0"/>
              <w:snapToGrid w:val="0"/>
              <w:jc w:val="center"/>
              <w:rPr>
                <w:rFonts w:hint="default" w:ascii="Times New Roman" w:hAnsi="Times New Roman" w:eastAsia="宋体" w:cs="Times New Roman"/>
                <w:b/>
                <w:kern w:val="0"/>
                <w:sz w:val="21"/>
                <w:szCs w:val="18"/>
                <w:highlight w:val="none"/>
                <w:lang w:eastAsia="zh-CN"/>
              </w:rPr>
            </w:pPr>
            <w:r>
              <w:rPr>
                <w:rFonts w:hint="default" w:ascii="Times New Roman" w:hAnsi="Times New Roman" w:eastAsia="宋体" w:cs="Times New Roman"/>
                <w:b/>
                <w:kern w:val="0"/>
                <w:szCs w:val="21"/>
                <w:highlight w:val="none"/>
                <w:lang w:eastAsia="zh-CN"/>
              </w:rPr>
              <w:t>已累计使用募集资金金额</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817" w:type="dxa"/>
            <w:tcBorders>
              <w:top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1</w:t>
            </w:r>
          </w:p>
        </w:tc>
        <w:tc>
          <w:tcPr>
            <w:tcW w:w="244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下一代数字信任产品研发与产业化项目</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29,121.35</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val="0"/>
                <w:bCs/>
                <w:kern w:val="0"/>
                <w:sz w:val="21"/>
                <w:szCs w:val="18"/>
                <w:highlight w:val="none"/>
              </w:rPr>
            </w:pPr>
            <w:r>
              <w:rPr>
                <w:rFonts w:hint="default" w:ascii="Times New Roman" w:hAnsi="Times New Roman" w:eastAsia="宋体" w:cs="Times New Roman"/>
                <w:b w:val="0"/>
                <w:bCs/>
                <w:kern w:val="0"/>
                <w:szCs w:val="21"/>
                <w:highlight w:val="none"/>
                <w:lang w:val="en-US" w:eastAsia="zh-CN"/>
              </w:rPr>
              <w:t xml:space="preserve">24,637.79 </w:t>
            </w:r>
          </w:p>
        </w:tc>
        <w:tc>
          <w:tcPr>
            <w:tcW w:w="1755" w:type="dxa"/>
            <w:tcBorders>
              <w:top w:val="single" w:color="auto" w:sz="4" w:space="0"/>
              <w:left w:val="single" w:color="auto" w:sz="4" w:space="0"/>
              <w:bottom w:val="single" w:color="auto" w:sz="4" w:space="0"/>
            </w:tcBorders>
            <w:noWrap w:val="0"/>
            <w:vAlign w:val="center"/>
          </w:tcPr>
          <w:p>
            <w:pPr>
              <w:autoSpaceDE w:val="0"/>
              <w:autoSpaceDN w:val="0"/>
              <w:adjustRightInd w:val="0"/>
              <w:snapToGrid w:val="0"/>
              <w:jc w:val="right"/>
              <w:rPr>
                <w:rFonts w:hint="default" w:ascii="Times New Roman" w:hAnsi="Times New Roman" w:eastAsia="宋体" w:cs="Times New Roman"/>
                <w:kern w:val="0"/>
                <w:sz w:val="21"/>
                <w:szCs w:val="18"/>
                <w:highlight w:val="none"/>
                <w:lang w:val="en-US" w:eastAsia="zh-CN"/>
              </w:rPr>
            </w:pPr>
            <w:r>
              <w:rPr>
                <w:rFonts w:hint="default" w:ascii="Times New Roman" w:hAnsi="Times New Roman" w:eastAsia="宋体" w:cs="Times New Roman"/>
                <w:b w:val="0"/>
                <w:bCs/>
                <w:kern w:val="0"/>
                <w:szCs w:val="21"/>
                <w:highlight w:val="none"/>
                <w:lang w:val="en-US" w:eastAsia="zh-CN"/>
              </w:rPr>
              <w:t>1,081.97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817" w:type="dxa"/>
            <w:tcBorders>
              <w:top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2</w:t>
            </w:r>
          </w:p>
        </w:tc>
        <w:tc>
          <w:tcPr>
            <w:tcW w:w="244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rPr>
                <w:rFonts w:hint="default" w:ascii="Times New Roman" w:hAnsi="Times New Roman" w:cs="Times New Roman"/>
                <w:kern w:val="0"/>
                <w:sz w:val="21"/>
                <w:szCs w:val="18"/>
                <w:highlight w:val="none"/>
              </w:rPr>
            </w:pPr>
            <w:r>
              <w:rPr>
                <w:rFonts w:hint="default" w:ascii="Times New Roman" w:hAnsi="Times New Roman" w:eastAsia="宋体" w:cs="Times New Roman"/>
                <w:kern w:val="0"/>
                <w:highlight w:val="none"/>
              </w:rPr>
              <w:t>智联网安全技术研发与产业化项目</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24,855.73</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val="0"/>
                <w:bCs/>
                <w:kern w:val="0"/>
                <w:sz w:val="21"/>
                <w:szCs w:val="18"/>
                <w:highlight w:val="none"/>
              </w:rPr>
            </w:pPr>
            <w:r>
              <w:rPr>
                <w:rFonts w:hint="default" w:ascii="Times New Roman" w:hAnsi="Times New Roman" w:eastAsia="宋体" w:cs="Times New Roman"/>
                <w:b w:val="0"/>
                <w:bCs/>
                <w:kern w:val="0"/>
                <w:szCs w:val="21"/>
                <w:highlight w:val="none"/>
                <w:lang w:val="en-US" w:eastAsia="zh-CN"/>
              </w:rPr>
              <w:t xml:space="preserve">20,957.79 </w:t>
            </w:r>
          </w:p>
        </w:tc>
        <w:tc>
          <w:tcPr>
            <w:tcW w:w="1755" w:type="dxa"/>
            <w:tcBorders>
              <w:top w:val="single" w:color="auto" w:sz="4" w:space="0"/>
              <w:left w:val="single" w:color="auto" w:sz="4" w:space="0"/>
              <w:bottom w:val="single" w:color="auto" w:sz="4" w:space="0"/>
            </w:tcBorders>
            <w:noWrap w:val="0"/>
            <w:vAlign w:val="center"/>
          </w:tcPr>
          <w:p>
            <w:pPr>
              <w:autoSpaceDE w:val="0"/>
              <w:autoSpaceDN w:val="0"/>
              <w:adjustRightInd w:val="0"/>
              <w:snapToGrid w:val="0"/>
              <w:jc w:val="right"/>
              <w:rPr>
                <w:rFonts w:hint="default" w:ascii="Times New Roman" w:hAnsi="Times New Roman" w:eastAsia="宋体" w:cs="Times New Roman"/>
                <w:kern w:val="0"/>
                <w:sz w:val="21"/>
                <w:szCs w:val="18"/>
                <w:highlight w:val="none"/>
                <w:lang w:eastAsia="zh-CN"/>
              </w:rPr>
            </w:pPr>
            <w:r>
              <w:rPr>
                <w:rFonts w:hint="default" w:ascii="Times New Roman" w:hAnsi="Times New Roman" w:eastAsia="宋体" w:cs="Times New Roman"/>
                <w:b w:val="0"/>
                <w:bCs/>
                <w:kern w:val="0"/>
                <w:szCs w:val="21"/>
                <w:highlight w:val="none"/>
                <w:lang w:val="en-US" w:eastAsia="zh-CN"/>
              </w:rPr>
              <w:t>2,096.75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817" w:type="dxa"/>
            <w:tcBorders>
              <w:top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3</w:t>
            </w:r>
          </w:p>
        </w:tc>
        <w:tc>
          <w:tcPr>
            <w:tcW w:w="244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补充流动资金</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kern w:val="0"/>
                <w:sz w:val="21"/>
                <w:szCs w:val="18"/>
                <w:highlight w:val="none"/>
              </w:rPr>
            </w:pPr>
            <w:r>
              <w:rPr>
                <w:rFonts w:hint="default" w:ascii="Times New Roman" w:hAnsi="Times New Roman" w:eastAsia="宋体" w:cs="Times New Roman"/>
                <w:kern w:val="0"/>
                <w:szCs w:val="21"/>
                <w:highlight w:val="none"/>
              </w:rPr>
              <w:t>18,000.00</w:t>
            </w:r>
          </w:p>
        </w:tc>
        <w:tc>
          <w:tcPr>
            <w:tcW w:w="1753"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val="0"/>
                <w:bCs/>
                <w:kern w:val="0"/>
                <w:sz w:val="21"/>
                <w:szCs w:val="18"/>
                <w:highlight w:val="none"/>
              </w:rPr>
            </w:pPr>
            <w:r>
              <w:rPr>
                <w:rFonts w:hint="default" w:ascii="Times New Roman" w:hAnsi="Times New Roman" w:eastAsia="宋体" w:cs="Times New Roman"/>
                <w:b w:val="0"/>
                <w:bCs/>
                <w:kern w:val="0"/>
                <w:szCs w:val="21"/>
                <w:highlight w:val="none"/>
                <w:lang w:val="en-US" w:eastAsia="zh-CN"/>
              </w:rPr>
              <w:t xml:space="preserve">18,000.00 </w:t>
            </w:r>
          </w:p>
        </w:tc>
        <w:tc>
          <w:tcPr>
            <w:tcW w:w="1755" w:type="dxa"/>
            <w:tcBorders>
              <w:top w:val="single" w:color="auto" w:sz="4" w:space="0"/>
              <w:left w:val="single" w:color="auto" w:sz="4" w:space="0"/>
              <w:bottom w:val="single" w:color="auto" w:sz="4" w:space="0"/>
            </w:tcBorders>
            <w:noWrap w:val="0"/>
            <w:vAlign w:val="center"/>
          </w:tcPr>
          <w:p>
            <w:pPr>
              <w:autoSpaceDE w:val="0"/>
              <w:autoSpaceDN w:val="0"/>
              <w:adjustRightInd w:val="0"/>
              <w:snapToGrid w:val="0"/>
              <w:jc w:val="right"/>
              <w:rPr>
                <w:rFonts w:hint="default" w:ascii="Times New Roman" w:hAnsi="Times New Roman" w:eastAsia="宋体" w:cs="Times New Roman"/>
                <w:kern w:val="0"/>
                <w:sz w:val="21"/>
                <w:szCs w:val="18"/>
                <w:highlight w:val="none"/>
                <w:lang w:val="en-US" w:eastAsia="zh-CN"/>
              </w:rPr>
            </w:pPr>
            <w:r>
              <w:rPr>
                <w:rFonts w:hint="default" w:ascii="Times New Roman" w:hAnsi="Times New Roman" w:eastAsia="宋体" w:cs="Times New Roman"/>
                <w:b w:val="0"/>
                <w:bCs/>
                <w:kern w:val="0"/>
                <w:szCs w:val="21"/>
                <w:highlight w:val="none"/>
                <w:lang w:val="en-US" w:eastAsia="zh-CN"/>
              </w:rPr>
              <w:t>18,212.84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7" w:hRule="atLeast"/>
        </w:trPr>
        <w:tc>
          <w:tcPr>
            <w:tcW w:w="3261" w:type="dxa"/>
            <w:gridSpan w:val="2"/>
            <w:tcBorders>
              <w:top w:val="single" w:color="auto" w:sz="4" w:space="0"/>
              <w:right w:val="single" w:color="auto" w:sz="4" w:space="0"/>
            </w:tcBorders>
            <w:noWrap w:val="0"/>
            <w:vAlign w:val="center"/>
          </w:tcPr>
          <w:p>
            <w:pPr>
              <w:autoSpaceDE w:val="0"/>
              <w:autoSpaceDN w:val="0"/>
              <w:adjustRightInd w:val="0"/>
              <w:snapToGrid w:val="0"/>
              <w:jc w:val="center"/>
              <w:rPr>
                <w:rFonts w:hint="default" w:ascii="Times New Roman" w:hAnsi="Times New Roman" w:cs="Times New Roman"/>
                <w:b/>
                <w:kern w:val="0"/>
                <w:sz w:val="21"/>
                <w:szCs w:val="18"/>
                <w:highlight w:val="none"/>
              </w:rPr>
            </w:pPr>
            <w:r>
              <w:rPr>
                <w:rFonts w:hint="default" w:ascii="Times New Roman" w:hAnsi="Times New Roman" w:eastAsia="宋体" w:cs="Times New Roman"/>
                <w:b/>
                <w:kern w:val="0"/>
                <w:szCs w:val="21"/>
                <w:highlight w:val="none"/>
              </w:rPr>
              <w:t>合计</w:t>
            </w:r>
          </w:p>
        </w:tc>
        <w:tc>
          <w:tcPr>
            <w:tcW w:w="1753" w:type="dxa"/>
            <w:tcBorders>
              <w:top w:val="single" w:color="auto" w:sz="4" w:space="0"/>
              <w:left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kern w:val="0"/>
                <w:sz w:val="21"/>
                <w:szCs w:val="18"/>
                <w:highlight w:val="none"/>
              </w:rPr>
            </w:pPr>
            <w:r>
              <w:rPr>
                <w:rFonts w:hint="default" w:ascii="Times New Roman" w:hAnsi="Times New Roman" w:eastAsia="宋体" w:cs="Times New Roman"/>
                <w:b/>
                <w:kern w:val="0"/>
                <w:szCs w:val="21"/>
                <w:highlight w:val="none"/>
              </w:rPr>
              <w:t>71,977.08</w:t>
            </w:r>
          </w:p>
        </w:tc>
        <w:tc>
          <w:tcPr>
            <w:tcW w:w="1753" w:type="dxa"/>
            <w:tcBorders>
              <w:top w:val="single" w:color="auto" w:sz="4" w:space="0"/>
              <w:left w:val="single" w:color="auto" w:sz="4" w:space="0"/>
              <w:righ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val="0"/>
                <w:bCs/>
                <w:kern w:val="0"/>
                <w:sz w:val="21"/>
                <w:szCs w:val="18"/>
                <w:highlight w:val="none"/>
              </w:rPr>
            </w:pPr>
            <w:r>
              <w:rPr>
                <w:rFonts w:hint="default" w:ascii="Times New Roman" w:hAnsi="Times New Roman" w:eastAsia="宋体" w:cs="Times New Roman"/>
                <w:b/>
                <w:bCs w:val="0"/>
                <w:kern w:val="0"/>
                <w:szCs w:val="21"/>
                <w:highlight w:val="none"/>
                <w:lang w:val="en-US" w:eastAsia="zh-CN"/>
              </w:rPr>
              <w:t>63,595.59</w:t>
            </w:r>
            <w:r>
              <w:rPr>
                <w:rFonts w:hint="default" w:ascii="Times New Roman" w:hAnsi="Times New Roman" w:eastAsia="宋体" w:cs="Times New Roman"/>
                <w:b w:val="0"/>
                <w:bCs/>
                <w:kern w:val="0"/>
                <w:szCs w:val="21"/>
                <w:highlight w:val="none"/>
                <w:lang w:val="en-US" w:eastAsia="zh-CN"/>
              </w:rPr>
              <w:t xml:space="preserve"> </w:t>
            </w:r>
          </w:p>
        </w:tc>
        <w:tc>
          <w:tcPr>
            <w:tcW w:w="1755" w:type="dxa"/>
            <w:tcBorders>
              <w:top w:val="single" w:color="auto" w:sz="4" w:space="0"/>
              <w:left w:val="single" w:color="auto" w:sz="4" w:space="0"/>
            </w:tcBorders>
            <w:noWrap w:val="0"/>
            <w:vAlign w:val="center"/>
          </w:tcPr>
          <w:p>
            <w:pPr>
              <w:autoSpaceDE w:val="0"/>
              <w:autoSpaceDN w:val="0"/>
              <w:adjustRightInd w:val="0"/>
              <w:snapToGrid w:val="0"/>
              <w:jc w:val="right"/>
              <w:rPr>
                <w:rFonts w:hint="default" w:ascii="Times New Roman" w:hAnsi="Times New Roman" w:cs="Times New Roman"/>
                <w:b/>
                <w:kern w:val="0"/>
                <w:sz w:val="21"/>
                <w:szCs w:val="18"/>
                <w:highlight w:val="none"/>
              </w:rPr>
            </w:pPr>
            <w:r>
              <w:rPr>
                <w:rFonts w:hint="default" w:ascii="Times New Roman" w:hAnsi="Times New Roman" w:eastAsia="宋体" w:cs="Times New Roman"/>
                <w:b/>
                <w:bCs w:val="0"/>
                <w:kern w:val="0"/>
                <w:szCs w:val="21"/>
                <w:highlight w:val="none"/>
                <w:lang w:val="en-US" w:eastAsia="zh-CN"/>
              </w:rPr>
              <w:t>21,391.56</w:t>
            </w:r>
          </w:p>
        </w:tc>
      </w:tr>
    </w:tbl>
    <w:p>
      <w:pPr>
        <w:keepNext w:val="0"/>
        <w:keepLines w:val="0"/>
        <w:pageBreakBefore w:val="0"/>
        <w:widowControl/>
        <w:numPr>
          <w:ilvl w:val="0"/>
          <w:numId w:val="0"/>
        </w:numPr>
        <w:kinsoku/>
        <w:wordWrap/>
        <w:overflowPunct/>
        <w:topLinePunct w:val="0"/>
        <w:autoSpaceDE/>
        <w:autoSpaceDN/>
        <w:bidi w:val="0"/>
        <w:adjustRightInd/>
        <w:snapToGrid w:val="0"/>
        <w:spacing w:before="157" w:beforeLines="50" w:line="360" w:lineRule="auto"/>
        <w:ind w:left="0" w:leftChars="0"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截至</w:t>
      </w:r>
      <w:r>
        <w:rPr>
          <w:rFonts w:hint="eastAsia" w:cs="Times New Roman" w:eastAsiaTheme="minorEastAsia"/>
          <w:sz w:val="24"/>
          <w:szCs w:val="24"/>
          <w:lang w:val="en-US" w:eastAsia="zh-CN"/>
        </w:rPr>
        <w:t>2021年12月31日</w:t>
      </w:r>
      <w:r>
        <w:rPr>
          <w:rFonts w:hint="default" w:ascii="Times New Roman" w:hAnsi="Times New Roman" w:cs="Times New Roman" w:eastAsiaTheme="minorEastAsia"/>
          <w:sz w:val="24"/>
          <w:szCs w:val="24"/>
          <w:lang w:val="en-US" w:eastAsia="zh-CN"/>
        </w:rPr>
        <w:t>，公司本次非公开发行募集资金投资项目已累计使用募集资金金额21,391.56万元。</w:t>
      </w:r>
    </w:p>
    <w:p>
      <w:pPr>
        <w:keepNext w:val="0"/>
        <w:keepLines w:val="0"/>
        <w:pageBreakBefore w:val="0"/>
        <w:numPr>
          <w:ilvl w:val="0"/>
          <w:numId w:val="2"/>
        </w:numPr>
        <w:kinsoku/>
        <w:wordWrap/>
        <w:overflowPunct/>
        <w:topLinePunct w:val="0"/>
        <w:bidi w:val="0"/>
        <w:snapToGrid w:val="0"/>
        <w:spacing w:line="360" w:lineRule="auto"/>
        <w:ind w:left="0" w:leftChars="0" w:firstLine="482" w:firstLineChars="0"/>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本次使用部分闲置募集资金</w:t>
      </w:r>
      <w:r>
        <w:rPr>
          <w:rFonts w:hint="default" w:ascii="Times New Roman" w:hAnsi="Times New Roman" w:cs="Times New Roman" w:eastAsiaTheme="minorEastAsia"/>
          <w:b/>
          <w:sz w:val="24"/>
          <w:szCs w:val="24"/>
          <w:lang w:eastAsia="zh-CN"/>
        </w:rPr>
        <w:t>进行现金管理</w:t>
      </w:r>
      <w:r>
        <w:rPr>
          <w:rFonts w:hint="default" w:ascii="Times New Roman" w:hAnsi="Times New Roman" w:cs="Times New Roman" w:eastAsiaTheme="minorEastAsia"/>
          <w:b/>
          <w:sz w:val="24"/>
          <w:szCs w:val="24"/>
        </w:rPr>
        <w:t>的情况</w:t>
      </w:r>
    </w:p>
    <w:p>
      <w:pPr>
        <w:pStyle w:val="7"/>
        <w:keepNext w:val="0"/>
        <w:keepLines w:val="0"/>
        <w:pageBreakBefore w:val="0"/>
        <w:numPr>
          <w:ilvl w:val="0"/>
          <w:numId w:val="3"/>
        </w:numPr>
        <w:kinsoku/>
        <w:wordWrap/>
        <w:overflowPunct/>
        <w:topLinePunct w:val="0"/>
        <w:bidi w:val="0"/>
        <w:spacing w:line="360" w:lineRule="auto"/>
        <w:ind w:left="0" w:leftChars="0" w:firstLine="420" w:firstLineChars="0"/>
        <w:textAlignment w:val="auto"/>
        <w:rPr>
          <w:rFonts w:hint="default" w:ascii="Times New Roman" w:hAnsi="Times New Roman" w:eastAsia="宋体" w:cs="Times New Roman"/>
          <w:b/>
        </w:rPr>
      </w:pPr>
      <w:r>
        <w:rPr>
          <w:rFonts w:hint="default" w:ascii="Times New Roman" w:hAnsi="Times New Roman" w:eastAsia="宋体" w:cs="Times New Roman"/>
          <w:b/>
        </w:rPr>
        <w:t>投资目的</w:t>
      </w:r>
    </w:p>
    <w:p>
      <w:pPr>
        <w:keepNext w:val="0"/>
        <w:keepLines w:val="0"/>
        <w:pageBreakBefore w:val="0"/>
        <w:kinsoku/>
        <w:wordWrap/>
        <w:overflowPunct/>
        <w:topLinePunct w:val="0"/>
        <w:bidi w:val="0"/>
        <w:spacing w:line="360" w:lineRule="auto"/>
        <w:ind w:left="0" w:leftChars="0" w:firstLine="420" w:firstLineChars="175"/>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rPr>
        <w:t>为进一步提高资金使用效率，合理利用闲置募集资金，在不影响公司日常经营，保证公司募集资</w:t>
      </w:r>
      <w:r>
        <w:rPr>
          <w:rFonts w:hint="default" w:ascii="Times New Roman" w:hAnsi="Times New Roman" w:eastAsia="宋体" w:cs="Times New Roman"/>
          <w:sz w:val="24"/>
          <w:szCs w:val="24"/>
          <w:highlight w:val="none"/>
        </w:rPr>
        <w:t>金投资项目建设和使用的前提下，公司拟使用总额不超过人民币</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元（含</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亿元）的闲置募集资金</w:t>
      </w:r>
      <w:r>
        <w:rPr>
          <w:rFonts w:hint="default" w:ascii="Times New Roman" w:hAnsi="Times New Roman" w:eastAsia="宋体" w:cs="Times New Roman"/>
          <w:sz w:val="24"/>
          <w:szCs w:val="24"/>
          <w:highlight w:val="none"/>
          <w:lang w:eastAsia="zh-CN"/>
        </w:rPr>
        <w:t>进行现金管理</w:t>
      </w:r>
      <w:r>
        <w:rPr>
          <w:rFonts w:hint="default" w:ascii="Times New Roman" w:hAnsi="Times New Roman" w:eastAsia="宋体" w:cs="Times New Roman"/>
          <w:sz w:val="24"/>
          <w:szCs w:val="24"/>
          <w:highlight w:val="none"/>
        </w:rPr>
        <w:t>，以更好实现公司资金的保值增值。</w:t>
      </w:r>
    </w:p>
    <w:p>
      <w:pPr>
        <w:pStyle w:val="7"/>
        <w:keepNext w:val="0"/>
        <w:keepLines w:val="0"/>
        <w:pageBreakBefore w:val="0"/>
        <w:numPr>
          <w:ilvl w:val="0"/>
          <w:numId w:val="3"/>
        </w:numPr>
        <w:kinsoku/>
        <w:wordWrap/>
        <w:overflowPunct/>
        <w:topLinePunct w:val="0"/>
        <w:bidi w:val="0"/>
        <w:spacing w:line="360" w:lineRule="auto"/>
        <w:ind w:left="0" w:leftChars="0" w:firstLine="420" w:firstLineChars="0"/>
        <w:textAlignment w:val="auto"/>
        <w:rPr>
          <w:rFonts w:hint="default" w:ascii="Times New Roman" w:hAnsi="Times New Roman" w:eastAsia="宋体" w:cs="Times New Roman"/>
          <w:b/>
        </w:rPr>
      </w:pPr>
      <w:r>
        <w:rPr>
          <w:rFonts w:hint="default" w:ascii="Times New Roman" w:hAnsi="Times New Roman" w:eastAsia="宋体" w:cs="Times New Roman"/>
          <w:b/>
        </w:rPr>
        <w:t>投资额度</w:t>
      </w:r>
    </w:p>
    <w:p>
      <w:pPr>
        <w:pStyle w:val="7"/>
        <w:keepNext w:val="0"/>
        <w:keepLines w:val="0"/>
        <w:pageBreakBefore w:val="0"/>
        <w:kinsoku/>
        <w:wordWrap/>
        <w:overflowPunct/>
        <w:topLinePunct w:val="0"/>
        <w:bidi w:val="0"/>
        <w:spacing w:line="360" w:lineRule="auto"/>
        <w:ind w:left="0" w:leftChars="0" w:firstLine="420" w:firstLineChars="175"/>
        <w:textAlignment w:val="auto"/>
        <w:rPr>
          <w:rFonts w:hint="default" w:ascii="Times New Roman" w:hAnsi="Times New Roman" w:eastAsia="宋体" w:cs="Times New Roman"/>
          <w:highlight w:val="none"/>
        </w:rPr>
      </w:pPr>
      <w:r>
        <w:rPr>
          <w:rFonts w:hint="default" w:ascii="Times New Roman" w:hAnsi="Times New Roman" w:eastAsia="宋体" w:cs="Times New Roman"/>
          <w:highlight w:val="none"/>
        </w:rPr>
        <w:t>公司拟使用总额不超过人民币</w:t>
      </w:r>
      <w:r>
        <w:rPr>
          <w:rFonts w:hint="default" w:ascii="Times New Roman" w:hAnsi="Times New Roman" w:eastAsia="宋体" w:cs="Times New Roman"/>
          <w:highlight w:val="none"/>
          <w:lang w:val="en-US" w:eastAsia="zh-CN"/>
        </w:rPr>
        <w:t>5</w:t>
      </w:r>
      <w:r>
        <w:rPr>
          <w:rFonts w:hint="default" w:ascii="Times New Roman" w:hAnsi="Times New Roman" w:eastAsia="宋体" w:cs="Times New Roman"/>
          <w:highlight w:val="none"/>
        </w:rPr>
        <w:t>亿元（含</w:t>
      </w:r>
      <w:r>
        <w:rPr>
          <w:rFonts w:hint="default" w:ascii="Times New Roman" w:hAnsi="Times New Roman" w:eastAsia="宋体" w:cs="Times New Roman"/>
          <w:highlight w:val="none"/>
          <w:lang w:val="en-US" w:eastAsia="zh-CN"/>
        </w:rPr>
        <w:t>5</w:t>
      </w:r>
      <w:r>
        <w:rPr>
          <w:rFonts w:hint="default" w:ascii="Times New Roman" w:hAnsi="Times New Roman" w:eastAsia="宋体" w:cs="Times New Roman"/>
          <w:highlight w:val="none"/>
        </w:rPr>
        <w:t>亿元）的闲置募集资金</w:t>
      </w:r>
      <w:r>
        <w:rPr>
          <w:rFonts w:hint="default" w:ascii="Times New Roman" w:hAnsi="Times New Roman" w:eastAsia="宋体" w:cs="Times New Roman"/>
          <w:highlight w:val="none"/>
          <w:lang w:eastAsia="zh-CN"/>
        </w:rPr>
        <w:t>进行现金管理</w:t>
      </w:r>
      <w:r>
        <w:rPr>
          <w:rFonts w:hint="default" w:ascii="Times New Roman" w:hAnsi="Times New Roman" w:eastAsia="宋体" w:cs="Times New Roman"/>
          <w:highlight w:val="none"/>
        </w:rPr>
        <w:t>，在</w:t>
      </w:r>
      <w:r>
        <w:rPr>
          <w:rFonts w:hint="default" w:ascii="Times New Roman" w:hAnsi="Times New Roman" w:eastAsia="宋体" w:cs="Times New Roman"/>
          <w:sz w:val="24"/>
          <w:lang w:val="en-US" w:eastAsia="zh-CN"/>
        </w:rPr>
        <w:t>12个月</w:t>
      </w:r>
      <w:r>
        <w:rPr>
          <w:rFonts w:hint="default" w:ascii="Times New Roman" w:hAnsi="Times New Roman" w:eastAsia="宋体" w:cs="Times New Roman"/>
          <w:sz w:val="24"/>
        </w:rPr>
        <w:t>内（</w:t>
      </w:r>
      <w:r>
        <w:rPr>
          <w:rFonts w:hint="default" w:ascii="Times New Roman" w:hAnsi="Times New Roman" w:eastAsia="宋体" w:cs="Times New Roman"/>
          <w:sz w:val="24"/>
          <w:lang w:val="en-US" w:eastAsia="zh-CN"/>
        </w:rPr>
        <w:t>含12个月</w:t>
      </w:r>
      <w:r>
        <w:rPr>
          <w:rFonts w:hint="default" w:ascii="Times New Roman" w:hAnsi="Times New Roman" w:eastAsia="宋体" w:cs="Times New Roman"/>
          <w:sz w:val="24"/>
        </w:rPr>
        <w:t>）</w:t>
      </w:r>
      <w:r>
        <w:rPr>
          <w:rFonts w:hint="default" w:ascii="Times New Roman" w:hAnsi="Times New Roman" w:eastAsia="宋体" w:cs="Times New Roman"/>
          <w:highlight w:val="none"/>
        </w:rPr>
        <w:t>该项资金额度可滚动使用（以保证募集资金项目建设和使用为前提）。</w:t>
      </w:r>
    </w:p>
    <w:p>
      <w:pPr>
        <w:pStyle w:val="7"/>
        <w:keepNext w:val="0"/>
        <w:keepLines w:val="0"/>
        <w:pageBreakBefore w:val="0"/>
        <w:numPr>
          <w:ilvl w:val="0"/>
          <w:numId w:val="3"/>
        </w:numPr>
        <w:kinsoku/>
        <w:wordWrap/>
        <w:overflowPunct/>
        <w:topLinePunct w:val="0"/>
        <w:bidi w:val="0"/>
        <w:spacing w:line="360" w:lineRule="auto"/>
        <w:ind w:left="0" w:leftChars="0" w:firstLine="420" w:firstLineChars="0"/>
        <w:textAlignment w:val="auto"/>
        <w:rPr>
          <w:rFonts w:hint="default" w:ascii="Times New Roman" w:hAnsi="Times New Roman" w:eastAsia="宋体" w:cs="Times New Roman"/>
          <w:b/>
        </w:rPr>
      </w:pPr>
      <w:r>
        <w:rPr>
          <w:rFonts w:hint="default" w:ascii="Times New Roman" w:hAnsi="Times New Roman" w:eastAsia="宋体" w:cs="Times New Roman"/>
          <w:b/>
        </w:rPr>
        <w:t>投资品种</w:t>
      </w:r>
    </w:p>
    <w:p>
      <w:pPr>
        <w:pStyle w:val="7"/>
        <w:keepNext w:val="0"/>
        <w:keepLines w:val="0"/>
        <w:pageBreakBefore w:val="0"/>
        <w:kinsoku/>
        <w:wordWrap/>
        <w:overflowPunct/>
        <w:topLinePunct w:val="0"/>
        <w:bidi w:val="0"/>
        <w:spacing w:line="360" w:lineRule="auto"/>
        <w:ind w:left="0" w:leftChars="0" w:firstLine="420" w:firstLineChars="175"/>
        <w:textAlignment w:val="auto"/>
        <w:rPr>
          <w:rFonts w:hint="default" w:ascii="Times New Roman" w:hAnsi="Times New Roman" w:eastAsia="宋体" w:cs="Times New Roman"/>
        </w:rPr>
      </w:pPr>
      <w:r>
        <w:rPr>
          <w:rFonts w:hint="default" w:ascii="Times New Roman" w:hAnsi="Times New Roman" w:eastAsia="宋体" w:cs="Times New Roman"/>
        </w:rPr>
        <w:t>为控制风险，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w:t>
      </w:r>
    </w:p>
    <w:p>
      <w:pPr>
        <w:pStyle w:val="7"/>
        <w:keepNext w:val="0"/>
        <w:keepLines w:val="0"/>
        <w:pageBreakBefore w:val="0"/>
        <w:numPr>
          <w:ilvl w:val="0"/>
          <w:numId w:val="3"/>
        </w:numPr>
        <w:kinsoku/>
        <w:wordWrap/>
        <w:overflowPunct/>
        <w:topLinePunct w:val="0"/>
        <w:bidi w:val="0"/>
        <w:spacing w:line="360" w:lineRule="auto"/>
        <w:ind w:left="0" w:leftChars="0" w:firstLine="420" w:firstLineChars="0"/>
        <w:textAlignment w:val="auto"/>
        <w:rPr>
          <w:rFonts w:hint="default" w:ascii="Times New Roman" w:hAnsi="Times New Roman" w:eastAsia="宋体" w:cs="Times New Roman"/>
          <w:b/>
        </w:rPr>
      </w:pPr>
      <w:r>
        <w:rPr>
          <w:rFonts w:hint="default" w:ascii="Times New Roman" w:hAnsi="Times New Roman" w:eastAsia="宋体" w:cs="Times New Roman"/>
          <w:b/>
        </w:rPr>
        <w:t>投资期限</w:t>
      </w:r>
    </w:p>
    <w:p>
      <w:pPr>
        <w:pStyle w:val="7"/>
        <w:keepNext w:val="0"/>
        <w:keepLines w:val="0"/>
        <w:pageBreakBefore w:val="0"/>
        <w:kinsoku/>
        <w:wordWrap/>
        <w:overflowPunct/>
        <w:topLinePunct w:val="0"/>
        <w:bidi w:val="0"/>
        <w:spacing w:line="360" w:lineRule="auto"/>
        <w:ind w:left="0" w:leftChars="0" w:firstLine="420" w:firstLineChars="175"/>
        <w:textAlignment w:val="auto"/>
        <w:rPr>
          <w:rFonts w:hint="default" w:ascii="Times New Roman" w:hAnsi="Times New Roman" w:eastAsia="宋体" w:cs="Times New Roman"/>
        </w:rPr>
      </w:pPr>
      <w:r>
        <w:rPr>
          <w:rFonts w:hint="default" w:ascii="Times New Roman" w:hAnsi="Times New Roman" w:eastAsia="宋体" w:cs="Times New Roman"/>
        </w:rPr>
        <w:t>自获得公司</w:t>
      </w:r>
      <w:r>
        <w:rPr>
          <w:rFonts w:hint="eastAsia" w:ascii="Times New Roman" w:eastAsia="宋体" w:cs="Times New Roman"/>
          <w:lang w:val="en-US" w:eastAsia="zh-CN"/>
        </w:rPr>
        <w:t>第七届董事会第二十三次会议</w:t>
      </w:r>
      <w:r>
        <w:rPr>
          <w:rFonts w:hint="default" w:ascii="Times New Roman" w:hAnsi="Times New Roman" w:eastAsia="宋体" w:cs="Times New Roman"/>
        </w:rPr>
        <w:t>审议通过之日起</w:t>
      </w:r>
      <w:r>
        <w:rPr>
          <w:rFonts w:hint="default" w:ascii="Times New Roman" w:hAnsi="Times New Roman" w:eastAsia="宋体" w:cs="Times New Roman"/>
          <w:sz w:val="24"/>
          <w:lang w:val="en-US" w:eastAsia="zh-CN"/>
        </w:rPr>
        <w:t>12个月</w:t>
      </w:r>
      <w:r>
        <w:rPr>
          <w:rFonts w:hint="default" w:ascii="Times New Roman" w:hAnsi="Times New Roman" w:eastAsia="宋体" w:cs="Times New Roman"/>
          <w:sz w:val="24"/>
        </w:rPr>
        <w:t>内（</w:t>
      </w:r>
      <w:r>
        <w:rPr>
          <w:rFonts w:hint="default" w:ascii="Times New Roman" w:hAnsi="Times New Roman" w:eastAsia="宋体" w:cs="Times New Roman"/>
          <w:sz w:val="24"/>
          <w:highlight w:val="none"/>
          <w:lang w:val="en-US" w:eastAsia="zh-CN"/>
        </w:rPr>
        <w:t>含</w:t>
      </w:r>
      <w:r>
        <w:rPr>
          <w:rFonts w:hint="default" w:ascii="Times New Roman" w:hAnsi="Times New Roman" w:eastAsia="宋体" w:cs="Times New Roman"/>
          <w:sz w:val="24"/>
          <w:lang w:val="en-US" w:eastAsia="zh-CN"/>
        </w:rPr>
        <w:t>12个月</w:t>
      </w:r>
      <w:r>
        <w:rPr>
          <w:rFonts w:hint="default" w:ascii="Times New Roman" w:hAnsi="Times New Roman" w:eastAsia="宋体" w:cs="Times New Roman"/>
          <w:sz w:val="24"/>
        </w:rPr>
        <w:t>）</w:t>
      </w:r>
      <w:r>
        <w:rPr>
          <w:rFonts w:hint="default" w:ascii="Times New Roman" w:hAnsi="Times New Roman" w:eastAsia="宋体" w:cs="Times New Roman"/>
        </w:rPr>
        <w:t>有效。</w:t>
      </w:r>
    </w:p>
    <w:p>
      <w:pPr>
        <w:pStyle w:val="7"/>
        <w:keepNext w:val="0"/>
        <w:keepLines w:val="0"/>
        <w:pageBreakBefore w:val="0"/>
        <w:numPr>
          <w:ilvl w:val="0"/>
          <w:numId w:val="3"/>
        </w:numPr>
        <w:kinsoku/>
        <w:wordWrap/>
        <w:overflowPunct/>
        <w:topLinePunct w:val="0"/>
        <w:bidi w:val="0"/>
        <w:spacing w:line="360" w:lineRule="auto"/>
        <w:ind w:left="0" w:leftChars="0" w:firstLine="420" w:firstLineChars="0"/>
        <w:textAlignment w:val="auto"/>
        <w:rPr>
          <w:rFonts w:hint="eastAsia" w:ascii="Times New Roman" w:hAnsi="Times New Roman" w:eastAsia="宋体" w:cs="Times New Roman"/>
          <w:b/>
        </w:rPr>
      </w:pPr>
      <w:r>
        <w:rPr>
          <w:rFonts w:hint="eastAsia" w:ascii="Times New Roman" w:hAnsi="Times New Roman" w:eastAsia="宋体" w:cs="Times New Roman"/>
          <w:b/>
        </w:rPr>
        <w:t>资金来源</w:t>
      </w:r>
    </w:p>
    <w:p>
      <w:pPr>
        <w:pStyle w:val="7"/>
        <w:keepNext w:val="0"/>
        <w:keepLines w:val="0"/>
        <w:pageBreakBefore w:val="0"/>
        <w:kinsoku/>
        <w:wordWrap/>
        <w:overflowPunct/>
        <w:topLinePunct w:val="0"/>
        <w:bidi w:val="0"/>
        <w:spacing w:line="360" w:lineRule="auto"/>
        <w:ind w:left="0" w:leftChars="0" w:firstLine="420" w:firstLineChars="175"/>
        <w:textAlignment w:val="auto"/>
        <w:rPr>
          <w:rFonts w:hint="eastAsia" w:ascii="Times New Roman" w:hAnsi="Times New Roman" w:eastAsia="宋体" w:cs="Times New Roman"/>
        </w:rPr>
      </w:pPr>
      <w:r>
        <w:rPr>
          <w:rFonts w:hint="eastAsia" w:ascii="Times New Roman" w:hAnsi="Times New Roman" w:eastAsia="宋体" w:cs="Times New Roman"/>
        </w:rPr>
        <w:t>公司用于</w:t>
      </w:r>
      <w:r>
        <w:rPr>
          <w:rFonts w:hint="eastAsia" w:ascii="Times New Roman" w:hAnsi="Times New Roman" w:eastAsia="宋体" w:cs="Times New Roman"/>
          <w:lang w:eastAsia="zh-CN"/>
        </w:rPr>
        <w:t>现金管理</w:t>
      </w:r>
      <w:r>
        <w:rPr>
          <w:rFonts w:hint="eastAsia" w:ascii="Times New Roman" w:hAnsi="Times New Roman" w:eastAsia="宋体" w:cs="Times New Roman"/>
        </w:rPr>
        <w:t>的资金为部分闲置募集资金。</w:t>
      </w:r>
    </w:p>
    <w:p>
      <w:pPr>
        <w:keepNext w:val="0"/>
        <w:keepLines w:val="0"/>
        <w:pageBreakBefore w:val="0"/>
        <w:widowControl/>
        <w:numPr>
          <w:ilvl w:val="0"/>
          <w:numId w:val="2"/>
        </w:numPr>
        <w:kinsoku/>
        <w:wordWrap/>
        <w:overflowPunct/>
        <w:topLinePunct w:val="0"/>
        <w:autoSpaceDE/>
        <w:autoSpaceDN/>
        <w:bidi w:val="0"/>
        <w:adjustRightInd/>
        <w:snapToGrid w:val="0"/>
        <w:spacing w:before="157" w:beforeLines="50" w:line="360" w:lineRule="auto"/>
        <w:ind w:left="0" w:leftChars="0" w:firstLine="482" w:firstLineChars="0"/>
        <w:textAlignment w:val="auto"/>
        <w:rPr>
          <w:rFonts w:hint="eastAsia" w:ascii="Times New Roman" w:hAnsi="Times New Roman" w:cs="Times New Roman" w:eastAsiaTheme="minorEastAsia"/>
          <w:b/>
          <w:sz w:val="24"/>
          <w:szCs w:val="24"/>
        </w:rPr>
      </w:pPr>
      <w:r>
        <w:rPr>
          <w:rFonts w:hint="eastAsia" w:ascii="Times New Roman" w:hAnsi="Times New Roman" w:cs="Times New Roman" w:eastAsiaTheme="minorEastAsia"/>
          <w:b/>
          <w:sz w:val="24"/>
          <w:szCs w:val="24"/>
        </w:rPr>
        <w:t>投资风险及其控制措施</w:t>
      </w:r>
    </w:p>
    <w:p>
      <w:pPr>
        <w:keepNext w:val="0"/>
        <w:keepLines w:val="0"/>
        <w:pageBreakBefore w:val="0"/>
        <w:kinsoku/>
        <w:wordWrap/>
        <w:overflowPunct/>
        <w:topLinePunct w:val="0"/>
        <w:bidi w:val="0"/>
        <w:snapToGrid w:val="0"/>
        <w:spacing w:line="360" w:lineRule="auto"/>
        <w:ind w:left="0" w:leftChars="0"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（一）投资风险</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1、公司购买的</w:t>
      </w:r>
      <w:r>
        <w:rPr>
          <w:rFonts w:hint="default" w:ascii="Times New Roman" w:hAnsi="Times New Roman" w:cs="Times New Roman" w:eastAsiaTheme="minorEastAsia"/>
          <w:sz w:val="24"/>
          <w:szCs w:val="24"/>
          <w:lang w:eastAsia="zh-CN"/>
        </w:rPr>
        <w:t>投资产品</w:t>
      </w:r>
      <w:r>
        <w:rPr>
          <w:rFonts w:hint="default" w:ascii="Times New Roman" w:hAnsi="Times New Roman" w:cs="Times New Roman" w:eastAsiaTheme="minorEastAsia"/>
          <w:sz w:val="24"/>
          <w:szCs w:val="24"/>
        </w:rPr>
        <w:t>属短期低风险型产品，但金融市场受宏观经济影响较大，该项投资</w:t>
      </w:r>
      <w:r>
        <w:rPr>
          <w:rFonts w:hint="eastAsia" w:cs="Times New Roman" w:eastAsiaTheme="minorEastAsia"/>
          <w:sz w:val="24"/>
          <w:szCs w:val="24"/>
          <w:lang w:eastAsia="zh-CN"/>
        </w:rPr>
        <w:t>会</w:t>
      </w:r>
      <w:r>
        <w:rPr>
          <w:rFonts w:hint="default" w:ascii="Times New Roman" w:hAnsi="Times New Roman" w:cs="Times New Roman" w:eastAsiaTheme="minorEastAsia"/>
          <w:sz w:val="24"/>
          <w:szCs w:val="24"/>
        </w:rPr>
        <w:t>受到市场波动的影响。</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2、公司根据经济形势以及金融市场的变化适时适量的介入，因此短期投资的实际收益不可预期。</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3、相关工作人员的操作和监控风险。</w:t>
      </w:r>
    </w:p>
    <w:p>
      <w:pPr>
        <w:keepNext w:val="0"/>
        <w:keepLines w:val="0"/>
        <w:pageBreakBefore w:val="0"/>
        <w:kinsoku/>
        <w:wordWrap/>
        <w:overflowPunct/>
        <w:topLinePunct w:val="0"/>
        <w:bidi w:val="0"/>
        <w:snapToGrid w:val="0"/>
        <w:spacing w:line="360" w:lineRule="auto"/>
        <w:ind w:left="0" w:leftChars="0" w:firstLine="482" w:firstLineChars="200"/>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（二）风险控制措施</w:t>
      </w:r>
    </w:p>
    <w:p>
      <w:pPr>
        <w:keepNext w:val="0"/>
        <w:keepLines w:val="0"/>
        <w:pageBreakBefore w:val="0"/>
        <w:kinsoku/>
        <w:wordWrap/>
        <w:overflowPunct/>
        <w:topLinePunct w:val="0"/>
        <w:bidi w:val="0"/>
        <w:snapToGrid w:val="0"/>
        <w:spacing w:line="360" w:lineRule="auto"/>
        <w:ind w:left="0" w:leftChars="0" w:firstLine="420" w:firstLineChars="175"/>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金融市场受宏观经济的影响较大，公司将根据经济形势以及金融市场的变化适时适量的介入，但该项投资</w:t>
      </w:r>
      <w:r>
        <w:rPr>
          <w:rFonts w:hint="default" w:ascii="Times New Roman" w:hAnsi="Times New Roman" w:eastAsia="宋体" w:cs="Times New Roman"/>
          <w:sz w:val="24"/>
          <w:szCs w:val="24"/>
          <w:lang w:eastAsia="zh-CN"/>
        </w:rPr>
        <w:t>仍会</w:t>
      </w:r>
      <w:r>
        <w:rPr>
          <w:rFonts w:hint="default" w:ascii="Times New Roman" w:hAnsi="Times New Roman" w:eastAsia="宋体" w:cs="Times New Roman"/>
          <w:sz w:val="24"/>
          <w:szCs w:val="24"/>
        </w:rPr>
        <w:t>受到市场波动的影响。针对可能发生的投资风险，公司拟定如下风险控制措施：</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1、公司财务部门将及时分析和跟踪</w:t>
      </w:r>
      <w:r>
        <w:rPr>
          <w:rFonts w:hint="default" w:ascii="Times New Roman" w:hAnsi="Times New Roman" w:eastAsia="宋体" w:cs="Times New Roman"/>
          <w:sz w:val="24"/>
          <w:szCs w:val="24"/>
          <w:lang w:eastAsia="zh-CN"/>
        </w:rPr>
        <w:t>理财产品的</w:t>
      </w:r>
      <w:r>
        <w:rPr>
          <w:rFonts w:hint="default" w:ascii="Times New Roman" w:hAnsi="Times New Roman" w:eastAsia="宋体" w:cs="Times New Roman"/>
          <w:sz w:val="24"/>
          <w:szCs w:val="24"/>
        </w:rPr>
        <w:t>投向、项目进展情况，一旦发现或判断有不利因素，将及时采取相应的保全措施，控制投资风险；</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2、公司审计部门负责对低风险投资理财资金使用与保管情况的审计与监督，每个季度末应对所有</w:t>
      </w:r>
      <w:r>
        <w:rPr>
          <w:rFonts w:hint="default" w:ascii="Times New Roman" w:hAnsi="Times New Roman" w:eastAsia="宋体" w:cs="Times New Roman"/>
          <w:sz w:val="24"/>
          <w:szCs w:val="24"/>
          <w:lang w:eastAsia="zh-CN"/>
        </w:rPr>
        <w:t>理财产品</w:t>
      </w:r>
      <w:r>
        <w:rPr>
          <w:rFonts w:hint="default" w:ascii="Times New Roman" w:hAnsi="Times New Roman" w:eastAsia="宋体" w:cs="Times New Roman"/>
          <w:sz w:val="24"/>
          <w:szCs w:val="24"/>
        </w:rPr>
        <w:t>投资项目进行全面检查，并根据谨慎性原则，合理的预计各项投资可能发生的收益和损失，并向审计委员会报告；</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3、独立董事、监事会有权对募集资金使用和</w:t>
      </w:r>
      <w:r>
        <w:rPr>
          <w:rFonts w:hint="default" w:ascii="Times New Roman" w:hAnsi="Times New Roman" w:eastAsia="宋体" w:cs="Times New Roman"/>
          <w:sz w:val="24"/>
          <w:szCs w:val="24"/>
          <w:lang w:eastAsia="zh-CN"/>
        </w:rPr>
        <w:t>现金管理</w:t>
      </w:r>
      <w:r>
        <w:rPr>
          <w:rFonts w:hint="default" w:ascii="Times New Roman" w:hAnsi="Times New Roman" w:eastAsia="宋体" w:cs="Times New Roman"/>
          <w:sz w:val="24"/>
          <w:szCs w:val="24"/>
        </w:rPr>
        <w:t>情况进行监督检查，必要时可以聘请专业机构进行审计</w:t>
      </w:r>
      <w:r>
        <w:rPr>
          <w:rFonts w:hint="default" w:ascii="Times New Roman" w:hAnsi="Times New Roman" w:eastAsia="宋体" w:cs="Times New Roman"/>
          <w:sz w:val="24"/>
          <w:szCs w:val="24"/>
          <w:lang w:eastAsia="zh-CN"/>
        </w:rPr>
        <w:t>；</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eastAsia" w:asciiTheme="minorEastAsia" w:hAnsiTheme="minorEastAsia" w:eastAsiaTheme="minorEastAsia" w:cstheme="minorEastAsia"/>
          <w:sz w:val="24"/>
          <w:szCs w:val="24"/>
        </w:rPr>
      </w:pPr>
      <w:r>
        <w:rPr>
          <w:rFonts w:hint="default" w:ascii="Times New Roman" w:hAnsi="Times New Roman" w:eastAsia="宋体" w:cs="Times New Roman"/>
          <w:sz w:val="24"/>
          <w:szCs w:val="24"/>
          <w:lang w:val="en-US" w:eastAsia="zh-CN"/>
        </w:rPr>
        <w:t>4、公司将根据上海证券交易所的有关规定，及时履行信息披露义务。</w:t>
      </w:r>
    </w:p>
    <w:p>
      <w:pPr>
        <w:keepNext w:val="0"/>
        <w:keepLines w:val="0"/>
        <w:pageBreakBefore w:val="0"/>
        <w:numPr>
          <w:ilvl w:val="0"/>
          <w:numId w:val="2"/>
        </w:numPr>
        <w:kinsoku/>
        <w:wordWrap/>
        <w:overflowPunct/>
        <w:topLinePunct w:val="0"/>
        <w:bidi w:val="0"/>
        <w:snapToGrid w:val="0"/>
        <w:spacing w:line="360" w:lineRule="auto"/>
        <w:ind w:left="0" w:leftChars="0" w:firstLine="482"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对公司日常经营的影响</w:t>
      </w:r>
    </w:p>
    <w:p>
      <w:pPr>
        <w:keepNext w:val="0"/>
        <w:keepLines w:val="0"/>
        <w:pageBreakBefore w:val="0"/>
        <w:kinsoku/>
        <w:wordWrap/>
        <w:overflowPunct/>
        <w:topLinePunct w:val="0"/>
        <w:bidi w:val="0"/>
        <w:snapToGrid w:val="0"/>
        <w:spacing w:line="360" w:lineRule="auto"/>
        <w:ind w:left="0" w:leftChars="0" w:firstLine="420" w:firstLineChars="175"/>
        <w:textAlignment w:val="auto"/>
        <w:rPr>
          <w:rFonts w:hint="eastAsia" w:asciiTheme="minorEastAsia" w:hAnsiTheme="minorEastAsia" w:eastAsiaTheme="minorEastAsia" w:cstheme="minorEastAsia"/>
          <w:sz w:val="24"/>
          <w:szCs w:val="24"/>
        </w:rPr>
      </w:pPr>
      <w:r>
        <w:rPr>
          <w:rFonts w:hint="default" w:ascii="Times New Roman" w:hAnsi="Times New Roman" w:eastAsia="宋体" w:cs="Times New Roman"/>
          <w:sz w:val="24"/>
          <w:szCs w:val="24"/>
        </w:rPr>
        <w:t>在符合国家法律法规，确保不影响公司正常运营、公司募集资金投资计划正常进行和募集资金安全的前提下，公司</w:t>
      </w:r>
      <w:r>
        <w:rPr>
          <w:rFonts w:hint="default" w:ascii="Times New Roman" w:hAnsi="Times New Roman" w:eastAsia="宋体" w:cs="Times New Roman"/>
          <w:sz w:val="24"/>
          <w:szCs w:val="24"/>
          <w:lang w:eastAsia="zh-CN"/>
        </w:rPr>
        <w:t>使用</w:t>
      </w:r>
      <w:r>
        <w:rPr>
          <w:rFonts w:hint="default" w:ascii="Times New Roman" w:hAnsi="Times New Roman" w:eastAsia="宋体" w:cs="Times New Roman"/>
          <w:sz w:val="24"/>
          <w:szCs w:val="24"/>
        </w:rPr>
        <w:t>部分闲置募集资金</w:t>
      </w:r>
      <w:r>
        <w:rPr>
          <w:rFonts w:hint="default" w:ascii="Times New Roman" w:hAnsi="Times New Roman" w:eastAsia="宋体" w:cs="Times New Roman"/>
          <w:sz w:val="24"/>
          <w:szCs w:val="24"/>
          <w:lang w:eastAsia="zh-CN"/>
        </w:rPr>
        <w:t>进行现金管理，购买</w:t>
      </w:r>
      <w:r>
        <w:rPr>
          <w:rFonts w:hint="default" w:ascii="Times New Roman" w:hAnsi="Times New Roman" w:eastAsia="宋体" w:cs="Times New Roman"/>
          <w:sz w:val="24"/>
          <w:szCs w:val="24"/>
        </w:rPr>
        <w:t>期限不超过一年的保本型</w:t>
      </w:r>
      <w:r>
        <w:rPr>
          <w:rFonts w:hint="default" w:ascii="Times New Roman" w:hAnsi="Times New Roman" w:eastAsia="宋体" w:cs="Times New Roman"/>
          <w:sz w:val="24"/>
          <w:szCs w:val="24"/>
          <w:lang w:eastAsia="zh-CN"/>
        </w:rPr>
        <w:t>理财</w:t>
      </w:r>
      <w:r>
        <w:rPr>
          <w:rFonts w:hint="default" w:ascii="Times New Roman" w:hAnsi="Times New Roman" w:eastAsia="宋体" w:cs="Times New Roman"/>
          <w:sz w:val="24"/>
          <w:szCs w:val="24"/>
        </w:rPr>
        <w:t>产品不会影响公司日常经营和募集资金投资项目的正常开展。通过</w:t>
      </w:r>
      <w:r>
        <w:rPr>
          <w:rFonts w:hint="default" w:ascii="Times New Roman" w:hAnsi="Times New Roman" w:eastAsia="宋体" w:cs="Times New Roman"/>
          <w:sz w:val="24"/>
          <w:szCs w:val="24"/>
          <w:lang w:eastAsia="zh-CN"/>
        </w:rPr>
        <w:t>现金管理</w:t>
      </w:r>
      <w:r>
        <w:rPr>
          <w:rFonts w:hint="default" w:ascii="Times New Roman" w:hAnsi="Times New Roman" w:eastAsia="宋体" w:cs="Times New Roman"/>
          <w:sz w:val="24"/>
          <w:szCs w:val="24"/>
        </w:rPr>
        <w:t>，可以提高公司资金使用效率，增加存储收益，符合公司和全体股东的利益。</w:t>
      </w:r>
    </w:p>
    <w:p>
      <w:pPr>
        <w:keepNext w:val="0"/>
        <w:keepLines w:val="0"/>
        <w:pageBreakBefore w:val="0"/>
        <w:numPr>
          <w:ilvl w:val="0"/>
          <w:numId w:val="2"/>
        </w:numPr>
        <w:kinsoku/>
        <w:wordWrap/>
        <w:overflowPunct/>
        <w:topLinePunct w:val="0"/>
        <w:bidi w:val="0"/>
        <w:snapToGrid w:val="0"/>
        <w:spacing w:line="360" w:lineRule="auto"/>
        <w:ind w:left="0" w:leftChars="0" w:firstLine="482"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专项意见说明</w:t>
      </w:r>
    </w:p>
    <w:p>
      <w:pPr>
        <w:keepNext w:val="0"/>
        <w:keepLines w:val="0"/>
        <w:pageBreakBefore w:val="0"/>
        <w:kinsoku/>
        <w:wordWrap/>
        <w:overflowPunct/>
        <w:topLinePunct w:val="0"/>
        <w:bidi w:val="0"/>
        <w:snapToGrid w:val="0"/>
        <w:spacing w:line="360" w:lineRule="auto"/>
        <w:ind w:left="0" w:leftChars="0" w:firstLine="482" w:firstLineChars="200"/>
        <w:textAlignment w:val="auto"/>
        <w:rPr>
          <w:rFonts w:hint="default" w:ascii="Times New Roman" w:hAnsi="Times New Roman" w:cs="Times New Roman" w:eastAsiaTheme="minorEastAsia"/>
          <w:b/>
          <w:sz w:val="24"/>
          <w:szCs w:val="24"/>
        </w:rPr>
      </w:pPr>
      <w:r>
        <w:rPr>
          <w:rFonts w:hint="eastAsia" w:asciiTheme="minorEastAsia" w:hAnsiTheme="minorEastAsia" w:eastAsiaTheme="minorEastAsia" w:cstheme="minorEastAsia"/>
          <w:b/>
          <w:sz w:val="24"/>
          <w:szCs w:val="24"/>
        </w:rPr>
        <w:t>（</w:t>
      </w:r>
      <w:r>
        <w:rPr>
          <w:rFonts w:hint="default" w:ascii="Times New Roman" w:hAnsi="Times New Roman" w:cs="Times New Roman" w:eastAsiaTheme="minorEastAsia"/>
          <w:b/>
          <w:sz w:val="24"/>
          <w:szCs w:val="24"/>
        </w:rPr>
        <w:t>一）监事会意见</w:t>
      </w:r>
    </w:p>
    <w:p>
      <w:pPr>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eastAsia"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rPr>
        <w:t>公司在有效控制风险的前提下，为提高暂时闲置的募集资金的使用效率以增加存储收益，</w:t>
      </w:r>
      <w:r>
        <w:rPr>
          <w:rFonts w:hint="default" w:ascii="Times New Roman" w:hAnsi="Times New Roman" w:cs="Times New Roman" w:eastAsiaTheme="minorEastAsia"/>
          <w:sz w:val="24"/>
          <w:szCs w:val="24"/>
          <w:highlight w:val="none"/>
          <w:lang w:eastAsia="zh-CN"/>
        </w:rPr>
        <w:t>使用</w:t>
      </w:r>
      <w:r>
        <w:rPr>
          <w:rFonts w:hint="default" w:ascii="Times New Roman" w:hAnsi="Times New Roman" w:cs="Times New Roman" w:eastAsiaTheme="minorEastAsia"/>
          <w:sz w:val="24"/>
          <w:szCs w:val="24"/>
          <w:highlight w:val="none"/>
        </w:rPr>
        <w:t>闲置募集资金</w:t>
      </w:r>
      <w:r>
        <w:rPr>
          <w:rFonts w:hint="default" w:ascii="Times New Roman" w:hAnsi="Times New Roman" w:cs="Times New Roman" w:eastAsiaTheme="minorEastAsia"/>
          <w:sz w:val="24"/>
          <w:szCs w:val="24"/>
          <w:highlight w:val="none"/>
          <w:lang w:eastAsia="zh-CN"/>
        </w:rPr>
        <w:t>进行现金管理</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购买安全性高、流动性好、保本型、低风险且符合相关法律法规及监管要求的现金管理类产品，符合中国证监会《上市公司监管指引第2号——上市公司募集资金管理和使用的监管要求》</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2022年修订</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highlight w:val="none"/>
        </w:rPr>
        <w:t>《上海证券交易所上市公司自律监管指引第1号——规范运作》</w:t>
      </w:r>
      <w:r>
        <w:rPr>
          <w:rFonts w:hint="default" w:ascii="Times New Roman" w:hAnsi="Times New Roman" w:cs="Times New Roman" w:eastAsiaTheme="minorEastAsia"/>
          <w:sz w:val="24"/>
          <w:szCs w:val="24"/>
          <w:lang w:eastAsia="zh-CN"/>
        </w:rPr>
        <w:t>(上证发[2022]2号)</w:t>
      </w:r>
      <w:r>
        <w:rPr>
          <w:rFonts w:hint="default" w:ascii="Times New Roman" w:hAnsi="Times New Roman" w:cs="Times New Roman" w:eastAsiaTheme="minorEastAsia"/>
          <w:sz w:val="24"/>
          <w:szCs w:val="24"/>
          <w:highlight w:val="none"/>
        </w:rPr>
        <w:t>的相关规定，不会对公司未来主营业务、财务状况、经营成果、现金流量产生重大影响，符合相关审批程序符合法律法规及《公司章程》的相关规定</w:t>
      </w:r>
      <w:r>
        <w:rPr>
          <w:rFonts w:hint="eastAsia" w:cs="Times New Roman" w:eastAsiaTheme="minorEastAsia"/>
          <w:sz w:val="24"/>
          <w:szCs w:val="24"/>
          <w:highlight w:val="none"/>
          <w:lang w:eastAsia="zh-CN"/>
        </w:rPr>
        <w:t>，</w:t>
      </w:r>
      <w:r>
        <w:rPr>
          <w:rFonts w:hint="default" w:ascii="Times New Roman" w:hAnsi="Times New Roman" w:cs="Times New Roman" w:eastAsiaTheme="minorEastAsia"/>
          <w:sz w:val="24"/>
          <w:szCs w:val="24"/>
        </w:rPr>
        <w:t>不存在损害公司及股东利益的情形。</w:t>
      </w:r>
    </w:p>
    <w:p>
      <w:pPr>
        <w:keepNext w:val="0"/>
        <w:keepLines w:val="0"/>
        <w:pageBreakBefore w:val="0"/>
        <w:kinsoku/>
        <w:wordWrap/>
        <w:overflowPunct/>
        <w:topLinePunct w:val="0"/>
        <w:bidi w:val="0"/>
        <w:snapToGrid w:val="0"/>
        <w:spacing w:line="360" w:lineRule="auto"/>
        <w:ind w:left="0" w:leftChars="0" w:firstLine="482" w:firstLineChars="200"/>
        <w:textAlignment w:val="auto"/>
        <w:rPr>
          <w:rFonts w:hint="default" w:ascii="Times New Roman" w:hAnsi="Times New Roman" w:cs="Times New Roman" w:eastAsiaTheme="minorEastAsia"/>
          <w:b/>
          <w:sz w:val="24"/>
          <w:szCs w:val="24"/>
          <w:highlight w:val="none"/>
        </w:rPr>
      </w:pPr>
      <w:r>
        <w:rPr>
          <w:rFonts w:hint="default" w:ascii="Times New Roman" w:hAnsi="Times New Roman" w:cs="Times New Roman" w:eastAsiaTheme="minorEastAsia"/>
          <w:b/>
          <w:sz w:val="24"/>
          <w:szCs w:val="24"/>
          <w:highlight w:val="none"/>
        </w:rPr>
        <w:t>（二）独立董事的独立意见</w:t>
      </w:r>
    </w:p>
    <w:p>
      <w:pPr>
        <w:keepNext w:val="0"/>
        <w:keepLines w:val="0"/>
        <w:pageBreakBefore w:val="0"/>
        <w:widowControl w:val="0"/>
        <w:kinsoku/>
        <w:wordWrap/>
        <w:overflowPunct/>
        <w:topLinePunct w:val="0"/>
        <w:autoSpaceDE w:val="0"/>
        <w:autoSpaceDN w:val="0"/>
        <w:bidi w:val="0"/>
        <w:adjustRightInd/>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公司使用总额不超过人</w:t>
      </w:r>
      <w:r>
        <w:rPr>
          <w:rFonts w:hint="default" w:ascii="Times New Roman" w:hAnsi="Times New Roman" w:cs="Times New Roman" w:eastAsiaTheme="minorEastAsia"/>
          <w:sz w:val="24"/>
          <w:szCs w:val="24"/>
          <w:highlight w:val="none"/>
        </w:rPr>
        <w:t>民币</w:t>
      </w:r>
      <w:r>
        <w:rPr>
          <w:rFonts w:hint="eastAsia" w:cs="Times New Roman" w:eastAsiaTheme="minorEastAsia"/>
          <w:sz w:val="24"/>
          <w:szCs w:val="24"/>
          <w:highlight w:val="none"/>
          <w:lang w:val="en-US" w:eastAsia="zh-CN"/>
        </w:rPr>
        <w:t>5亿</w:t>
      </w:r>
      <w:r>
        <w:rPr>
          <w:rFonts w:hint="default" w:ascii="Times New Roman" w:hAnsi="Times New Roman" w:cs="Times New Roman" w:eastAsiaTheme="minorEastAsia"/>
          <w:sz w:val="24"/>
          <w:szCs w:val="24"/>
          <w:highlight w:val="none"/>
        </w:rPr>
        <w:t>元（含</w:t>
      </w:r>
      <w:r>
        <w:rPr>
          <w:rFonts w:hint="eastAsia" w:cs="Times New Roman" w:eastAsiaTheme="minorEastAsia"/>
          <w:sz w:val="24"/>
          <w:szCs w:val="24"/>
          <w:highlight w:val="none"/>
          <w:lang w:val="en-US" w:eastAsia="zh-CN"/>
        </w:rPr>
        <w:t>5亿</w:t>
      </w:r>
      <w:r>
        <w:rPr>
          <w:rFonts w:hint="default" w:ascii="Times New Roman" w:hAnsi="Times New Roman" w:cs="Times New Roman" w:eastAsiaTheme="minorEastAsia"/>
          <w:sz w:val="24"/>
          <w:szCs w:val="24"/>
          <w:highlight w:val="none"/>
        </w:rPr>
        <w:t>元）的闲</w:t>
      </w:r>
      <w:r>
        <w:rPr>
          <w:rFonts w:hint="default" w:ascii="Times New Roman" w:hAnsi="Times New Roman" w:cs="Times New Roman" w:eastAsiaTheme="minorEastAsia"/>
          <w:sz w:val="24"/>
          <w:szCs w:val="24"/>
        </w:rPr>
        <w:t>置募集资金</w:t>
      </w:r>
      <w:r>
        <w:rPr>
          <w:rFonts w:hint="default" w:ascii="Times New Roman" w:hAnsi="Times New Roman" w:cs="Times New Roman" w:eastAsiaTheme="minorEastAsia"/>
          <w:sz w:val="24"/>
          <w:szCs w:val="24"/>
          <w:lang w:eastAsia="zh-CN"/>
        </w:rPr>
        <w:t>进行现金管理，投资</w:t>
      </w:r>
      <w:r>
        <w:rPr>
          <w:rFonts w:hint="default" w:ascii="Times New Roman" w:hAnsi="Times New Roman" w:cs="Times New Roman" w:eastAsiaTheme="minorEastAsia"/>
          <w:sz w:val="24"/>
          <w:szCs w:val="24"/>
        </w:rPr>
        <w:t>安全性高、流动性好、风险低、短期（不超过一年）的保本型</w:t>
      </w:r>
      <w:r>
        <w:rPr>
          <w:rFonts w:hint="default" w:ascii="Times New Roman" w:hAnsi="Times New Roman" w:cs="Times New Roman" w:eastAsiaTheme="minorEastAsia"/>
          <w:sz w:val="24"/>
          <w:szCs w:val="24"/>
          <w:lang w:eastAsia="zh-CN"/>
        </w:rPr>
        <w:t>理财</w:t>
      </w:r>
      <w:r>
        <w:rPr>
          <w:rFonts w:hint="default" w:ascii="Times New Roman" w:hAnsi="Times New Roman" w:cs="Times New Roman" w:eastAsiaTheme="minorEastAsia"/>
          <w:sz w:val="24"/>
          <w:szCs w:val="24"/>
        </w:rPr>
        <w:t>产品</w:t>
      </w:r>
      <w:r>
        <w:rPr>
          <w:rFonts w:hint="default" w:ascii="Times New Roman" w:hAnsi="Times New Roman" w:cs="Times New Roman" w:eastAsiaTheme="minorEastAsia"/>
          <w:sz w:val="24"/>
          <w:szCs w:val="24"/>
          <w:lang w:eastAsia="zh-CN"/>
        </w:rPr>
        <w:t>，有利于提高闲置募集资金的管理收益，符合《上市公司监管指引第2号——上市公司募集资金管理和使用的监管要求》</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2022年修订</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eastAsia="zh-CN"/>
        </w:rPr>
        <w:t>及上海证券交易所发布的《上海证券交易所上市公司自律监管指引第1号——规范运作》(上证发[2022]2号)等规定，不会对</w:t>
      </w:r>
      <w:r>
        <w:rPr>
          <w:rFonts w:hint="default" w:ascii="Times New Roman" w:hAnsi="Times New Roman" w:cs="Times New Roman" w:eastAsiaTheme="minorEastAsia"/>
          <w:sz w:val="24"/>
          <w:szCs w:val="24"/>
        </w:rPr>
        <w:t>公司募集资金投资项目实施进度产生不利影响，不存在变相改变募集资金用途的行为，</w:t>
      </w:r>
      <w:r>
        <w:rPr>
          <w:rFonts w:hint="default" w:ascii="Times New Roman" w:hAnsi="Times New Roman" w:cs="Times New Roman" w:eastAsiaTheme="minorEastAsia"/>
          <w:sz w:val="24"/>
          <w:szCs w:val="24"/>
          <w:lang w:eastAsia="zh-CN"/>
        </w:rPr>
        <w:t>不会影响公司正常经营活动，</w:t>
      </w:r>
      <w:r>
        <w:rPr>
          <w:rFonts w:hint="default" w:ascii="Times New Roman" w:hAnsi="Times New Roman" w:cs="Times New Roman" w:eastAsiaTheme="minorEastAsia"/>
          <w:sz w:val="24"/>
          <w:szCs w:val="24"/>
        </w:rPr>
        <w:t>不存在损害公司及股东利益的情形。</w:t>
      </w:r>
    </w:p>
    <w:p>
      <w:pPr>
        <w:keepNext w:val="0"/>
        <w:keepLines w:val="0"/>
        <w:pageBreakBefore w:val="0"/>
        <w:widowControl w:val="0"/>
        <w:kinsoku/>
        <w:wordWrap/>
        <w:overflowPunct/>
        <w:topLinePunct w:val="0"/>
        <w:autoSpaceDE w:val="0"/>
        <w:autoSpaceDN w:val="0"/>
        <w:bidi w:val="0"/>
        <w:adjustRightInd/>
        <w:snapToGrid w:val="0"/>
        <w:spacing w:line="360" w:lineRule="auto"/>
        <w:ind w:left="0" w:leftChars="0" w:firstLine="480" w:firstLineChars="200"/>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同意公司使用总额不超过人民</w:t>
      </w:r>
      <w:r>
        <w:rPr>
          <w:rFonts w:hint="default" w:ascii="Times New Roman" w:hAnsi="Times New Roman" w:cs="Times New Roman" w:eastAsiaTheme="minorEastAsia"/>
          <w:sz w:val="24"/>
          <w:szCs w:val="24"/>
          <w:highlight w:val="none"/>
        </w:rPr>
        <w:t>币</w:t>
      </w:r>
      <w:r>
        <w:rPr>
          <w:rFonts w:hint="default" w:ascii="Times New Roman" w:hAnsi="Times New Roman" w:cs="Times New Roman"/>
          <w:sz w:val="24"/>
          <w:lang w:val="en-US" w:eastAsia="zh-CN"/>
        </w:rPr>
        <w:t>12个月</w:t>
      </w:r>
      <w:r>
        <w:rPr>
          <w:rFonts w:hint="default" w:ascii="Times New Roman" w:hAnsi="Times New Roman" w:cs="Times New Roman"/>
          <w:sz w:val="24"/>
        </w:rPr>
        <w:t>内（</w:t>
      </w:r>
      <w:r>
        <w:rPr>
          <w:rFonts w:hint="default" w:ascii="Times New Roman" w:hAnsi="Times New Roman" w:cs="Times New Roman"/>
          <w:sz w:val="24"/>
          <w:lang w:val="en-US" w:eastAsia="zh-CN"/>
        </w:rPr>
        <w:t>12个月</w:t>
      </w:r>
      <w:r>
        <w:rPr>
          <w:rFonts w:hint="default" w:ascii="Times New Roman" w:hAnsi="Times New Roman" w:cs="Times New Roman"/>
          <w:sz w:val="24"/>
        </w:rPr>
        <w:t>）</w:t>
      </w:r>
      <w:r>
        <w:rPr>
          <w:rFonts w:hint="default" w:ascii="Times New Roman" w:hAnsi="Times New Roman" w:cs="Times New Roman" w:eastAsiaTheme="minorEastAsia"/>
          <w:sz w:val="24"/>
          <w:szCs w:val="24"/>
        </w:rPr>
        <w:t>的闲置募集资金</w:t>
      </w:r>
      <w:r>
        <w:rPr>
          <w:rFonts w:hint="default" w:ascii="Times New Roman" w:hAnsi="Times New Roman" w:cs="Times New Roman" w:eastAsiaTheme="minorEastAsia"/>
          <w:sz w:val="24"/>
          <w:szCs w:val="24"/>
          <w:lang w:eastAsia="zh-CN"/>
        </w:rPr>
        <w:t>进行现金管理</w:t>
      </w:r>
      <w:r>
        <w:rPr>
          <w:rFonts w:hint="default" w:ascii="Times New Roman" w:hAnsi="Times New Roman" w:cs="Times New Roman" w:eastAsiaTheme="minorEastAsia"/>
          <w:sz w:val="24"/>
          <w:szCs w:val="24"/>
        </w:rPr>
        <w:t>，在</w:t>
      </w:r>
      <w:r>
        <w:rPr>
          <w:rFonts w:hint="eastAsia" w:ascii="Times New Roman" w:hAnsi="Times New Roman" w:cs="Times New Roman" w:eastAsiaTheme="minorEastAsia"/>
          <w:sz w:val="24"/>
          <w:szCs w:val="24"/>
          <w:lang w:eastAsia="zh-CN"/>
        </w:rPr>
        <w:t>12个月内（12个月）</w:t>
      </w:r>
      <w:r>
        <w:rPr>
          <w:rFonts w:hint="default" w:ascii="Times New Roman" w:hAnsi="Times New Roman" w:cs="Times New Roman" w:eastAsiaTheme="minorEastAsia"/>
          <w:sz w:val="24"/>
          <w:szCs w:val="24"/>
        </w:rPr>
        <w:t>该资金额度可滚动使用。</w:t>
      </w:r>
    </w:p>
    <w:p>
      <w:pPr>
        <w:keepNext w:val="0"/>
        <w:keepLines w:val="0"/>
        <w:pageBreakBefore w:val="0"/>
        <w:kinsoku/>
        <w:wordWrap/>
        <w:overflowPunct/>
        <w:topLinePunct w:val="0"/>
        <w:bidi w:val="0"/>
        <w:snapToGrid w:val="0"/>
        <w:spacing w:line="360" w:lineRule="auto"/>
        <w:ind w:left="0" w:leftChars="0" w:firstLine="482" w:firstLineChars="200"/>
        <w:textAlignment w:val="auto"/>
        <w:rPr>
          <w:rFonts w:hint="default" w:ascii="Times New Roman" w:hAnsi="Times New Roman" w:cs="Times New Roman" w:eastAsiaTheme="minorEastAsia"/>
          <w:b/>
          <w:sz w:val="24"/>
          <w:szCs w:val="24"/>
          <w:highlight w:val="none"/>
        </w:rPr>
      </w:pPr>
      <w:r>
        <w:rPr>
          <w:rFonts w:hint="default" w:ascii="Times New Roman" w:hAnsi="Times New Roman" w:cs="Times New Roman" w:eastAsiaTheme="minorEastAsia"/>
          <w:b/>
          <w:sz w:val="24"/>
          <w:szCs w:val="24"/>
          <w:highlight w:val="none"/>
        </w:rPr>
        <w:t>（三）保荐机构核查意见</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经核查，中信证券</w:t>
      </w:r>
      <w:bookmarkStart w:id="0" w:name="_GoBack"/>
      <w:bookmarkEnd w:id="0"/>
      <w:r>
        <w:rPr>
          <w:rFonts w:hint="default" w:ascii="Times New Roman" w:hAnsi="Times New Roman" w:cs="Times New Roman" w:eastAsiaTheme="minorEastAsia"/>
          <w:sz w:val="24"/>
          <w:szCs w:val="24"/>
          <w:highlight w:val="none"/>
        </w:rPr>
        <w:t>认为：</w:t>
      </w:r>
    </w:p>
    <w:p>
      <w:pPr>
        <w:pStyle w:val="10"/>
        <w:keepNext w:val="0"/>
        <w:keepLines w:val="0"/>
        <w:pageBreakBefore w:val="0"/>
        <w:widowControl/>
        <w:kinsoku/>
        <w:wordWrap/>
        <w:overflowPunct/>
        <w:topLinePunct w:val="0"/>
        <w:autoSpaceDE/>
        <w:autoSpaceDN/>
        <w:bidi w:val="0"/>
        <w:adjustRightInd/>
        <w:snapToGrid w:val="0"/>
        <w:spacing w:before="0" w:beforeLines="0"/>
        <w:ind w:firstLine="480"/>
        <w:textAlignment w:val="auto"/>
      </w:pPr>
      <w:r>
        <w:t>l、</w:t>
      </w:r>
      <w:r>
        <w:rPr>
          <w:rFonts w:hint="eastAsia"/>
        </w:rPr>
        <w:t>公司</w:t>
      </w:r>
      <w:r>
        <w:t>本次以部分闲置募集资金</w:t>
      </w:r>
      <w:r>
        <w:rPr>
          <w:rFonts w:hint="eastAsia"/>
        </w:rPr>
        <w:t>进行现金管理</w:t>
      </w:r>
      <w:r>
        <w:t>的事宜已经董事会、监事会审议通过，独立董事己发表明确同意的独立意见，公司就此事宜己经履行了必要的审批程序，符合相关法规要求。</w:t>
      </w:r>
    </w:p>
    <w:p>
      <w:pPr>
        <w:pStyle w:val="10"/>
        <w:keepNext w:val="0"/>
        <w:keepLines w:val="0"/>
        <w:pageBreakBefore w:val="0"/>
        <w:widowControl/>
        <w:kinsoku/>
        <w:wordWrap/>
        <w:overflowPunct/>
        <w:topLinePunct w:val="0"/>
        <w:autoSpaceDE/>
        <w:autoSpaceDN/>
        <w:bidi w:val="0"/>
        <w:adjustRightInd/>
        <w:snapToGrid w:val="0"/>
        <w:spacing w:before="0" w:beforeLines="0"/>
        <w:ind w:firstLine="480"/>
        <w:textAlignment w:val="auto"/>
      </w:pPr>
      <w:r>
        <w:t>2、公司本次使用部分闲置募集资金</w:t>
      </w:r>
      <w:r>
        <w:rPr>
          <w:rFonts w:hint="eastAsia"/>
        </w:rPr>
        <w:t>进行现金管理</w:t>
      </w:r>
      <w:r>
        <w:t>事项，未违反募集资金投资项目的相关承诺，不影响募集资金投资项目的正常进行，不存在变相改变募集资金投资项目和损害股东利益的情形。</w:t>
      </w:r>
    </w:p>
    <w:p>
      <w:pPr>
        <w:pStyle w:val="10"/>
        <w:keepNext w:val="0"/>
        <w:keepLines w:val="0"/>
        <w:pageBreakBefore w:val="0"/>
        <w:widowControl/>
        <w:kinsoku/>
        <w:wordWrap/>
        <w:overflowPunct/>
        <w:topLinePunct w:val="0"/>
        <w:autoSpaceDE/>
        <w:autoSpaceDN/>
        <w:bidi w:val="0"/>
        <w:adjustRightInd/>
        <w:snapToGrid w:val="0"/>
        <w:spacing w:before="0" w:beforeLines="0"/>
        <w:ind w:firstLine="480"/>
        <w:textAlignment w:val="auto"/>
      </w:pPr>
      <w:r>
        <w:t>3、在保障公司正常经营运作和资金需求，且不影响募集资金投资计划正常进行的前提下，公司使用部分闲置募集资金</w:t>
      </w:r>
      <w:r>
        <w:rPr>
          <w:rFonts w:hint="eastAsia"/>
        </w:rPr>
        <w:t>进行现金管理</w:t>
      </w:r>
      <w:r>
        <w:t>，可以提高资金使用效率，获得一定的收益，符合公司和全体股东的利益。</w:t>
      </w:r>
    </w:p>
    <w:p>
      <w:pPr>
        <w:pStyle w:val="10"/>
        <w:keepNext w:val="0"/>
        <w:keepLines w:val="0"/>
        <w:pageBreakBefore w:val="0"/>
        <w:widowControl/>
        <w:kinsoku/>
        <w:wordWrap/>
        <w:overflowPunct/>
        <w:topLinePunct w:val="0"/>
        <w:autoSpaceDE/>
        <w:autoSpaceDN/>
        <w:bidi w:val="0"/>
        <w:adjustRightInd/>
        <w:snapToGrid w:val="0"/>
        <w:spacing w:before="0" w:beforeLines="0"/>
        <w:ind w:firstLine="480"/>
        <w:textAlignment w:val="auto"/>
        <w:rPr>
          <w:rFonts w:hint="default" w:ascii="Times New Roman" w:hAnsi="Times New Roman" w:cs="Times New Roman" w:eastAsiaTheme="minorEastAsia"/>
          <w:sz w:val="24"/>
          <w:szCs w:val="24"/>
        </w:rPr>
      </w:pPr>
      <w:r>
        <w:t>保荐机构同意公司使用不超过5</w:t>
      </w:r>
      <w:r>
        <w:rPr>
          <w:rFonts w:hint="eastAsia"/>
        </w:rPr>
        <w:t>亿</w:t>
      </w:r>
      <w:r>
        <w:t>元</w:t>
      </w:r>
      <w:r>
        <w:rPr>
          <w:rFonts w:hint="eastAsia"/>
        </w:rPr>
        <w:t>（含</w:t>
      </w:r>
      <w:r>
        <w:t>5</w:t>
      </w:r>
      <w:r>
        <w:rPr>
          <w:rFonts w:hint="eastAsia"/>
        </w:rPr>
        <w:t>亿元）</w:t>
      </w:r>
      <w:r>
        <w:t>的闲置</w:t>
      </w:r>
      <w:r>
        <w:rPr>
          <w:rFonts w:hint="eastAsia"/>
        </w:rPr>
        <w:t>募集</w:t>
      </w:r>
      <w:r>
        <w:t>资金</w:t>
      </w:r>
      <w:r>
        <w:rPr>
          <w:rFonts w:hint="eastAsia"/>
        </w:rPr>
        <w:t>进行现金管理</w:t>
      </w:r>
      <w:r>
        <w:t>。</w:t>
      </w:r>
    </w:p>
    <w:p>
      <w:pPr>
        <w:keepNext w:val="0"/>
        <w:keepLines w:val="0"/>
        <w:pageBreakBefore w:val="0"/>
        <w:numPr>
          <w:ilvl w:val="0"/>
          <w:numId w:val="2"/>
        </w:numPr>
        <w:kinsoku/>
        <w:wordWrap/>
        <w:overflowPunct/>
        <w:topLinePunct w:val="0"/>
        <w:bidi w:val="0"/>
        <w:snapToGrid w:val="0"/>
        <w:spacing w:line="360" w:lineRule="auto"/>
        <w:ind w:left="0" w:leftChars="0" w:firstLine="482" w:firstLineChars="0"/>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信息披露</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公司将按照《上海证券交易所股票上市规则》、《上市公司监管指引第2号</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上市公司募集资金管理和使用的监管要求》等相关法律法规的规定要求及时披露公司使用部分闲置募集资金</w:t>
      </w:r>
      <w:r>
        <w:rPr>
          <w:rFonts w:hint="default" w:ascii="Times New Roman" w:hAnsi="Times New Roman" w:cs="Times New Roman" w:eastAsiaTheme="minorEastAsia"/>
          <w:sz w:val="24"/>
          <w:szCs w:val="24"/>
          <w:lang w:eastAsia="zh-CN"/>
        </w:rPr>
        <w:t>进行现金管理</w:t>
      </w:r>
      <w:r>
        <w:rPr>
          <w:rFonts w:hint="default" w:ascii="Times New Roman" w:hAnsi="Times New Roman" w:cs="Times New Roman" w:eastAsiaTheme="minorEastAsia"/>
          <w:sz w:val="24"/>
          <w:szCs w:val="24"/>
        </w:rPr>
        <w:t>的具体情况。</w:t>
      </w: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上述事项已经公司第</w:t>
      </w:r>
      <w:r>
        <w:rPr>
          <w:rFonts w:hint="default" w:ascii="Times New Roman" w:hAnsi="Times New Roman" w:cs="Times New Roman" w:eastAsiaTheme="minorEastAsia"/>
          <w:sz w:val="24"/>
          <w:szCs w:val="24"/>
          <w:lang w:eastAsia="zh-CN"/>
        </w:rPr>
        <w:t>七</w:t>
      </w:r>
      <w:r>
        <w:rPr>
          <w:rFonts w:hint="default" w:ascii="Times New Roman" w:hAnsi="Times New Roman" w:cs="Times New Roman" w:eastAsiaTheme="minorEastAsia"/>
          <w:sz w:val="24"/>
          <w:szCs w:val="24"/>
        </w:rPr>
        <w:t>届董事会第</w:t>
      </w:r>
      <w:r>
        <w:rPr>
          <w:rFonts w:hint="default" w:ascii="Times New Roman" w:hAnsi="Times New Roman" w:cs="Times New Roman" w:eastAsiaTheme="minorEastAsia"/>
          <w:sz w:val="24"/>
          <w:szCs w:val="24"/>
          <w:lang w:val="en-US" w:eastAsia="zh-CN"/>
        </w:rPr>
        <w:t>二十三</w:t>
      </w:r>
      <w:r>
        <w:rPr>
          <w:rFonts w:hint="default" w:ascii="Times New Roman" w:hAnsi="Times New Roman" w:cs="Times New Roman" w:eastAsiaTheme="minorEastAsia"/>
          <w:sz w:val="24"/>
          <w:szCs w:val="24"/>
        </w:rPr>
        <w:t>次会议、第</w:t>
      </w:r>
      <w:r>
        <w:rPr>
          <w:rFonts w:hint="default" w:ascii="Times New Roman" w:hAnsi="Times New Roman" w:cs="Times New Roman" w:eastAsiaTheme="minorEastAsia"/>
          <w:sz w:val="24"/>
          <w:szCs w:val="24"/>
          <w:lang w:eastAsia="zh-CN"/>
        </w:rPr>
        <w:t>七</w:t>
      </w:r>
      <w:r>
        <w:rPr>
          <w:rFonts w:hint="default" w:ascii="Times New Roman" w:hAnsi="Times New Roman" w:cs="Times New Roman" w:eastAsiaTheme="minorEastAsia"/>
          <w:sz w:val="24"/>
          <w:szCs w:val="24"/>
        </w:rPr>
        <w:t>届监事会第</w:t>
      </w:r>
      <w:r>
        <w:rPr>
          <w:rFonts w:hint="default" w:ascii="Times New Roman" w:hAnsi="Times New Roman" w:cs="Times New Roman" w:eastAsiaTheme="minorEastAsia"/>
          <w:sz w:val="24"/>
          <w:szCs w:val="24"/>
          <w:lang w:val="en-US" w:eastAsia="zh-CN"/>
        </w:rPr>
        <w:t>二十</w:t>
      </w:r>
      <w:r>
        <w:rPr>
          <w:rFonts w:hint="default" w:ascii="Times New Roman" w:hAnsi="Times New Roman" w:cs="Times New Roman" w:eastAsiaTheme="minorEastAsia"/>
          <w:sz w:val="24"/>
          <w:szCs w:val="24"/>
        </w:rPr>
        <w:t>次会议审议通过</w:t>
      </w:r>
      <w:r>
        <w:rPr>
          <w:rFonts w:hint="default" w:ascii="Times New Roman" w:hAnsi="Times New Roman" w:cs="Times New Roman" w:eastAsiaTheme="minorEastAsia"/>
          <w:sz w:val="24"/>
          <w:szCs w:val="24"/>
          <w:lang w:val="en-US" w:eastAsia="zh-CN"/>
        </w:rPr>
        <w:t>。</w:t>
      </w:r>
      <w:r>
        <w:rPr>
          <w:rFonts w:hint="default" w:ascii="Times New Roman" w:hAnsi="Times New Roman" w:eastAsia="宋体" w:cs="Times New Roman"/>
          <w:highlight w:val="none"/>
          <w:lang w:val="en-US" w:eastAsia="zh-CN"/>
        </w:rPr>
        <w:t>公司同时提请公司董事会授权公司董事长在上述额度范围和时效内行使该项投资权并签署相关合同文件，并由公司管理层组织相关部门实施</w:t>
      </w:r>
      <w:r>
        <w:rPr>
          <w:rFonts w:hint="default" w:ascii="Times New Roman" w:hAnsi="Times New Roman" w:cs="Times New Roman"/>
          <w:highlight w:val="none"/>
          <w:lang w:val="en-US" w:eastAsia="zh-CN"/>
        </w:rPr>
        <w:t>。</w:t>
      </w:r>
    </w:p>
    <w:p>
      <w:pPr>
        <w:keepNext w:val="0"/>
        <w:keepLines w:val="0"/>
        <w:pageBreakBefore w:val="0"/>
        <w:kinsoku/>
        <w:wordWrap/>
        <w:overflowPunct/>
        <w:topLinePunct w:val="0"/>
        <w:bidi w:val="0"/>
        <w:snapToGrid w:val="0"/>
        <w:spacing w:line="360" w:lineRule="auto"/>
        <w:ind w:left="0" w:firstLine="588" w:firstLineChars="245"/>
        <w:textAlignment w:val="auto"/>
        <w:rPr>
          <w:rFonts w:hint="default" w:ascii="Times New Roman" w:hAnsi="Times New Roman" w:cs="Times New Roman" w:eastAsiaTheme="minorEastAsia"/>
          <w:sz w:val="24"/>
          <w:szCs w:val="24"/>
        </w:rPr>
      </w:pPr>
    </w:p>
    <w:p>
      <w:pPr>
        <w:keepNext w:val="0"/>
        <w:keepLines w:val="0"/>
        <w:pageBreakBefore w:val="0"/>
        <w:kinsoku/>
        <w:wordWrap/>
        <w:overflowPunct/>
        <w:topLinePunct w:val="0"/>
        <w:bidi w:val="0"/>
        <w:snapToGrid w:val="0"/>
        <w:spacing w:line="360" w:lineRule="auto"/>
        <w:ind w:left="0" w:leftChars="0" w:firstLine="480" w:firstLineChars="20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特此公告。</w:t>
      </w:r>
    </w:p>
    <w:p>
      <w:pPr>
        <w:snapToGrid w:val="0"/>
        <w:spacing w:line="360" w:lineRule="auto"/>
        <w:ind w:firstLine="588" w:firstLineChars="245"/>
        <w:jc w:val="righ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格尔软件股份有限公司</w:t>
      </w:r>
      <w:r>
        <w:rPr>
          <w:rFonts w:hint="default" w:ascii="Times New Roman" w:hAnsi="Times New Roman" w:cs="Times New Roman" w:eastAsiaTheme="minorEastAsia"/>
          <w:sz w:val="24"/>
          <w:szCs w:val="24"/>
          <w:lang w:eastAsia="zh-CN"/>
        </w:rPr>
        <w:t>董事会</w:t>
      </w:r>
    </w:p>
    <w:p>
      <w:pPr>
        <w:snapToGrid w:val="0"/>
        <w:spacing w:line="360" w:lineRule="auto"/>
        <w:ind w:firstLine="588" w:firstLineChars="245"/>
        <w:jc w:val="right"/>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20</w:t>
      </w:r>
      <w:r>
        <w:rPr>
          <w:rFonts w:hint="default" w:ascii="Times New Roman" w:hAnsi="Times New Roman" w:cs="Times New Roman" w:eastAsiaTheme="minorEastAsia"/>
          <w:sz w:val="24"/>
          <w:szCs w:val="24"/>
          <w:lang w:val="en-US" w:eastAsia="zh-CN"/>
        </w:rPr>
        <w:t>22</w:t>
      </w:r>
      <w:r>
        <w:rPr>
          <w:rFonts w:hint="default" w:ascii="Times New Roman" w:hAnsi="Times New Roman" w:cs="Times New Roman" w:eastAsiaTheme="minorEastAsia"/>
          <w:sz w:val="24"/>
          <w:szCs w:val="24"/>
        </w:rPr>
        <w:t>年</w:t>
      </w:r>
      <w:r>
        <w:rPr>
          <w:rFonts w:hint="default" w:ascii="Times New Roman" w:hAnsi="Times New Roman" w:cs="Times New Roman" w:eastAsiaTheme="minorEastAsia"/>
          <w:sz w:val="24"/>
          <w:szCs w:val="24"/>
          <w:lang w:val="en-US" w:eastAsia="zh-CN"/>
        </w:rPr>
        <w:t>4</w:t>
      </w:r>
      <w:r>
        <w:rPr>
          <w:rFonts w:hint="default" w:ascii="Times New Roman" w:hAnsi="Times New Roman" w:cs="Times New Roman" w:eastAsiaTheme="minorEastAsia"/>
          <w:sz w:val="24"/>
          <w:szCs w:val="24"/>
        </w:rPr>
        <w:t>月</w:t>
      </w:r>
      <w:r>
        <w:rPr>
          <w:rFonts w:hint="default" w:ascii="Times New Roman" w:hAnsi="Times New Roman" w:cs="Times New Roman" w:eastAsiaTheme="minorEastAsia"/>
          <w:sz w:val="24"/>
          <w:szCs w:val="24"/>
          <w:highlight w:val="none"/>
          <w:lang w:val="en-US" w:eastAsia="zh-CN"/>
        </w:rPr>
        <w:t>26</w:t>
      </w:r>
      <w:r>
        <w:rPr>
          <w:rFonts w:hint="default" w:ascii="Times New Roman" w:hAnsi="Times New Roman" w:cs="Times New Roman" w:eastAsiaTheme="minorEastAsia"/>
          <w:sz w:val="24"/>
          <w:szCs w:val="24"/>
        </w:rPr>
        <w:t>日</w:t>
      </w:r>
    </w:p>
    <w:p>
      <w:pPr>
        <w:snapToGrid w:val="0"/>
        <w:spacing w:line="360" w:lineRule="auto"/>
        <w:ind w:firstLine="588" w:firstLineChars="245"/>
        <w:rPr>
          <w:rFonts w:hint="default" w:ascii="Times New Roman" w:hAnsi="Times New Roman" w:cs="Times New Roman" w:eastAsiaTheme="minorEastAsia"/>
          <w:sz w:val="24"/>
          <w:szCs w:val="24"/>
        </w:rPr>
      </w:pPr>
    </w:p>
    <w:p>
      <w:pPr>
        <w:snapToGrid w:val="0"/>
        <w:spacing w:line="360" w:lineRule="auto"/>
        <w:ind w:left="0" w:leftChars="0" w:firstLine="482" w:firstLineChars="200"/>
        <w:rPr>
          <w:rFonts w:hint="default" w:ascii="Times New Roman" w:hAnsi="Times New Roman" w:cs="Times New Roman"/>
          <w:b/>
          <w:bCs w:val="0"/>
          <w:snapToGrid w:val="0"/>
          <w:color w:val="000000"/>
        </w:rPr>
      </w:pPr>
      <w:r>
        <w:rPr>
          <w:rFonts w:hint="default" w:ascii="Times New Roman" w:hAnsi="Times New Roman" w:cs="Times New Roman"/>
          <w:b/>
        </w:rPr>
        <w:t>备查文件</w:t>
      </w:r>
    </w:p>
    <w:p>
      <w:pPr>
        <w:snapToGrid w:val="0"/>
        <w:spacing w:line="360" w:lineRule="auto"/>
        <w:ind w:left="0" w:leftChars="0"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届董事会第</w:t>
      </w:r>
      <w:r>
        <w:rPr>
          <w:rFonts w:hint="default" w:ascii="Times New Roman" w:hAnsi="Times New Roman" w:cs="Times New Roman" w:eastAsiaTheme="minorEastAsia"/>
          <w:sz w:val="24"/>
          <w:szCs w:val="24"/>
          <w:lang w:val="en-US" w:eastAsia="zh-CN"/>
        </w:rPr>
        <w:t>二十三</w:t>
      </w:r>
      <w:r>
        <w:rPr>
          <w:rFonts w:hint="default" w:ascii="Times New Roman" w:hAnsi="Times New Roman" w:cs="Times New Roman" w:eastAsiaTheme="minorEastAsia"/>
          <w:sz w:val="24"/>
          <w:szCs w:val="24"/>
        </w:rPr>
        <w:t>次会议决议</w:t>
      </w:r>
      <w:r>
        <w:rPr>
          <w:rFonts w:hint="default" w:ascii="Times New Roman" w:hAnsi="Times New Roman" w:cs="Times New Roman" w:eastAsiaTheme="minorEastAsia"/>
          <w:sz w:val="24"/>
          <w:szCs w:val="24"/>
          <w:lang w:eastAsia="zh-CN"/>
        </w:rPr>
        <w:t>；</w:t>
      </w:r>
    </w:p>
    <w:p>
      <w:pPr>
        <w:snapToGrid w:val="0"/>
        <w:spacing w:line="360" w:lineRule="auto"/>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2、公司第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届监事会第</w:t>
      </w:r>
      <w:r>
        <w:rPr>
          <w:rFonts w:hint="default" w:ascii="Times New Roman" w:hAnsi="Times New Roman" w:cs="Times New Roman" w:eastAsiaTheme="minorEastAsia"/>
          <w:sz w:val="24"/>
          <w:szCs w:val="24"/>
          <w:lang w:val="en-US" w:eastAsia="zh-CN"/>
        </w:rPr>
        <w:t>二十</w:t>
      </w:r>
      <w:r>
        <w:rPr>
          <w:rFonts w:hint="default" w:ascii="Times New Roman" w:hAnsi="Times New Roman" w:cs="Times New Roman" w:eastAsiaTheme="minorEastAsia"/>
          <w:sz w:val="24"/>
          <w:szCs w:val="24"/>
        </w:rPr>
        <w:t>次会议决议</w:t>
      </w:r>
      <w:r>
        <w:rPr>
          <w:rFonts w:hint="default" w:ascii="Times New Roman" w:hAnsi="Times New Roman" w:cs="Times New Roman" w:eastAsiaTheme="minorEastAsia"/>
          <w:sz w:val="24"/>
          <w:szCs w:val="24"/>
          <w:lang w:eastAsia="zh-CN"/>
        </w:rPr>
        <w:t>；</w:t>
      </w:r>
    </w:p>
    <w:p>
      <w:pPr>
        <w:snapToGrid w:val="0"/>
        <w:spacing w:line="360" w:lineRule="auto"/>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3、公司独立董事关于公司第</w:t>
      </w:r>
      <w:r>
        <w:rPr>
          <w:rFonts w:hint="default" w:ascii="Times New Roman" w:hAnsi="Times New Roman" w:cs="Times New Roman" w:eastAsiaTheme="minorEastAsia"/>
          <w:sz w:val="24"/>
          <w:szCs w:val="24"/>
          <w:lang w:val="en-US" w:eastAsia="zh-CN"/>
        </w:rPr>
        <w:t>七</w:t>
      </w:r>
      <w:r>
        <w:rPr>
          <w:rFonts w:hint="default" w:ascii="Times New Roman" w:hAnsi="Times New Roman" w:cs="Times New Roman" w:eastAsiaTheme="minorEastAsia"/>
          <w:sz w:val="24"/>
          <w:szCs w:val="24"/>
        </w:rPr>
        <w:t>届董事会第</w:t>
      </w:r>
      <w:r>
        <w:rPr>
          <w:rFonts w:hint="default" w:ascii="Times New Roman" w:hAnsi="Times New Roman" w:cs="Times New Roman" w:eastAsiaTheme="minorEastAsia"/>
          <w:sz w:val="24"/>
          <w:szCs w:val="24"/>
          <w:lang w:val="en-US" w:eastAsia="zh-CN"/>
        </w:rPr>
        <w:t>二十三</w:t>
      </w:r>
      <w:r>
        <w:rPr>
          <w:rFonts w:hint="default" w:ascii="Times New Roman" w:hAnsi="Times New Roman" w:cs="Times New Roman" w:eastAsiaTheme="minorEastAsia"/>
          <w:sz w:val="24"/>
          <w:szCs w:val="24"/>
        </w:rPr>
        <w:t>次会议相关事宜的独立意见</w:t>
      </w:r>
      <w:r>
        <w:rPr>
          <w:rFonts w:hint="default" w:ascii="Times New Roman" w:hAnsi="Times New Roman" w:cs="Times New Roman" w:eastAsiaTheme="minorEastAsia"/>
          <w:sz w:val="24"/>
          <w:szCs w:val="24"/>
          <w:lang w:eastAsia="zh-CN"/>
        </w:rPr>
        <w:t>；</w:t>
      </w:r>
    </w:p>
    <w:p>
      <w:pPr>
        <w:snapToGrid w:val="0"/>
        <w:spacing w:line="360" w:lineRule="auto"/>
        <w:ind w:left="0" w:leftChars="0" w:firstLine="480" w:firstLineChars="200"/>
        <w:rPr>
          <w:rFonts w:hint="default" w:ascii="Times New Roman" w:hAnsi="Times New Roman" w:cs="Times New Roman"/>
          <w:highlight w:val="none"/>
        </w:rPr>
      </w:pPr>
      <w:r>
        <w:rPr>
          <w:rFonts w:hint="default" w:ascii="Times New Roman" w:hAnsi="Times New Roman" w:cs="Times New Roman" w:eastAsiaTheme="minorEastAsia"/>
          <w:sz w:val="24"/>
          <w:szCs w:val="24"/>
          <w:highlight w:val="none"/>
        </w:rPr>
        <w:t>4、</w:t>
      </w:r>
      <w:r>
        <w:rPr>
          <w:rFonts w:hint="default" w:ascii="Times New Roman" w:hAnsi="Times New Roman" w:cs="Times New Roman" w:eastAsiaTheme="minorEastAsia"/>
          <w:sz w:val="24"/>
          <w:szCs w:val="24"/>
          <w:highlight w:val="none"/>
          <w:lang w:val="en-US" w:eastAsia="zh-CN"/>
        </w:rPr>
        <w:t>中信</w:t>
      </w:r>
      <w:r>
        <w:rPr>
          <w:rFonts w:hint="default" w:ascii="Times New Roman" w:hAnsi="Times New Roman" w:cs="Times New Roman" w:eastAsiaTheme="minorEastAsia"/>
          <w:sz w:val="24"/>
          <w:szCs w:val="24"/>
          <w:highlight w:val="none"/>
        </w:rPr>
        <w:t>证券股份有限公司关于格尔软件股份有限公司使用部分闲置募集资金</w:t>
      </w:r>
      <w:r>
        <w:rPr>
          <w:rFonts w:hint="default" w:ascii="Times New Roman" w:hAnsi="Times New Roman" w:cs="Times New Roman" w:eastAsiaTheme="minorEastAsia"/>
          <w:sz w:val="24"/>
          <w:szCs w:val="24"/>
          <w:highlight w:val="none"/>
          <w:lang w:eastAsia="zh-CN"/>
        </w:rPr>
        <w:t>进行现金管理</w:t>
      </w:r>
      <w:r>
        <w:rPr>
          <w:rFonts w:hint="default" w:ascii="Times New Roman" w:hAnsi="Times New Roman" w:cs="Times New Roman" w:eastAsiaTheme="minorEastAsia"/>
          <w:sz w:val="24"/>
          <w:szCs w:val="24"/>
          <w:highlight w:val="none"/>
        </w:rPr>
        <w:t>的核查意见。</w:t>
      </w:r>
    </w:p>
    <w:p>
      <w:pPr>
        <w:pStyle w:val="4"/>
        <w:numPr>
          <w:ilvl w:val="0"/>
          <w:numId w:val="0"/>
        </w:numPr>
        <w:snapToGrid w:val="0"/>
        <w:spacing w:before="0" w:beforeAutospacing="0" w:after="0" w:afterAutospacing="0" w:line="324" w:lineRule="auto"/>
        <w:outlineLvl w:val="0"/>
        <w:rPr>
          <w:rFonts w:hint="eastAsia" w:cs="宋体" w:asciiTheme="minorEastAsia" w:hAnsiTheme="minorEastAsia" w:eastAsiaTheme="minorEastAsia"/>
          <w:color w:val="000000"/>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宋体-WinCharSetFFFF-H">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F7595"/>
    <w:multiLevelType w:val="singleLevel"/>
    <w:tmpl w:val="CEBF7595"/>
    <w:lvl w:ilvl="0" w:tentative="0">
      <w:start w:val="1"/>
      <w:numFmt w:val="chineseCounting"/>
      <w:suff w:val="nothing"/>
      <w:lvlText w:val="%1、"/>
      <w:lvlJc w:val="left"/>
      <w:pPr>
        <w:ind w:left="-2"/>
      </w:pPr>
      <w:rPr>
        <w:rFonts w:hint="eastAsia"/>
      </w:rPr>
    </w:lvl>
  </w:abstractNum>
  <w:abstractNum w:abstractNumId="1">
    <w:nsid w:val="290B276B"/>
    <w:multiLevelType w:val="singleLevel"/>
    <w:tmpl w:val="290B276B"/>
    <w:lvl w:ilvl="0" w:tentative="0">
      <w:start w:val="1"/>
      <w:numFmt w:val="chineseCounting"/>
      <w:suff w:val="nothing"/>
      <w:lvlText w:val="（%1）"/>
      <w:lvlJc w:val="left"/>
      <w:pPr>
        <w:ind w:left="0" w:firstLine="420"/>
      </w:pPr>
      <w:rPr>
        <w:rFonts w:hint="eastAsia"/>
      </w:rPr>
    </w:lvl>
  </w:abstractNum>
  <w:abstractNum w:abstractNumId="2">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9548B1"/>
    <w:rsid w:val="00491A48"/>
    <w:rsid w:val="00E63FCE"/>
    <w:rsid w:val="00F6578A"/>
    <w:rsid w:val="027576DF"/>
    <w:rsid w:val="02CC394C"/>
    <w:rsid w:val="03EA12ED"/>
    <w:rsid w:val="057B5455"/>
    <w:rsid w:val="07531A7E"/>
    <w:rsid w:val="076A6E50"/>
    <w:rsid w:val="083E47F0"/>
    <w:rsid w:val="0AC149D4"/>
    <w:rsid w:val="0B9548B1"/>
    <w:rsid w:val="0E7F0781"/>
    <w:rsid w:val="0FA549F6"/>
    <w:rsid w:val="106A6A5E"/>
    <w:rsid w:val="13C254D6"/>
    <w:rsid w:val="188A4F9B"/>
    <w:rsid w:val="1A33397D"/>
    <w:rsid w:val="1B830276"/>
    <w:rsid w:val="1BDB5201"/>
    <w:rsid w:val="1C58597E"/>
    <w:rsid w:val="1DDF728B"/>
    <w:rsid w:val="1E125A00"/>
    <w:rsid w:val="1E456B3F"/>
    <w:rsid w:val="1E657F4D"/>
    <w:rsid w:val="1E89489E"/>
    <w:rsid w:val="1F6C3676"/>
    <w:rsid w:val="1FC60C0F"/>
    <w:rsid w:val="1FEC6E49"/>
    <w:rsid w:val="20A6168E"/>
    <w:rsid w:val="21B607C4"/>
    <w:rsid w:val="24432779"/>
    <w:rsid w:val="25B95106"/>
    <w:rsid w:val="2BEF4295"/>
    <w:rsid w:val="2C9C6AB8"/>
    <w:rsid w:val="2E80779D"/>
    <w:rsid w:val="33EE7DCC"/>
    <w:rsid w:val="35CE4CED"/>
    <w:rsid w:val="37BB2CDF"/>
    <w:rsid w:val="39340362"/>
    <w:rsid w:val="39C82C6D"/>
    <w:rsid w:val="3AF7441B"/>
    <w:rsid w:val="3AFB1AF7"/>
    <w:rsid w:val="3D3C7208"/>
    <w:rsid w:val="3D903031"/>
    <w:rsid w:val="3EC21A12"/>
    <w:rsid w:val="3EE1443F"/>
    <w:rsid w:val="3EFB2631"/>
    <w:rsid w:val="40461D28"/>
    <w:rsid w:val="417531B6"/>
    <w:rsid w:val="418C7E29"/>
    <w:rsid w:val="43921345"/>
    <w:rsid w:val="43CB380A"/>
    <w:rsid w:val="4565576B"/>
    <w:rsid w:val="461C75BF"/>
    <w:rsid w:val="477D7988"/>
    <w:rsid w:val="49A16A8E"/>
    <w:rsid w:val="4B072670"/>
    <w:rsid w:val="50080160"/>
    <w:rsid w:val="52D91355"/>
    <w:rsid w:val="553044C8"/>
    <w:rsid w:val="563256E9"/>
    <w:rsid w:val="56FD7F32"/>
    <w:rsid w:val="59D7227B"/>
    <w:rsid w:val="59DB62D9"/>
    <w:rsid w:val="5AD712A6"/>
    <w:rsid w:val="5B314F91"/>
    <w:rsid w:val="5B8A746F"/>
    <w:rsid w:val="5C646231"/>
    <w:rsid w:val="5C82238E"/>
    <w:rsid w:val="5CA57B73"/>
    <w:rsid w:val="5E1640E4"/>
    <w:rsid w:val="6004650C"/>
    <w:rsid w:val="6037396F"/>
    <w:rsid w:val="61021607"/>
    <w:rsid w:val="649D21B6"/>
    <w:rsid w:val="65F72B81"/>
    <w:rsid w:val="66066C4D"/>
    <w:rsid w:val="671F04BA"/>
    <w:rsid w:val="67BF6746"/>
    <w:rsid w:val="688A543D"/>
    <w:rsid w:val="68BA5CE9"/>
    <w:rsid w:val="692A202C"/>
    <w:rsid w:val="69F24A1B"/>
    <w:rsid w:val="6C445634"/>
    <w:rsid w:val="6E36187E"/>
    <w:rsid w:val="6E471F02"/>
    <w:rsid w:val="6ED25E35"/>
    <w:rsid w:val="70BD7855"/>
    <w:rsid w:val="73911D1F"/>
    <w:rsid w:val="75790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100" w:beforeAutospacing="1" w:after="100" w:afterAutospacing="1"/>
    </w:pPr>
  </w:style>
  <w:style w:type="paragraph" w:customStyle="1" w:styleId="7">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paragraph" w:customStyle="1" w:styleId="8">
    <w:name w:val="5PYY章节正文"/>
    <w:basedOn w:val="1"/>
    <w:qFormat/>
    <w:uiPriority w:val="0"/>
    <w:pPr>
      <w:autoSpaceDE/>
      <w:autoSpaceDN/>
      <w:adjustRightInd w:val="0"/>
      <w:snapToGrid w:val="0"/>
      <w:spacing w:beforeLines="50" w:afterLines="50" w:line="360" w:lineRule="auto"/>
      <w:ind w:firstLine="480" w:firstLineChars="200"/>
      <w:jc w:val="both"/>
    </w:pPr>
    <w:rPr>
      <w:rFonts w:ascii="Times New Roman" w:hAnsi="Times New Roman" w:cs="Times New Roman"/>
      <w:kern w:val="2"/>
      <w:sz w:val="24"/>
      <w:szCs w:val="24"/>
      <w:lang w:val="en-US" w:bidi="ar-SA"/>
    </w:rPr>
  </w:style>
  <w:style w:type="paragraph" w:styleId="9">
    <w:name w:val="List Paragraph"/>
    <w:basedOn w:val="1"/>
    <w:qFormat/>
    <w:uiPriority w:val="34"/>
    <w:pPr>
      <w:ind w:firstLine="420" w:firstLineChars="200"/>
    </w:pPr>
  </w:style>
  <w:style w:type="paragraph" w:customStyle="1" w:styleId="10">
    <w:name w:val="005正文"/>
    <w:basedOn w:val="1"/>
    <w:qFormat/>
    <w:uiPriority w:val="0"/>
    <w:pPr>
      <w:autoSpaceDE/>
      <w:autoSpaceDN/>
      <w:snapToGrid w:val="0"/>
      <w:spacing w:before="50" w:beforeLines="50" w:line="360" w:lineRule="auto"/>
      <w:ind w:firstLine="200" w:firstLineChars="200"/>
      <w:jc w:val="both"/>
    </w:pPr>
    <w:rPr>
      <w:rFonts w:ascii="Times New Roman" w:hAnsi="Times New Roman" w:cs="Times New Roman"/>
      <w:kern w:val="2"/>
      <w:sz w:val="24"/>
      <w:lang w:val="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3194</Words>
  <Characters>3416</Characters>
  <Lines>0</Lines>
  <Paragraphs>0</Paragraphs>
  <TotalTime>4</TotalTime>
  <ScaleCrop>false</ScaleCrop>
  <LinksUpToDate>false</LinksUpToDate>
  <CharactersWithSpaces>3450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2020-07-29T06:00:00Z</dcterms:created>
  <dc:creator>admin</dc:creator>
  <cp:lastModifiedBy>邹岩</cp:lastModifiedBy>
  <dcterms:modified xsi:type="dcterms:W3CDTF">2022-04-25T02:37:05Z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CBA303A15729434AB40DB65C853C012F</vt:lpwstr>
  </property>
  <property fmtid="{D5CDD505-2E9C-101B-9397-08002B2CF9AE}" pid="4" name="commondata">
    <vt:lpwstr>eyJoZGlkIjoiZWUyYWQ5MTRiODJkMzMyNTEyOWUyNjA4ZWY1NmI1OTUifQ==</vt:lpwstr>
  </property>
</Properties>
</file>