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黑体" w:hAnsi="黑体" w:eastAsia="宋体" w:cs="黑体"/>
          <w:color w:val="000000"/>
          <w:kern w:val="0"/>
          <w:sz w:val="24"/>
          <w:szCs w:val="24"/>
          <w:lang w:val="en-US" w:eastAsia="zh-CN"/>
        </w:rPr>
      </w:pPr>
      <w:r>
        <w:rPr>
          <w:szCs w:val="21"/>
        </w:rPr>
        <w:t xml:space="preserve">证券代码：603232      </w:t>
      </w:r>
      <w:r>
        <w:rPr>
          <w:rFonts w:hint="eastAsia"/>
          <w:szCs w:val="21"/>
          <w:lang w:val="en-US" w:eastAsia="zh-CN"/>
        </w:rPr>
        <w:t xml:space="preserve">  </w:t>
      </w:r>
      <w:r>
        <w:rPr>
          <w:szCs w:val="21"/>
        </w:rPr>
        <w:t xml:space="preserve">      证券简称：格尔软件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w:t>
      </w:r>
      <w:r>
        <w:rPr>
          <w:rFonts w:hint="eastAsia"/>
          <w:szCs w:val="21"/>
          <w:highlight w:val="none"/>
          <w:lang w:val="en-US" w:eastAsia="zh-CN"/>
        </w:rPr>
        <w:t>027</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w:t>
      </w:r>
      <w:r>
        <w:rPr>
          <w:rFonts w:hint="eastAsia" w:ascii="黑体" w:hAnsi="黑体" w:eastAsia="黑体"/>
          <w:b/>
          <w:color w:val="FF0000"/>
          <w:sz w:val="32"/>
          <w:szCs w:val="32"/>
          <w:lang w:eastAsia="zh-CN"/>
        </w:rPr>
        <w:t>自有资金</w:t>
      </w:r>
      <w:r>
        <w:rPr>
          <w:rFonts w:hint="eastAsia" w:ascii="黑体" w:hAnsi="黑体" w:eastAsia="黑体"/>
          <w:b/>
          <w:color w:val="FF0000"/>
          <w:sz w:val="32"/>
          <w:szCs w:val="32"/>
        </w:rPr>
        <w:t>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widowControl/>
        <w:numPr>
          <w:ilvl w:val="0"/>
          <w:numId w:val="1"/>
        </w:numPr>
        <w:spacing w:line="360" w:lineRule="auto"/>
        <w:rPr>
          <w:rFonts w:hint="default" w:ascii="Times New Roman" w:hAnsi="Times New Roman" w:cs="Times New Roman" w:eastAsiaTheme="minorEastAsia"/>
          <w:sz w:val="24"/>
          <w:szCs w:val="24"/>
        </w:rPr>
      </w:pPr>
      <w:r>
        <w:rPr>
          <w:rFonts w:hint="eastAsia" w:asciiTheme="minorEastAsia" w:hAnsiTheme="minorEastAsia" w:eastAsiaTheme="minorEastAsia" w:cstheme="minorEastAsia"/>
          <w:color w:val="000000"/>
          <w:kern w:val="0"/>
          <w:sz w:val="24"/>
          <w:szCs w:val="24"/>
          <w:lang w:bidi="ar"/>
        </w:rPr>
        <w:t>委</w:t>
      </w:r>
      <w:r>
        <w:rPr>
          <w:rFonts w:hint="default" w:ascii="Times New Roman" w:hAnsi="Times New Roman" w:cs="Times New Roman" w:eastAsiaTheme="minorEastAsia"/>
          <w:color w:val="000000"/>
          <w:kern w:val="0"/>
          <w:sz w:val="24"/>
          <w:szCs w:val="24"/>
          <w:lang w:bidi="ar"/>
        </w:rPr>
        <w:t>托理财受托方：</w:t>
      </w:r>
      <w:r>
        <w:rPr>
          <w:rFonts w:hint="default" w:ascii="Times New Roman" w:hAnsi="Times New Roman" w:cs="Times New Roman"/>
          <w:sz w:val="24"/>
          <w:szCs w:val="24"/>
          <w:highlight w:val="none"/>
          <w:lang w:val="en-US" w:eastAsia="zh-CN"/>
        </w:rPr>
        <w:t>华夏银行股份有限公司（以</w:t>
      </w:r>
      <w:r>
        <w:rPr>
          <w:rFonts w:hint="eastAsia" w:asciiTheme="minorEastAsia" w:hAnsiTheme="minorEastAsia" w:eastAsiaTheme="minorEastAsia" w:cstheme="minorEastAsia"/>
          <w:sz w:val="24"/>
          <w:szCs w:val="24"/>
          <w:highlight w:val="none"/>
          <w:lang w:val="en-US" w:eastAsia="zh-CN"/>
        </w:rPr>
        <w:t>下简称“华夏银行”)</w:t>
      </w:r>
      <w:r>
        <w:rPr>
          <w:rFonts w:hint="default" w:ascii="Times New Roman" w:hAnsi="Times New Roman" w:cs="Times New Roman"/>
          <w:sz w:val="24"/>
          <w:szCs w:val="24"/>
          <w:highlight w:val="none"/>
          <w:lang w:val="en-US" w:eastAsia="zh-CN"/>
        </w:rPr>
        <w:t>、</w:t>
      </w:r>
      <w:r>
        <w:rPr>
          <w:rFonts w:hint="default" w:ascii="Times New Roman" w:hAnsi="Times New Roman" w:eastAsia="宋体" w:cs="Times New Roman"/>
          <w:sz w:val="24"/>
          <w:szCs w:val="24"/>
          <w:highlight w:val="none"/>
        </w:rPr>
        <w:t>上</w:t>
      </w:r>
      <w:r>
        <w:rPr>
          <w:rFonts w:hint="default" w:ascii="Times New Roman" w:hAnsi="Times New Roman" w:eastAsia="宋体" w:cs="Times New Roman"/>
          <w:sz w:val="24"/>
          <w:szCs w:val="24"/>
        </w:rPr>
        <w:t>海银行股份有限公司（以</w:t>
      </w:r>
      <w:r>
        <w:rPr>
          <w:rFonts w:hint="eastAsia" w:asciiTheme="minorEastAsia" w:hAnsiTheme="minorEastAsia" w:eastAsiaTheme="minorEastAsia" w:cstheme="minorEastAsia"/>
          <w:sz w:val="24"/>
          <w:szCs w:val="24"/>
        </w:rPr>
        <w:t>下简称“上海银行”)</w:t>
      </w:r>
      <w:r>
        <w:rPr>
          <w:rFonts w:hint="eastAsia" w:asciiTheme="minorEastAsia" w:hAnsiTheme="minorEastAsia" w:eastAsiaTheme="minorEastAsia" w:cstheme="minorEastAsia"/>
          <w:sz w:val="24"/>
          <w:szCs w:val="24"/>
          <w:lang w:eastAsia="zh-CN"/>
        </w:rPr>
        <w:t>、</w:t>
      </w:r>
      <w:r>
        <w:rPr>
          <w:rFonts w:hint="default" w:ascii="Times New Roman" w:hAnsi="Times New Roman" w:cs="Times New Roman" w:eastAsiaTheme="minorEastAsia"/>
          <w:color w:val="000000"/>
          <w:kern w:val="0"/>
          <w:sz w:val="24"/>
          <w:szCs w:val="24"/>
          <w:highlight w:val="none"/>
          <w:lang w:eastAsia="zh-CN" w:bidi="ar"/>
        </w:rPr>
        <w:t>中信银行股份有限公司（以下简</w:t>
      </w:r>
      <w:r>
        <w:rPr>
          <w:rFonts w:hint="eastAsia" w:asciiTheme="minorEastAsia" w:hAnsiTheme="minorEastAsia" w:eastAsiaTheme="minorEastAsia" w:cstheme="minorEastAsia"/>
          <w:color w:val="000000"/>
          <w:kern w:val="0"/>
          <w:sz w:val="24"/>
          <w:szCs w:val="24"/>
          <w:highlight w:val="none"/>
          <w:lang w:eastAsia="zh-CN" w:bidi="ar"/>
        </w:rPr>
        <w:t>称“中信银行”</w:t>
      </w:r>
      <w:r>
        <w:rPr>
          <w:rFonts w:hint="default" w:ascii="Times New Roman" w:hAnsi="Times New Roman" w:cs="Times New Roman" w:eastAsiaTheme="minorEastAsia"/>
          <w:color w:val="000000"/>
          <w:kern w:val="0"/>
          <w:sz w:val="24"/>
          <w:szCs w:val="24"/>
          <w:highlight w:val="none"/>
          <w:lang w:eastAsia="zh-CN" w:bidi="ar"/>
        </w:rPr>
        <w:t>）。</w:t>
      </w:r>
    </w:p>
    <w:p>
      <w:pPr>
        <w:widowControl/>
        <w:numPr>
          <w:ilvl w:val="0"/>
          <w:numId w:val="1"/>
        </w:numPr>
        <w:spacing w:line="360" w:lineRule="auto"/>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本次委托理财金额：</w:t>
      </w:r>
      <w:r>
        <w:rPr>
          <w:rFonts w:hint="default" w:ascii="Times New Roman" w:hAnsi="Times New Roman" w:cs="Times New Roman" w:eastAsiaTheme="minorEastAsia"/>
          <w:color w:val="000000"/>
          <w:kern w:val="0"/>
          <w:sz w:val="24"/>
          <w:szCs w:val="24"/>
          <w:highlight w:val="none"/>
          <w:lang w:val="en-US" w:eastAsia="zh-CN" w:bidi="ar"/>
        </w:rPr>
        <w:t>22,500</w:t>
      </w:r>
      <w:r>
        <w:rPr>
          <w:rFonts w:hint="default" w:ascii="Times New Roman" w:hAnsi="Times New Roman" w:cs="Times New Roman" w:eastAsiaTheme="minorEastAsia"/>
          <w:color w:val="000000"/>
          <w:kern w:val="0"/>
          <w:sz w:val="24"/>
          <w:szCs w:val="24"/>
          <w:highlight w:val="none"/>
          <w:lang w:eastAsia="zh-CN" w:bidi="ar"/>
        </w:rPr>
        <w:t>万</w:t>
      </w:r>
      <w:r>
        <w:rPr>
          <w:rFonts w:hint="default" w:ascii="Times New Roman" w:hAnsi="Times New Roman" w:cs="Times New Roman" w:eastAsiaTheme="minorEastAsia"/>
          <w:color w:val="000000"/>
          <w:kern w:val="0"/>
          <w:sz w:val="24"/>
          <w:szCs w:val="24"/>
          <w:highlight w:val="none"/>
          <w:lang w:bidi="ar"/>
        </w:rPr>
        <w:t>元</w:t>
      </w:r>
    </w:p>
    <w:p>
      <w:pPr>
        <w:widowControl/>
        <w:numPr>
          <w:ilvl w:val="0"/>
          <w:numId w:val="1"/>
        </w:numPr>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委托理财产品名称：华夏理财固</w:t>
      </w:r>
      <w:r>
        <w:rPr>
          <w:rFonts w:hint="default" w:ascii="Times New Roman" w:hAnsi="Times New Roman" w:cs="Times New Roman" w:eastAsiaTheme="minorEastAsia"/>
          <w:color w:val="000000"/>
          <w:kern w:val="0"/>
          <w:sz w:val="24"/>
          <w:szCs w:val="24"/>
          <w:highlight w:val="none"/>
          <w:lang w:eastAsia="zh-CN" w:bidi="ar"/>
        </w:rPr>
        <w:t>定</w:t>
      </w:r>
      <w:r>
        <w:rPr>
          <w:rFonts w:hint="default" w:ascii="Times New Roman" w:hAnsi="Times New Roman" w:cs="Times New Roman" w:eastAsiaTheme="minorEastAsia"/>
          <w:color w:val="000000"/>
          <w:kern w:val="0"/>
          <w:sz w:val="24"/>
          <w:szCs w:val="24"/>
          <w:highlight w:val="none"/>
          <w:lang w:bidi="ar"/>
        </w:rPr>
        <w:t>收</w:t>
      </w:r>
      <w:r>
        <w:rPr>
          <w:rFonts w:hint="default" w:ascii="Times New Roman" w:hAnsi="Times New Roman" w:cs="Times New Roman" w:eastAsiaTheme="minorEastAsia"/>
          <w:color w:val="000000"/>
          <w:kern w:val="0"/>
          <w:sz w:val="24"/>
          <w:szCs w:val="24"/>
          <w:highlight w:val="none"/>
          <w:lang w:eastAsia="zh-CN" w:bidi="ar"/>
        </w:rPr>
        <w:t>益</w:t>
      </w:r>
      <w:r>
        <w:rPr>
          <w:rFonts w:hint="default" w:ascii="Times New Roman" w:hAnsi="Times New Roman" w:cs="Times New Roman" w:eastAsiaTheme="minorEastAsia"/>
          <w:color w:val="000000"/>
          <w:kern w:val="0"/>
          <w:sz w:val="24"/>
          <w:szCs w:val="24"/>
          <w:highlight w:val="none"/>
          <w:lang w:bidi="ar"/>
        </w:rPr>
        <w:t>增强周期30天</w:t>
      </w:r>
      <w:r>
        <w:rPr>
          <w:rFonts w:hint="default" w:ascii="Times New Roman" w:hAnsi="Times New Roman" w:cs="Times New Roman" w:eastAsiaTheme="minorEastAsia"/>
          <w:color w:val="000000"/>
          <w:kern w:val="0"/>
          <w:sz w:val="24"/>
          <w:szCs w:val="24"/>
          <w:highlight w:val="none"/>
          <w:lang w:eastAsia="zh-CN" w:bidi="ar"/>
        </w:rPr>
        <w:t>理财产品</w:t>
      </w:r>
      <w:r>
        <w:rPr>
          <w:rFonts w:hint="default" w:ascii="Times New Roman" w:hAnsi="Times New Roman" w:cs="Times New Roman" w:eastAsiaTheme="minorEastAsia"/>
          <w:color w:val="000000"/>
          <w:kern w:val="0"/>
          <w:sz w:val="24"/>
          <w:szCs w:val="24"/>
          <w:highlight w:val="none"/>
          <w:lang w:bidi="ar"/>
        </w:rPr>
        <w:t>A款</w:t>
      </w:r>
      <w:r>
        <w:rPr>
          <w:rFonts w:hint="default" w:ascii="Times New Roman" w:hAnsi="Times New Roman" w:cs="Times New Roman" w:eastAsiaTheme="minorEastAsia"/>
          <w:color w:val="000000"/>
          <w:kern w:val="0"/>
          <w:sz w:val="24"/>
          <w:szCs w:val="24"/>
          <w:highlight w:val="none"/>
          <w:lang w:eastAsia="zh-CN" w:bidi="ar"/>
        </w:rPr>
        <w:t>（以下</w:t>
      </w:r>
      <w:r>
        <w:rPr>
          <w:rFonts w:hint="eastAsia" w:asciiTheme="minorEastAsia" w:hAnsiTheme="minorEastAsia" w:eastAsiaTheme="minorEastAsia" w:cstheme="minorEastAsia"/>
          <w:color w:val="000000"/>
          <w:kern w:val="0"/>
          <w:sz w:val="24"/>
          <w:szCs w:val="24"/>
          <w:highlight w:val="none"/>
          <w:lang w:eastAsia="zh-CN" w:bidi="ar"/>
        </w:rPr>
        <w:t>简称“华</w:t>
      </w:r>
      <w:r>
        <w:rPr>
          <w:rFonts w:hint="default" w:ascii="Times New Roman" w:hAnsi="Times New Roman" w:cs="Times New Roman" w:eastAsiaTheme="minorEastAsia"/>
          <w:color w:val="000000"/>
          <w:kern w:val="0"/>
          <w:sz w:val="24"/>
          <w:szCs w:val="24"/>
          <w:highlight w:val="none"/>
          <w:lang w:eastAsia="zh-CN" w:bidi="ar"/>
        </w:rPr>
        <w:t>夏理财固收增强周期</w:t>
      </w:r>
      <w:r>
        <w:rPr>
          <w:rFonts w:hint="default" w:ascii="Times New Roman" w:hAnsi="Times New Roman" w:cs="Times New Roman" w:eastAsiaTheme="minorEastAsia"/>
          <w:color w:val="000000"/>
          <w:kern w:val="0"/>
          <w:sz w:val="24"/>
          <w:szCs w:val="24"/>
          <w:highlight w:val="none"/>
          <w:lang w:val="en-US" w:eastAsia="zh-CN" w:bidi="ar"/>
        </w:rPr>
        <w:t>30天A</w:t>
      </w:r>
      <w:r>
        <w:rPr>
          <w:rFonts w:hint="eastAsia" w:asciiTheme="minorEastAsia" w:hAnsiTheme="minorEastAsia" w:eastAsiaTheme="minorEastAsia" w:cstheme="minorEastAsia"/>
          <w:color w:val="000000"/>
          <w:kern w:val="0"/>
          <w:sz w:val="24"/>
          <w:szCs w:val="24"/>
          <w:highlight w:val="none"/>
          <w:lang w:val="en-US" w:eastAsia="zh-CN" w:bidi="ar"/>
        </w:rPr>
        <w:t>款</w:t>
      </w:r>
      <w:r>
        <w:rPr>
          <w:rFonts w:hint="eastAsia" w:asciiTheme="minorEastAsia" w:hAnsiTheme="minorEastAsia" w:eastAsiaTheme="minorEastAsia" w:cstheme="minorEastAsia"/>
          <w:color w:val="000000"/>
          <w:kern w:val="0"/>
          <w:sz w:val="24"/>
          <w:szCs w:val="24"/>
          <w:highlight w:val="none"/>
          <w:lang w:eastAsia="zh-CN" w:bidi="ar"/>
        </w:rPr>
        <w:t>”</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eastAsia="宋体" w:cs="Times New Roman"/>
          <w:sz w:val="24"/>
          <w:szCs w:val="24"/>
        </w:rPr>
        <w:t>赢家易精灵GKF12001期（以下简</w:t>
      </w:r>
      <w:r>
        <w:rPr>
          <w:rFonts w:hint="eastAsia" w:asciiTheme="minorEastAsia" w:hAnsiTheme="minorEastAsia" w:eastAsiaTheme="minorEastAsia" w:cstheme="minorEastAsia"/>
          <w:sz w:val="24"/>
          <w:szCs w:val="24"/>
        </w:rPr>
        <w:t>称“赢家易精灵”</w:t>
      </w:r>
      <w:r>
        <w:rPr>
          <w:rFonts w:hint="default" w:ascii="Times New Roman" w:hAnsi="Times New Roman" w:eastAsia="宋体" w:cs="Times New Roman"/>
          <w:sz w:val="24"/>
          <w:szCs w:val="24"/>
        </w:rPr>
        <w:t>）</w:t>
      </w:r>
      <w:r>
        <w:rPr>
          <w:rFonts w:hint="default" w:ascii="Times New Roman" w:hAnsi="Times New Roman" w:cs="Times New Roman"/>
          <w:sz w:val="24"/>
          <w:szCs w:val="24"/>
          <w:lang w:eastAsia="zh-CN"/>
        </w:rPr>
        <w:t>、</w:t>
      </w:r>
      <w:r>
        <w:rPr>
          <w:rFonts w:hint="default" w:ascii="Times New Roman" w:hAnsi="Times New Roman" w:cs="Times New Roman" w:eastAsiaTheme="minorEastAsia"/>
          <w:color w:val="000000"/>
          <w:kern w:val="0"/>
          <w:sz w:val="24"/>
          <w:szCs w:val="24"/>
          <w:highlight w:val="none"/>
          <w:lang w:eastAsia="zh-CN" w:bidi="ar"/>
        </w:rPr>
        <w:t>共赢智信汇率挂钩人民币结构性存款</w:t>
      </w:r>
      <w:r>
        <w:rPr>
          <w:rFonts w:hint="default" w:ascii="Times New Roman" w:hAnsi="Times New Roman" w:cs="Times New Roman" w:eastAsiaTheme="minorEastAsia"/>
          <w:color w:val="000000"/>
          <w:kern w:val="0"/>
          <w:sz w:val="24"/>
          <w:szCs w:val="24"/>
          <w:highlight w:val="none"/>
          <w:lang w:val="en-US" w:eastAsia="zh-CN" w:bidi="ar"/>
        </w:rPr>
        <w:t>04151</w:t>
      </w:r>
      <w:r>
        <w:rPr>
          <w:rFonts w:hint="default" w:ascii="Times New Roman" w:hAnsi="Times New Roman" w:cs="Times New Roman" w:eastAsiaTheme="minorEastAsia"/>
          <w:color w:val="000000"/>
          <w:kern w:val="0"/>
          <w:sz w:val="24"/>
          <w:szCs w:val="24"/>
          <w:highlight w:val="none"/>
          <w:lang w:eastAsia="zh-CN" w:bidi="ar"/>
        </w:rPr>
        <w:t>期（以下简称</w:t>
      </w:r>
      <w:r>
        <w:rPr>
          <w:rFonts w:hint="eastAsia" w:asciiTheme="minorEastAsia" w:hAnsiTheme="minorEastAsia" w:eastAsiaTheme="minorEastAsia" w:cstheme="minorEastAsia"/>
          <w:color w:val="000000"/>
          <w:kern w:val="0"/>
          <w:sz w:val="24"/>
          <w:szCs w:val="24"/>
          <w:highlight w:val="none"/>
          <w:lang w:eastAsia="zh-CN" w:bidi="ar"/>
        </w:rPr>
        <w:t>“共赢智信结</w:t>
      </w:r>
      <w:r>
        <w:rPr>
          <w:rFonts w:hint="default" w:ascii="Times New Roman" w:hAnsi="Times New Roman" w:cs="Times New Roman" w:eastAsiaTheme="minorEastAsia"/>
          <w:color w:val="000000"/>
          <w:kern w:val="0"/>
          <w:sz w:val="24"/>
          <w:szCs w:val="24"/>
          <w:highlight w:val="none"/>
          <w:lang w:eastAsia="zh-CN" w:bidi="ar"/>
        </w:rPr>
        <w:t>构性存款</w:t>
      </w:r>
      <w:r>
        <w:rPr>
          <w:rFonts w:hint="default" w:ascii="Times New Roman" w:hAnsi="Times New Roman" w:cs="Times New Roman" w:eastAsiaTheme="minorEastAsia"/>
          <w:color w:val="000000"/>
          <w:kern w:val="0"/>
          <w:sz w:val="24"/>
          <w:szCs w:val="24"/>
          <w:highlight w:val="none"/>
          <w:lang w:val="en-US" w:eastAsia="zh-CN" w:bidi="ar"/>
        </w:rPr>
        <w:t>04151</w:t>
      </w:r>
      <w:r>
        <w:rPr>
          <w:rFonts w:hint="eastAsia" w:asciiTheme="minorEastAsia" w:hAnsiTheme="minorEastAsia" w:eastAsiaTheme="minorEastAsia" w:cstheme="minorEastAsia"/>
          <w:color w:val="000000"/>
          <w:kern w:val="0"/>
          <w:sz w:val="24"/>
          <w:szCs w:val="24"/>
          <w:highlight w:val="none"/>
          <w:lang w:eastAsia="zh-CN" w:bidi="ar"/>
        </w:rPr>
        <w:t>期”</w:t>
      </w:r>
      <w:r>
        <w:rPr>
          <w:rFonts w:hint="default" w:ascii="Times New Roman" w:hAnsi="Times New Roman" w:cs="Times New Roman" w:eastAsiaTheme="minorEastAsia"/>
          <w:color w:val="000000"/>
          <w:kern w:val="0"/>
          <w:sz w:val="24"/>
          <w:szCs w:val="24"/>
          <w:highlight w:val="none"/>
          <w:lang w:eastAsia="zh-CN" w:bidi="ar"/>
        </w:rPr>
        <w:t>）、</w:t>
      </w:r>
      <w:r>
        <w:rPr>
          <w:rFonts w:hint="default" w:ascii="Times New Roman" w:hAnsi="Times New Roman" w:eastAsia="宋体" w:cs="Times New Roman"/>
          <w:sz w:val="24"/>
          <w:szCs w:val="24"/>
        </w:rPr>
        <w:t>中信银行理财之共赢稳健周期91天理财产品新客专享（以下简</w:t>
      </w:r>
      <w:r>
        <w:rPr>
          <w:rFonts w:hint="eastAsia" w:asciiTheme="minorEastAsia" w:hAnsiTheme="minorEastAsia" w:eastAsiaTheme="minorEastAsia" w:cstheme="minorEastAsia"/>
          <w:sz w:val="24"/>
          <w:szCs w:val="24"/>
        </w:rPr>
        <w:t>称“共赢稳</w:t>
      </w:r>
      <w:r>
        <w:rPr>
          <w:rFonts w:hint="default" w:ascii="Times New Roman" w:hAnsi="Times New Roman" w:eastAsia="宋体" w:cs="Times New Roman"/>
          <w:sz w:val="24"/>
          <w:szCs w:val="24"/>
        </w:rPr>
        <w:t>健</w:t>
      </w:r>
      <w:r>
        <w:rPr>
          <w:rFonts w:hint="default" w:ascii="Times New Roman" w:hAnsi="Times New Roman" w:cs="Times New Roman"/>
          <w:sz w:val="24"/>
          <w:szCs w:val="24"/>
          <w:lang w:val="en-US" w:eastAsia="zh-CN"/>
        </w:rPr>
        <w:t>9</w:t>
      </w:r>
      <w:r>
        <w:rPr>
          <w:rFonts w:hint="default" w:ascii="Times New Roman" w:hAnsi="Times New Roman" w:eastAsia="宋体" w:cs="Times New Roman"/>
          <w:sz w:val="24"/>
          <w:szCs w:val="24"/>
        </w:rPr>
        <w:t>1天</w:t>
      </w:r>
      <w:r>
        <w:rPr>
          <w:rFonts w:hint="eastAsia" w:asciiTheme="minorEastAsia" w:hAnsiTheme="minorEastAsia" w:eastAsiaTheme="minorEastAsia" w:cstheme="minorEastAsia"/>
          <w:sz w:val="24"/>
          <w:szCs w:val="24"/>
        </w:rPr>
        <w:t>”）</w:t>
      </w:r>
      <w:r>
        <w:rPr>
          <w:rFonts w:hint="default" w:ascii="Times New Roman" w:hAnsi="Times New Roman" w:cs="Times New Roman" w:eastAsiaTheme="minorEastAsia"/>
          <w:color w:val="000000"/>
          <w:kern w:val="0"/>
          <w:sz w:val="24"/>
          <w:szCs w:val="24"/>
          <w:highlight w:val="none"/>
          <w:lang w:eastAsia="zh-CN" w:bidi="ar"/>
        </w:rPr>
        <w:t>。</w:t>
      </w:r>
    </w:p>
    <w:p>
      <w:pPr>
        <w:widowControl/>
        <w:numPr>
          <w:ilvl w:val="0"/>
          <w:numId w:val="1"/>
        </w:numPr>
        <w:spacing w:line="360" w:lineRule="auto"/>
        <w:jc w:val="left"/>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default" w:ascii="Times New Roman" w:hAnsi="Times New Roman" w:cs="Times New Roman" w:eastAsiaTheme="minorEastAsia"/>
          <w:color w:val="000000"/>
          <w:kern w:val="0"/>
          <w:sz w:val="24"/>
          <w:szCs w:val="24"/>
          <w:highlight w:val="none"/>
          <w:lang w:eastAsia="zh-CN" w:bidi="ar"/>
        </w:rPr>
        <w:t>华夏理财固收增强周期</w:t>
      </w:r>
      <w:r>
        <w:rPr>
          <w:rFonts w:hint="default" w:ascii="Times New Roman" w:hAnsi="Times New Roman" w:cs="Times New Roman" w:eastAsiaTheme="minorEastAsia"/>
          <w:color w:val="000000"/>
          <w:kern w:val="0"/>
          <w:sz w:val="24"/>
          <w:szCs w:val="24"/>
          <w:highlight w:val="none"/>
          <w:lang w:val="en-US" w:eastAsia="zh-CN" w:bidi="ar"/>
        </w:rPr>
        <w:t>30天A款总计30天、</w:t>
      </w:r>
      <w:r>
        <w:rPr>
          <w:rFonts w:hint="default" w:ascii="Times New Roman" w:hAnsi="Times New Roman" w:cs="Times New Roman" w:eastAsiaTheme="minorEastAsia"/>
          <w:color w:val="000000"/>
          <w:kern w:val="0"/>
          <w:sz w:val="24"/>
          <w:szCs w:val="24"/>
          <w:highlight w:val="none"/>
          <w:lang w:bidi="ar"/>
        </w:rPr>
        <w:t>共赢智信结构性存款</w:t>
      </w:r>
      <w:r>
        <w:rPr>
          <w:rFonts w:hint="default" w:ascii="Times New Roman" w:hAnsi="Times New Roman" w:cs="Times New Roman" w:eastAsiaTheme="minorEastAsia"/>
          <w:color w:val="000000"/>
          <w:kern w:val="0"/>
          <w:sz w:val="24"/>
          <w:szCs w:val="24"/>
          <w:highlight w:val="none"/>
          <w:lang w:val="en-US" w:eastAsia="zh-CN" w:bidi="ar"/>
        </w:rPr>
        <w:t>04151</w:t>
      </w:r>
      <w:r>
        <w:rPr>
          <w:rFonts w:hint="default" w:ascii="Times New Roman" w:hAnsi="Times New Roman" w:cs="Times New Roman" w:eastAsiaTheme="minorEastAsia"/>
          <w:color w:val="000000"/>
          <w:kern w:val="0"/>
          <w:sz w:val="24"/>
          <w:szCs w:val="24"/>
          <w:highlight w:val="none"/>
          <w:lang w:eastAsia="zh-CN" w:bidi="ar"/>
        </w:rPr>
        <w:t>期</w:t>
      </w:r>
      <w:r>
        <w:rPr>
          <w:rFonts w:hint="default" w:ascii="Times New Roman" w:hAnsi="Times New Roman" w:cs="Times New Roman" w:eastAsiaTheme="minorEastAsia"/>
          <w:color w:val="000000"/>
          <w:kern w:val="0"/>
          <w:sz w:val="24"/>
          <w:szCs w:val="24"/>
          <w:highlight w:val="none"/>
          <w:lang w:bidi="ar"/>
        </w:rPr>
        <w:t>总计</w:t>
      </w:r>
      <w:r>
        <w:rPr>
          <w:rFonts w:hint="default" w:ascii="Times New Roman" w:hAnsi="Times New Roman" w:cs="Times New Roman" w:eastAsiaTheme="minorEastAsia"/>
          <w:color w:val="000000"/>
          <w:kern w:val="0"/>
          <w:sz w:val="24"/>
          <w:szCs w:val="24"/>
          <w:highlight w:val="none"/>
          <w:lang w:val="en-US" w:eastAsia="zh-CN" w:bidi="ar"/>
        </w:rPr>
        <w:t>91</w:t>
      </w:r>
      <w:r>
        <w:rPr>
          <w:rFonts w:hint="default" w:ascii="Times New Roman" w:hAnsi="Times New Roman" w:cs="Times New Roman" w:eastAsiaTheme="minorEastAsia"/>
          <w:color w:val="000000"/>
          <w:kern w:val="0"/>
          <w:sz w:val="24"/>
          <w:szCs w:val="24"/>
          <w:highlight w:val="none"/>
          <w:lang w:bidi="ar"/>
        </w:rPr>
        <w:t>天</w:t>
      </w:r>
      <w:r>
        <w:rPr>
          <w:rFonts w:hint="default" w:ascii="Times New Roman" w:hAnsi="Times New Roman" w:cs="Times New Roman" w:eastAsiaTheme="minorEastAsia"/>
          <w:color w:val="000000"/>
          <w:kern w:val="0"/>
          <w:sz w:val="24"/>
          <w:szCs w:val="24"/>
          <w:highlight w:val="none"/>
          <w:lang w:eastAsia="zh-CN" w:bidi="ar"/>
        </w:rPr>
        <w:t>、共赢稳健</w:t>
      </w:r>
      <w:r>
        <w:rPr>
          <w:rFonts w:hint="default" w:ascii="Times New Roman" w:hAnsi="Times New Roman" w:cs="Times New Roman" w:eastAsiaTheme="minorEastAsia"/>
          <w:color w:val="000000"/>
          <w:kern w:val="0"/>
          <w:sz w:val="24"/>
          <w:szCs w:val="24"/>
          <w:highlight w:val="none"/>
          <w:lang w:val="en-US" w:eastAsia="zh-CN" w:bidi="ar"/>
        </w:rPr>
        <w:t>91天</w:t>
      </w:r>
      <w:r>
        <w:rPr>
          <w:rFonts w:hint="default" w:ascii="Times New Roman" w:hAnsi="Times New Roman" w:cs="Times New Roman" w:eastAsiaTheme="minorEastAsia"/>
          <w:color w:val="000000"/>
          <w:kern w:val="0"/>
          <w:sz w:val="24"/>
          <w:szCs w:val="24"/>
          <w:highlight w:val="none"/>
          <w:lang w:eastAsia="zh-CN" w:bidi="ar"/>
        </w:rPr>
        <w:t>总计</w:t>
      </w:r>
      <w:r>
        <w:rPr>
          <w:rFonts w:hint="default" w:ascii="Times New Roman" w:hAnsi="Times New Roman" w:cs="Times New Roman" w:eastAsiaTheme="minorEastAsia"/>
          <w:color w:val="000000"/>
          <w:kern w:val="0"/>
          <w:sz w:val="24"/>
          <w:szCs w:val="24"/>
          <w:highlight w:val="none"/>
          <w:lang w:val="en-US" w:eastAsia="zh-CN" w:bidi="ar"/>
        </w:rPr>
        <w:t>91天、</w:t>
      </w:r>
      <w:r>
        <w:rPr>
          <w:rFonts w:hint="default" w:ascii="Times New Roman" w:hAnsi="Times New Roman" w:eastAsia="宋体" w:cs="Times New Roman"/>
          <w:sz w:val="24"/>
          <w:szCs w:val="24"/>
        </w:rPr>
        <w:t>其他产品无固定期限</w:t>
      </w:r>
      <w:r>
        <w:rPr>
          <w:rFonts w:hint="default" w:ascii="Times New Roman" w:hAnsi="Times New Roman" w:cs="Times New Roman" w:eastAsiaTheme="minorEastAsia"/>
          <w:color w:val="000000"/>
          <w:kern w:val="0"/>
          <w:sz w:val="24"/>
          <w:szCs w:val="24"/>
          <w:highlight w:val="none"/>
          <w:lang w:eastAsia="zh-CN" w:bidi="ar"/>
        </w:rPr>
        <w:t>。</w:t>
      </w:r>
    </w:p>
    <w:p>
      <w:pPr>
        <w:widowControl/>
        <w:numPr>
          <w:ilvl w:val="0"/>
          <w:numId w:val="1"/>
        </w:numPr>
        <w:spacing w:line="360" w:lineRule="auto"/>
        <w:rPr>
          <w:rFonts w:asciiTheme="minorEastAsia" w:hAnsiTheme="minorEastAsia" w:eastAsiaTheme="minorEastAsia" w:cs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履行的审议程序：</w:t>
      </w:r>
      <w:r>
        <w:rPr>
          <w:rFonts w:hint="default" w:ascii="Times New Roman" w:hAnsi="Times New Roman" w:cs="Times New Roman" w:eastAsiaTheme="minorEastAsia"/>
          <w:color w:val="000000"/>
          <w:sz w:val="24"/>
          <w:szCs w:val="24"/>
          <w:highlight w:val="none"/>
        </w:rPr>
        <w:t>格尔软件股份有限公司（</w:t>
      </w:r>
      <w:r>
        <w:rPr>
          <w:rFonts w:hint="eastAsia" w:asciiTheme="minorEastAsia" w:hAnsiTheme="minorEastAsia" w:eastAsiaTheme="minorEastAsia" w:cstheme="minorEastAsia"/>
          <w:color w:val="000000"/>
          <w:sz w:val="24"/>
          <w:szCs w:val="24"/>
          <w:highlight w:val="none"/>
        </w:rPr>
        <w:t>以下简称“公司”）</w:t>
      </w:r>
      <w:r>
        <w:rPr>
          <w:rFonts w:hint="eastAsia" w:asciiTheme="minorEastAsia" w:hAnsiTheme="minorEastAsia" w:eastAsiaTheme="minorEastAsia" w:cstheme="minorEastAsia"/>
          <w:color w:val="000000"/>
          <w:kern w:val="0"/>
          <w:sz w:val="24"/>
          <w:szCs w:val="24"/>
          <w:highlight w:val="none"/>
          <w:lang w:bidi="ar"/>
        </w:rPr>
        <w:t>分</w:t>
      </w:r>
      <w:r>
        <w:rPr>
          <w:rFonts w:hint="default" w:ascii="Times New Roman" w:hAnsi="Times New Roman" w:cs="Times New Roman" w:eastAsiaTheme="minorEastAsia"/>
          <w:color w:val="000000"/>
          <w:kern w:val="0"/>
          <w:sz w:val="24"/>
          <w:szCs w:val="24"/>
          <w:highlight w:val="none"/>
          <w:lang w:bidi="ar"/>
        </w:rPr>
        <w:t>别于2020年9月11日、2020年9月28日召开了公司第七届董事会第十二次会议、第七届监事会第九次会议及公司2020年第四次临时股东大会，</w:t>
      </w:r>
      <w:r>
        <w:rPr>
          <w:rFonts w:hint="default" w:ascii="Times New Roman" w:hAnsi="Times New Roman" w:cs="Times New Roman"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w:t>
      </w:r>
      <w:r>
        <w:rPr>
          <w:rFonts w:hint="default" w:ascii="Times New Roman" w:hAnsi="Times New Roman" w:cs="Times New Roman" w:eastAsiaTheme="minorEastAsia"/>
          <w:sz w:val="24"/>
          <w:szCs w:val="24"/>
          <w:highlight w:val="none"/>
        </w:rPr>
        <w:t>格尔软件股份有限公司关于使用部分闲置自有资金进行现金管理的公告</w:t>
      </w:r>
      <w:r>
        <w:rPr>
          <w:rFonts w:hint="default" w:ascii="Times New Roman" w:hAnsi="Times New Roman" w:cs="Times New Roman" w:eastAsiaTheme="minorEastAsia"/>
          <w:color w:val="000000"/>
          <w:sz w:val="24"/>
          <w:szCs w:val="24"/>
          <w:highlight w:val="none"/>
        </w:rPr>
        <w:t>》（公告编号：2020-066）、《格尔软件股份有限公司2020年第四次临时股东大会决议公告》（公告编号：2020-069）。</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公司近期使用暂时闲置自有资金进行现金管理的赎回情况</w:t>
      </w:r>
    </w:p>
    <w:tbl>
      <w:tblPr>
        <w:tblStyle w:val="3"/>
        <w:tblW w:w="9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875"/>
        <w:gridCol w:w="1921"/>
        <w:gridCol w:w="1092"/>
        <w:gridCol w:w="1192"/>
        <w:gridCol w:w="1225"/>
        <w:gridCol w:w="1116"/>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受托方名称</w:t>
            </w:r>
          </w:p>
        </w:tc>
        <w:tc>
          <w:tcPr>
            <w:tcW w:w="87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产品类型</w:t>
            </w:r>
          </w:p>
        </w:tc>
        <w:tc>
          <w:tcPr>
            <w:tcW w:w="1921"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产品名称</w:t>
            </w:r>
          </w:p>
        </w:tc>
        <w:tc>
          <w:tcPr>
            <w:tcW w:w="1092"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eastAsia" w:ascii="Times New Roman" w:hAnsi="Times New Roman" w:cs="Times New Roman" w:eastAsiaTheme="minorEastAsia"/>
                <w:b/>
                <w:color w:val="000000"/>
                <w:kern w:val="0"/>
                <w:sz w:val="21"/>
                <w:szCs w:val="21"/>
                <w:lang w:val="en-US" w:eastAsia="zh-CN"/>
              </w:rPr>
              <w:t>赎回</w:t>
            </w:r>
            <w:r>
              <w:rPr>
                <w:rFonts w:hint="default" w:ascii="Times New Roman" w:hAnsi="Times New Roman" w:cs="Times New Roman" w:eastAsiaTheme="minorEastAsia"/>
                <w:b/>
                <w:color w:val="000000"/>
                <w:kern w:val="0"/>
                <w:sz w:val="21"/>
                <w:szCs w:val="21"/>
                <w:lang w:val="en-US" w:eastAsia="zh-CN"/>
              </w:rPr>
              <w:t>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c>
          <w:tcPr>
            <w:tcW w:w="1192"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收益类型</w:t>
            </w:r>
          </w:p>
        </w:tc>
        <w:tc>
          <w:tcPr>
            <w:tcW w:w="122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起始日</w:t>
            </w:r>
          </w:p>
        </w:tc>
        <w:tc>
          <w:tcPr>
            <w:tcW w:w="1116"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赎回日</w:t>
            </w:r>
            <w:r>
              <w:rPr>
                <w:rFonts w:hint="eastAsia" w:cs="Times New Roman" w:eastAsiaTheme="minorEastAsia"/>
                <w:b/>
                <w:color w:val="000000"/>
                <w:kern w:val="0"/>
                <w:sz w:val="21"/>
                <w:szCs w:val="21"/>
                <w:lang w:val="en-US" w:eastAsia="zh-CN"/>
              </w:rPr>
              <w:t>/兑付日</w:t>
            </w:r>
          </w:p>
        </w:tc>
        <w:tc>
          <w:tcPr>
            <w:tcW w:w="96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实际收益金额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上海银行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赢家易精灵</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500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2021.2.26</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2021.4.19</w:t>
            </w:r>
          </w:p>
        </w:tc>
        <w:tc>
          <w:tcPr>
            <w:tcW w:w="968" w:type="dxa"/>
            <w:vAlign w:val="center"/>
          </w:tcPr>
          <w:p>
            <w:pPr>
              <w:keepNext w:val="0"/>
              <w:keepLines w:val="0"/>
              <w:widowControl/>
              <w:suppressLineNumbers w:val="0"/>
              <w:jc w:val="right"/>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招商银行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步步生金</w:t>
            </w:r>
          </w:p>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8699</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400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2020.7.8</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2021.4.22</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招商银行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步步生金</w:t>
            </w:r>
          </w:p>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8699</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2020.11.16</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2021.4.23</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上海银行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赢家易精灵</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500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2020.12.15</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2021.4.23</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机构增盈周期30天</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5,200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2021.3.25</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2021.4.24</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机构增盈周期30天</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3,000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2021.3.26</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2021.4.25</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共赢智信结构性存款03683期</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1,000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2021.3.31</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2021.5.6</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共赢智信结构性存款03684期</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1,000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2021.4.1</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2021.5.6</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共赢稳健91天</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2021.2.2</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2021.5.7</w:t>
            </w:r>
          </w:p>
        </w:tc>
        <w:tc>
          <w:tcPr>
            <w:tcW w:w="968" w:type="dxa"/>
            <w:vAlign w:val="center"/>
          </w:tcPr>
          <w:p>
            <w:pPr>
              <w:keepNext w:val="0"/>
              <w:keepLines w:val="0"/>
              <w:widowControl/>
              <w:suppressLineNumbers w:val="0"/>
              <w:jc w:val="right"/>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机构增盈周期30天</w:t>
            </w:r>
          </w:p>
        </w:tc>
        <w:tc>
          <w:tcPr>
            <w:tcW w:w="10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11,000</w:t>
            </w:r>
          </w:p>
        </w:tc>
        <w:tc>
          <w:tcPr>
            <w:tcW w:w="1192"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2021.3.10</w:t>
            </w:r>
          </w:p>
        </w:tc>
        <w:tc>
          <w:tcPr>
            <w:tcW w:w="1116" w:type="dxa"/>
            <w:vAlign w:val="center"/>
          </w:tcPr>
          <w:p>
            <w:pPr>
              <w:keepNext w:val="0"/>
              <w:keepLines w:val="0"/>
              <w:widowControl/>
              <w:suppressLineNumbers w:val="0"/>
              <w:jc w:val="center"/>
              <w:textAlignment w:val="top"/>
              <w:rPr>
                <w:rFonts w:hint="default" w:ascii="Times New Roman" w:hAnsi="Times New Roman"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2021.5.</w:t>
            </w:r>
            <w:r>
              <w:rPr>
                <w:rFonts w:hint="eastAsia" w:cs="Times New Roman"/>
                <w:i w:val="0"/>
                <w:color w:val="000000"/>
                <w:kern w:val="0"/>
                <w:sz w:val="21"/>
                <w:szCs w:val="21"/>
                <w:u w:val="none"/>
                <w:lang w:val="en-US" w:eastAsia="zh-CN" w:bidi="ar"/>
              </w:rPr>
              <w:t>10</w:t>
            </w:r>
          </w:p>
        </w:tc>
        <w:tc>
          <w:tcPr>
            <w:tcW w:w="968" w:type="dxa"/>
            <w:vAlign w:val="center"/>
          </w:tcPr>
          <w:p>
            <w:pPr>
              <w:keepNext w:val="0"/>
              <w:keepLines w:val="0"/>
              <w:widowControl/>
              <w:suppressLineNumbers w:val="0"/>
              <w:jc w:val="right"/>
              <w:textAlignment w:val="top"/>
              <w:rPr>
                <w:rFonts w:hint="default" w:ascii="Times New Roman" w:hAnsi="Times New Roman" w:cs="Times New Roman"/>
                <w:i w:val="0"/>
                <w:color w:val="000000"/>
                <w:kern w:val="0"/>
                <w:sz w:val="21"/>
                <w:szCs w:val="21"/>
                <w:u w:val="none"/>
                <w:lang w:val="en-US" w:eastAsia="zh-CN" w:bidi="ar"/>
              </w:rPr>
            </w:pPr>
            <w:r>
              <w:rPr>
                <w:rFonts w:hint="eastAsia" w:cs="Times New Roman"/>
                <w:i w:val="0"/>
                <w:color w:val="000000"/>
                <w:kern w:val="0"/>
                <w:sz w:val="21"/>
                <w:szCs w:val="21"/>
                <w:highlight w:val="none"/>
                <w:u w:val="none"/>
                <w:lang w:val="en-US" w:eastAsia="zh-CN" w:bidi="ar"/>
              </w:rPr>
              <w:t>67.09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4" w:type="dxa"/>
            <w:gridSpan w:val="3"/>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合计</w:t>
            </w:r>
          </w:p>
        </w:tc>
        <w:tc>
          <w:tcPr>
            <w:tcW w:w="1092" w:type="dxa"/>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24,700</w:t>
            </w:r>
          </w:p>
        </w:tc>
        <w:tc>
          <w:tcPr>
            <w:tcW w:w="1192"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cs="Times New Roman"/>
                <w:b/>
                <w:bCs/>
                <w:i w:val="0"/>
                <w:color w:val="000000"/>
                <w:kern w:val="0"/>
                <w:sz w:val="21"/>
                <w:szCs w:val="21"/>
                <w:u w:val="none"/>
                <w:lang w:val="en-US" w:eastAsia="zh-CN" w:bidi="ar"/>
              </w:rPr>
              <w:t>-</w:t>
            </w:r>
          </w:p>
        </w:tc>
        <w:tc>
          <w:tcPr>
            <w:tcW w:w="1225"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cs="Times New Roman"/>
                <w:b/>
                <w:bCs/>
                <w:i w:val="0"/>
                <w:color w:val="000000"/>
                <w:kern w:val="0"/>
                <w:sz w:val="21"/>
                <w:szCs w:val="21"/>
                <w:u w:val="none"/>
                <w:lang w:val="en-US" w:eastAsia="zh-CN" w:bidi="ar"/>
              </w:rPr>
              <w:t>-</w:t>
            </w:r>
          </w:p>
        </w:tc>
        <w:tc>
          <w:tcPr>
            <w:tcW w:w="1116"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cs="Times New Roman"/>
                <w:b/>
                <w:bCs/>
                <w:i w:val="0"/>
                <w:color w:val="000000"/>
                <w:kern w:val="0"/>
                <w:sz w:val="21"/>
                <w:szCs w:val="21"/>
                <w:u w:val="none"/>
                <w:lang w:val="en-US" w:eastAsia="zh-CN" w:bidi="ar"/>
              </w:rPr>
              <w:t>-</w:t>
            </w:r>
          </w:p>
        </w:tc>
        <w:tc>
          <w:tcPr>
            <w:tcW w:w="968" w:type="dxa"/>
            <w:vAlign w:val="center"/>
          </w:tcPr>
          <w:p>
            <w:pPr>
              <w:keepNext w:val="0"/>
              <w:keepLines w:val="0"/>
              <w:pageBreakBefore w:val="0"/>
              <w:widowControl/>
              <w:suppressLineNumbers w:val="0"/>
              <w:kinsoku/>
              <w:wordWrap/>
              <w:overflowPunct/>
              <w:topLinePunct w:val="0"/>
              <w:bidi w:val="0"/>
              <w:snapToGrid/>
              <w:jc w:val="right"/>
              <w:textAlignment w:val="top"/>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cs="Times New Roman"/>
                <w:i w:val="0"/>
                <w:color w:val="000000"/>
                <w:kern w:val="0"/>
                <w:sz w:val="21"/>
                <w:szCs w:val="21"/>
                <w:u w:val="none"/>
                <w:lang w:val="en-US" w:eastAsia="zh-CN" w:bidi="ar"/>
              </w:rPr>
              <w:t>1</w:t>
            </w:r>
            <w:r>
              <w:rPr>
                <w:rFonts w:hint="eastAsia" w:cs="Times New Roman"/>
                <w:i w:val="0"/>
                <w:color w:val="000000"/>
                <w:kern w:val="0"/>
                <w:sz w:val="21"/>
                <w:szCs w:val="21"/>
                <w:u w:val="none"/>
                <w:lang w:val="en-US" w:eastAsia="zh-CN" w:bidi="ar"/>
              </w:rPr>
              <w:t>39.06</w:t>
            </w:r>
          </w:p>
        </w:tc>
      </w:tr>
    </w:tbl>
    <w:p>
      <w:pPr>
        <w:widowControl/>
        <w:spacing w:before="156" w:beforeLines="50" w:after="156" w:afterLines="50" w:line="360" w:lineRule="auto"/>
        <w:jc w:val="left"/>
        <w:rPr>
          <w:rFonts w:hint="default" w:eastAsiaTheme="minorEastAsia"/>
          <w:b w:val="0"/>
          <w:bCs/>
          <w:color w:val="000000"/>
          <w:sz w:val="24"/>
          <w:szCs w:val="24"/>
          <w:highlight w:val="none"/>
          <w:lang w:val="en-US" w:eastAsia="zh-CN"/>
        </w:rPr>
      </w:pPr>
      <w:r>
        <w:rPr>
          <w:rFonts w:hint="default" w:ascii="Times New Roman" w:hAnsi="Times New Roman" w:cs="Times New Roman" w:eastAsiaTheme="minorEastAsia"/>
          <w:b w:val="0"/>
          <w:bCs/>
          <w:color w:val="000000"/>
          <w:sz w:val="24"/>
          <w:szCs w:val="24"/>
          <w:highlight w:val="none"/>
          <w:lang w:val="en-US" w:eastAsia="zh-CN"/>
        </w:rPr>
        <w:t>注：上述理财产品中，</w:t>
      </w:r>
      <w:r>
        <w:rPr>
          <w:rFonts w:hint="eastAsia" w:cs="Times New Roman" w:eastAsiaTheme="minorEastAsia"/>
          <w:b w:val="0"/>
          <w:bCs/>
          <w:color w:val="000000"/>
          <w:sz w:val="24"/>
          <w:szCs w:val="24"/>
          <w:highlight w:val="none"/>
          <w:lang w:val="en-US" w:eastAsia="zh-CN"/>
        </w:rPr>
        <w:t>赢家易精灵、步步生金8699</w:t>
      </w:r>
      <w:r>
        <w:rPr>
          <w:rFonts w:hint="default" w:ascii="Times New Roman" w:hAnsi="Times New Roman" w:cs="Times New Roman"/>
          <w:i w:val="0"/>
          <w:color w:val="000000"/>
          <w:kern w:val="0"/>
          <w:sz w:val="24"/>
          <w:szCs w:val="24"/>
          <w:highlight w:val="none"/>
          <w:u w:val="none"/>
          <w:lang w:val="en-US" w:eastAsia="zh-CN" w:bidi="ar"/>
        </w:rPr>
        <w:t>为无固定期限理财产品</w:t>
      </w:r>
      <w:r>
        <w:rPr>
          <w:rFonts w:hint="eastAsia" w:cs="Times New Roman"/>
          <w:i w:val="0"/>
          <w:color w:val="000000"/>
          <w:kern w:val="0"/>
          <w:sz w:val="24"/>
          <w:szCs w:val="24"/>
          <w:highlight w:val="none"/>
          <w:u w:val="none"/>
          <w:lang w:val="en-US" w:eastAsia="zh-CN" w:bidi="ar"/>
        </w:rPr>
        <w:t>，</w:t>
      </w:r>
      <w:r>
        <w:rPr>
          <w:rFonts w:hint="default" w:ascii="Times New Roman" w:hAnsi="Times New Roman" w:cs="Times New Roman" w:eastAsiaTheme="minorEastAsia"/>
          <w:b w:val="0"/>
          <w:bCs/>
          <w:color w:val="000000"/>
          <w:sz w:val="24"/>
          <w:szCs w:val="24"/>
          <w:highlight w:val="none"/>
          <w:lang w:val="en-US" w:eastAsia="zh-CN"/>
        </w:rPr>
        <w:t>到期日为T+1</w:t>
      </w:r>
      <w:r>
        <w:rPr>
          <w:rFonts w:hint="eastAsia" w:cs="Times New Roman" w:eastAsiaTheme="minorEastAsia"/>
          <w:b w:val="0"/>
          <w:bCs/>
          <w:color w:val="000000"/>
          <w:sz w:val="24"/>
          <w:szCs w:val="24"/>
          <w:highlight w:val="none"/>
          <w:lang w:val="en-US" w:eastAsia="zh-CN"/>
        </w:rPr>
        <w:t>，暨</w:t>
      </w:r>
      <w:r>
        <w:rPr>
          <w:rFonts w:hint="default" w:ascii="Times New Roman" w:hAnsi="Times New Roman" w:cs="Times New Roman" w:eastAsiaTheme="minorEastAsia"/>
          <w:b w:val="0"/>
          <w:bCs/>
          <w:color w:val="000000"/>
          <w:sz w:val="24"/>
          <w:szCs w:val="24"/>
          <w:highlight w:val="none"/>
          <w:lang w:val="en-US" w:eastAsia="zh-CN"/>
        </w:rPr>
        <w:t>T+1赎回</w:t>
      </w:r>
      <w:r>
        <w:rPr>
          <w:rFonts w:hint="eastAsia" w:cs="Times New Roman" w:eastAsiaTheme="minorEastAsia"/>
          <w:b w:val="0"/>
          <w:bCs/>
          <w:color w:val="000000"/>
          <w:sz w:val="24"/>
          <w:szCs w:val="24"/>
          <w:highlight w:val="none"/>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widowControl/>
        <w:spacing w:before="156" w:beforeLines="50" w:after="156" w:afterLines="50" w:line="360" w:lineRule="auto"/>
        <w:ind w:firstLine="420" w:firstLineChars="175"/>
        <w:jc w:val="left"/>
        <w:rPr>
          <w:rFonts w:eastAsiaTheme="minorEastAsia"/>
          <w:color w:val="000000"/>
          <w:sz w:val="24"/>
          <w:szCs w:val="24"/>
          <w:highlight w:val="none"/>
        </w:rPr>
      </w:pPr>
      <w:r>
        <w:rPr>
          <w:rFonts w:eastAsiaTheme="minorEastAsia"/>
          <w:color w:val="000000"/>
          <w:sz w:val="24"/>
          <w:szCs w:val="24"/>
          <w:highlight w:val="none"/>
        </w:rPr>
        <w:t>为进一步提高资金使用效率，合理利用闲置自有资金，在确保不影响公司正常经营的前提下，公司使用总额不超过人民币8亿元（含8亿元）的闲置自有资金进行现金管理，以更好实现公司资金的保值增值，保障公司及股东的利益。</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widowControl/>
        <w:spacing w:before="156" w:beforeLines="50" w:after="156" w:afterLines="50" w:line="360" w:lineRule="auto"/>
        <w:ind w:firstLine="420" w:firstLineChars="175"/>
        <w:jc w:val="left"/>
        <w:rPr>
          <w:rFonts w:hint="eastAsia" w:eastAsiaTheme="minorEastAsia"/>
          <w:color w:val="000000"/>
          <w:sz w:val="24"/>
          <w:szCs w:val="24"/>
        </w:rPr>
      </w:pPr>
      <w:r>
        <w:rPr>
          <w:rFonts w:hint="eastAsia" w:eastAsiaTheme="minorEastAsia"/>
          <w:color w:val="000000"/>
          <w:sz w:val="24"/>
          <w:szCs w:val="24"/>
        </w:rPr>
        <w:t>本次委托理财的资金来源为公司及控股子公司暂时闲置的自有资金。</w:t>
      </w:r>
    </w:p>
    <w:p>
      <w:pPr>
        <w:widowControl/>
        <w:spacing w:before="156" w:beforeLines="50" w:after="156" w:afterLines="50"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9120" w:type="dxa"/>
        <w:jc w:val="center"/>
        <w:tblLayout w:type="fixed"/>
        <w:tblCellMar>
          <w:top w:w="0" w:type="dxa"/>
          <w:left w:w="108" w:type="dxa"/>
          <w:bottom w:w="0" w:type="dxa"/>
          <w:right w:w="108" w:type="dxa"/>
        </w:tblCellMar>
      </w:tblPr>
      <w:tblGrid>
        <w:gridCol w:w="685"/>
        <w:gridCol w:w="879"/>
        <w:gridCol w:w="1327"/>
        <w:gridCol w:w="956"/>
        <w:gridCol w:w="850"/>
        <w:gridCol w:w="958"/>
        <w:gridCol w:w="872"/>
        <w:gridCol w:w="1136"/>
        <w:gridCol w:w="692"/>
        <w:gridCol w:w="765"/>
      </w:tblGrid>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716"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中信银行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共赢稳健91天</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cs="Times New Roman"/>
                <w:color w:val="000000"/>
                <w:sz w:val="21"/>
                <w:szCs w:val="21"/>
                <w:highlight w:val="none"/>
                <w:vertAlign w:val="baseline"/>
                <w:lang w:val="en-US" w:eastAsia="zh-CN"/>
              </w:rPr>
              <w:t>200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cs="Times New Roman"/>
                <w:color w:val="000000"/>
                <w:sz w:val="21"/>
                <w:szCs w:val="21"/>
                <w:highlight w:val="none"/>
                <w:vertAlign w:val="baseline"/>
                <w:lang w:val="en-US" w:eastAsia="zh-CN"/>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cs="Times New Roman"/>
                <w:color w:val="000000"/>
                <w:sz w:val="21"/>
                <w:szCs w:val="21"/>
                <w:highlight w:val="none"/>
                <w:lang w:val="en-US" w:eastAsia="zh-CN"/>
              </w:rPr>
              <w:t>91</w:t>
            </w:r>
            <w:r>
              <w:rPr>
                <w:rFonts w:hint="default" w:ascii="Times New Roman" w:hAnsi="Times New Roman" w:eastAsia="宋体" w:cs="Times New Roman"/>
                <w:color w:val="000000"/>
                <w:sz w:val="21"/>
                <w:szCs w:val="21"/>
                <w:highlight w:val="none"/>
                <w:lang w:val="en-US" w:eastAsia="zh-CN"/>
              </w:rPr>
              <w:t>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rPr>
            </w:pPr>
            <w:r>
              <w:rPr>
                <w:rFonts w:hint="default" w:ascii="Times New Roman" w:hAnsi="Times New Roman" w:eastAsia="宋体" w:cs="Times New Roman"/>
                <w:color w:val="000000"/>
                <w:sz w:val="21"/>
                <w:szCs w:val="21"/>
                <w:highlight w:val="none"/>
              </w:rPr>
              <w:t>非保本浮动收益</w:t>
            </w:r>
            <w:r>
              <w:rPr>
                <w:rFonts w:hint="default" w:ascii="Times New Roman" w:hAnsi="Times New Roman" w:eastAsia="宋体" w:cs="Times New Roman"/>
                <w:color w:val="000000"/>
                <w:sz w:val="21"/>
                <w:szCs w:val="21"/>
                <w:highlight w:val="none"/>
                <w:lang w:val="en-US" w:eastAsia="zh-CN"/>
              </w:rPr>
              <w:t>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rPr>
              <w:t>华夏理财固收增强周期30天A款</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8,200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eastAsia="宋体" w:cs="Times New Roman"/>
                <w:color w:val="000000"/>
                <w:sz w:val="21"/>
                <w:szCs w:val="21"/>
                <w:highlight w:val="none"/>
                <w:vertAlign w:val="baseline"/>
                <w:lang w:val="en-US" w:eastAsia="zh-CN"/>
              </w:rPr>
              <w:t>3</w:t>
            </w:r>
            <w:r>
              <w:rPr>
                <w:rFonts w:hint="default" w:ascii="Times New Roman" w:hAnsi="Times New Roman" w:cs="Times New Roman"/>
                <w:color w:val="000000"/>
                <w:sz w:val="21"/>
                <w:szCs w:val="21"/>
                <w:highlight w:val="none"/>
                <w:vertAlign w:val="baseline"/>
                <w:lang w:val="en-US" w:eastAsia="zh-CN"/>
              </w:rPr>
              <w:t>.30</w:t>
            </w:r>
            <w:r>
              <w:rPr>
                <w:rFonts w:hint="default" w:ascii="Times New Roman" w:hAnsi="Times New Roman" w:eastAsia="宋体" w:cs="Times New Roman"/>
                <w:color w:val="000000"/>
                <w:sz w:val="21"/>
                <w:szCs w:val="21"/>
                <w:highlight w:val="none"/>
                <w:vertAlign w:val="baseline"/>
                <w:lang w:val="en-US" w:eastAsia="zh-CN"/>
              </w:rPr>
              <w:t>%</w:t>
            </w:r>
            <w:r>
              <w:rPr>
                <w:rFonts w:hint="default" w:ascii="Times New Roman" w:hAnsi="Times New Roman" w:cs="Times New Roman"/>
                <w:color w:val="000000"/>
                <w:sz w:val="21"/>
                <w:szCs w:val="21"/>
                <w:highlight w:val="none"/>
                <w:vertAlign w:val="baseline"/>
                <w:lang w:val="en-US" w:eastAsia="zh-CN"/>
              </w:rPr>
              <w:t>-3.90%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lang w:val="en-US" w:eastAsia="zh-CN"/>
              </w:rPr>
              <w:t>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rPr>
              <w:t>非保本浮动收益</w:t>
            </w:r>
            <w:r>
              <w:rPr>
                <w:rFonts w:hint="default" w:ascii="Times New Roman" w:hAnsi="Times New Roman" w:eastAsia="宋体" w:cs="Times New Roman"/>
                <w:color w:val="000000"/>
                <w:sz w:val="21"/>
                <w:szCs w:val="21"/>
                <w:highlight w:val="none"/>
                <w:lang w:val="en-US" w:eastAsia="zh-CN"/>
              </w:rPr>
              <w:t>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color w:val="000000"/>
                <w:sz w:val="21"/>
                <w:szCs w:val="21"/>
                <w:highlight w:val="none"/>
                <w:lang w:val="en-US" w:eastAsia="zh-CN"/>
              </w:rPr>
              <w:t>上海银行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i w:val="0"/>
                <w:color w:val="000000"/>
                <w:kern w:val="0"/>
                <w:sz w:val="21"/>
                <w:szCs w:val="21"/>
                <w:u w:val="none"/>
                <w:lang w:val="en-US" w:eastAsia="zh-CN" w:bidi="ar"/>
              </w:rPr>
              <w:t>赢家易精灵</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1,500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sz w:val="21"/>
                <w:szCs w:val="21"/>
                <w:highlight w:val="none"/>
                <w:vertAlign w:val="baseline"/>
                <w:lang w:val="en-US" w:eastAsia="zh-CN"/>
              </w:rPr>
              <w:t>2.70%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i w:val="0"/>
                <w:color w:val="000000"/>
                <w:kern w:val="0"/>
                <w:sz w:val="21"/>
                <w:szCs w:val="21"/>
                <w:highlight w:val="none"/>
                <w:u w:val="none"/>
                <w:lang w:val="en-US" w:eastAsia="zh-CN" w:bidi="ar"/>
              </w:rPr>
              <w:t>非</w:t>
            </w:r>
            <w:r>
              <w:rPr>
                <w:rFonts w:hint="default" w:ascii="Times New Roman" w:hAnsi="Times New Roman" w:eastAsia="宋体" w:cs="Times New Roman"/>
                <w:i w:val="0"/>
                <w:color w:val="000000"/>
                <w:kern w:val="0"/>
                <w:sz w:val="21"/>
                <w:szCs w:val="21"/>
                <w:highlight w:val="none"/>
                <w:u w:val="none"/>
                <w:lang w:val="en-US" w:eastAsia="zh-CN" w:bidi="ar"/>
              </w:rPr>
              <w:t>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中信银行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kern w:val="0"/>
                <w:sz w:val="21"/>
                <w:szCs w:val="21"/>
                <w:highlight w:val="none"/>
                <w:lang w:eastAsia="zh-CN" w:bidi="ar"/>
              </w:rPr>
              <w:t>共赢稳健91天</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eastAsia="宋体" w:cs="Times New Roman"/>
                <w:color w:val="000000"/>
                <w:kern w:val="2"/>
                <w:sz w:val="21"/>
                <w:szCs w:val="21"/>
                <w:highlight w:val="none"/>
                <w:vertAlign w:val="baseline"/>
                <w:lang w:val="en-US" w:eastAsia="zh-CN" w:bidi="ar-SA"/>
              </w:rPr>
              <w:t>100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cs="Times New Roman"/>
                <w:color w:val="000000"/>
                <w:sz w:val="21"/>
                <w:szCs w:val="21"/>
                <w:highlight w:val="none"/>
                <w:vertAlign w:val="baseline"/>
                <w:lang w:val="en-US" w:eastAsia="zh-CN"/>
              </w:rPr>
              <w:t>4.0</w:t>
            </w:r>
            <w:r>
              <w:rPr>
                <w:rFonts w:hint="default" w:ascii="Times New Roman" w:hAnsi="Times New Roman" w:cs="Times New Roman"/>
                <w:color w:val="000000"/>
                <w:sz w:val="21"/>
                <w:szCs w:val="21"/>
                <w:highlight w:val="none"/>
                <w:vertAlign w:val="baseline"/>
                <w:lang w:val="en-US" w:eastAsia="zh-CN"/>
              </w:rPr>
              <w:t>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91</w:t>
            </w:r>
            <w:r>
              <w:rPr>
                <w:rFonts w:hint="default" w:ascii="Times New Roman" w:hAnsi="Times New Roman" w:eastAsia="宋体" w:cs="Times New Roman"/>
                <w:color w:val="000000"/>
                <w:sz w:val="21"/>
                <w:szCs w:val="21"/>
                <w:highlight w:val="none"/>
                <w:lang w:val="en-US" w:eastAsia="zh-CN"/>
              </w:rPr>
              <w:t>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cs="Times New Roman"/>
                <w:i w:val="0"/>
                <w:color w:val="000000"/>
                <w:kern w:val="0"/>
                <w:sz w:val="21"/>
                <w:szCs w:val="21"/>
                <w:highlight w:val="none"/>
                <w:u w:val="none"/>
                <w:lang w:val="en-US" w:eastAsia="zh-CN" w:bidi="ar"/>
              </w:rPr>
              <w:t>非</w:t>
            </w:r>
            <w:r>
              <w:rPr>
                <w:rFonts w:hint="default" w:ascii="Times New Roman" w:hAnsi="Times New Roman" w:eastAsia="宋体" w:cs="Times New Roman"/>
                <w:i w:val="0"/>
                <w:color w:val="000000"/>
                <w:kern w:val="0"/>
                <w:sz w:val="21"/>
                <w:szCs w:val="21"/>
                <w:highlight w:val="none"/>
                <w:u w:val="none"/>
                <w:lang w:val="en-US" w:eastAsia="zh-CN" w:bidi="ar"/>
              </w:rPr>
              <w:t>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中信银行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共赢智信结构性存款</w:t>
            </w:r>
            <w:r>
              <w:rPr>
                <w:rFonts w:hint="default" w:ascii="Times New Roman" w:hAnsi="Times New Roman" w:cs="Times New Roman" w:eastAsiaTheme="minorEastAsia"/>
                <w:color w:val="000000"/>
                <w:kern w:val="0"/>
                <w:sz w:val="21"/>
                <w:szCs w:val="21"/>
                <w:highlight w:val="none"/>
                <w:lang w:val="en-US" w:eastAsia="zh-CN" w:bidi="ar"/>
              </w:rPr>
              <w:t>04151期</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2</w:t>
            </w:r>
            <w:r>
              <w:rPr>
                <w:rFonts w:hint="default" w:ascii="Times New Roman" w:hAnsi="Times New Roman" w:eastAsia="宋体" w:cs="Times New Roman"/>
                <w:color w:val="000000"/>
                <w:kern w:val="2"/>
                <w:sz w:val="21"/>
                <w:szCs w:val="21"/>
                <w:highlight w:val="none"/>
                <w:vertAlign w:val="baseline"/>
                <w:lang w:val="en-US" w:eastAsia="zh-CN" w:bidi="ar-SA"/>
              </w:rPr>
              <w:t>,000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cs="Times New Roman"/>
                <w:color w:val="000000"/>
                <w:sz w:val="21"/>
                <w:szCs w:val="21"/>
                <w:highlight w:val="none"/>
                <w:vertAlign w:val="baseline"/>
                <w:lang w:val="en-US" w:eastAsia="zh-CN"/>
              </w:rPr>
              <w:t>1.48%/</w:t>
            </w:r>
            <w:r>
              <w:rPr>
                <w:rFonts w:hint="default" w:ascii="Times New Roman" w:hAnsi="Times New Roman" w:eastAsia="宋体" w:cs="Times New Roman"/>
                <w:color w:val="000000"/>
                <w:sz w:val="21"/>
                <w:szCs w:val="21"/>
                <w:highlight w:val="none"/>
                <w:vertAlign w:val="baseline"/>
                <w:lang w:val="en-US" w:eastAsia="zh-CN"/>
              </w:rPr>
              <w:t>3.</w:t>
            </w:r>
            <w:r>
              <w:rPr>
                <w:rFonts w:hint="default" w:ascii="Times New Roman" w:hAnsi="Times New Roman" w:cs="Times New Roman"/>
                <w:color w:val="000000"/>
                <w:sz w:val="21"/>
                <w:szCs w:val="21"/>
                <w:highlight w:val="none"/>
                <w:vertAlign w:val="baseline"/>
                <w:lang w:val="en-US" w:eastAsia="zh-CN"/>
              </w:rPr>
              <w:t>05</w:t>
            </w:r>
            <w:r>
              <w:rPr>
                <w:rFonts w:hint="default" w:ascii="Times New Roman" w:hAnsi="Times New Roman" w:eastAsia="宋体" w:cs="Times New Roman"/>
                <w:color w:val="000000"/>
                <w:sz w:val="21"/>
                <w:szCs w:val="21"/>
                <w:highlight w:val="none"/>
                <w:vertAlign w:val="baseline"/>
                <w:lang w:val="en-US" w:eastAsia="zh-CN"/>
              </w:rPr>
              <w:t>%</w:t>
            </w:r>
            <w:r>
              <w:rPr>
                <w:rFonts w:hint="eastAsia" w:cs="Times New Roman"/>
                <w:color w:val="000000"/>
                <w:sz w:val="21"/>
                <w:szCs w:val="21"/>
                <w:highlight w:val="none"/>
                <w:vertAlign w:val="baseline"/>
                <w:lang w:val="en-US" w:eastAsia="zh-CN"/>
              </w:rPr>
              <w:t>/3.45%</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91</w:t>
            </w:r>
            <w:r>
              <w:rPr>
                <w:rFonts w:hint="default" w:ascii="Times New Roman" w:hAnsi="Times New Roman" w:eastAsia="宋体" w:cs="Times New Roman"/>
                <w:color w:val="000000"/>
                <w:sz w:val="21"/>
                <w:szCs w:val="21"/>
                <w:highlight w:val="none"/>
                <w:lang w:val="en-US" w:eastAsia="zh-CN"/>
              </w:rPr>
              <w:t>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保本浮动收益</w:t>
            </w:r>
            <w:r>
              <w:rPr>
                <w:rFonts w:hint="default" w:ascii="Times New Roman" w:hAnsi="Times New Roman" w:eastAsia="宋体" w:cs="Times New Roman"/>
                <w:color w:val="000000"/>
                <w:sz w:val="21"/>
                <w:szCs w:val="21"/>
                <w:highlight w:val="none"/>
                <w:lang w:val="en-US" w:eastAsia="zh-CN"/>
              </w:rPr>
              <w:t>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rPr>
              <w:t>华夏理财固收增强周期30天A款</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default" w:ascii="Times New Roman" w:hAnsi="Times New Roman" w:cs="Times New Roman"/>
                <w:color w:val="000000"/>
                <w:kern w:val="2"/>
                <w:sz w:val="21"/>
                <w:szCs w:val="21"/>
                <w:highlight w:val="none"/>
                <w:vertAlign w:val="baseline"/>
                <w:lang w:val="en-US" w:eastAsia="zh-CN" w:bidi="ar-SA"/>
              </w:rPr>
              <w:t>10,500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3</w:t>
            </w:r>
            <w:r>
              <w:rPr>
                <w:rFonts w:hint="default" w:ascii="Times New Roman" w:hAnsi="Times New Roman" w:cs="Times New Roman"/>
                <w:color w:val="000000"/>
                <w:sz w:val="21"/>
                <w:szCs w:val="21"/>
                <w:highlight w:val="none"/>
                <w:vertAlign w:val="baseline"/>
                <w:lang w:val="en-US" w:eastAsia="zh-CN"/>
              </w:rPr>
              <w:t>.30</w:t>
            </w:r>
            <w:r>
              <w:rPr>
                <w:rFonts w:hint="default" w:ascii="Times New Roman" w:hAnsi="Times New Roman" w:eastAsia="宋体" w:cs="Times New Roman"/>
                <w:color w:val="000000"/>
                <w:sz w:val="21"/>
                <w:szCs w:val="21"/>
                <w:highlight w:val="none"/>
                <w:vertAlign w:val="baseline"/>
                <w:lang w:val="en-US" w:eastAsia="zh-CN"/>
              </w:rPr>
              <w:t>%</w:t>
            </w:r>
            <w:r>
              <w:rPr>
                <w:rFonts w:hint="default" w:ascii="Times New Roman" w:hAnsi="Times New Roman" w:cs="Times New Roman"/>
                <w:color w:val="000000"/>
                <w:sz w:val="21"/>
                <w:szCs w:val="21"/>
                <w:highlight w:val="none"/>
                <w:vertAlign w:val="baseline"/>
                <w:lang w:val="en-US" w:eastAsia="zh-CN"/>
              </w:rPr>
              <w:t>-3.90%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30天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非保本浮动收益</w:t>
            </w:r>
            <w:r>
              <w:rPr>
                <w:rFonts w:hint="default" w:ascii="Times New Roman" w:hAnsi="Times New Roman" w:eastAsia="宋体" w:cs="Times New Roman"/>
                <w:color w:val="000000"/>
                <w:sz w:val="21"/>
                <w:szCs w:val="21"/>
                <w:highlight w:val="none"/>
                <w:lang w:val="en-US" w:eastAsia="zh-CN"/>
              </w:rPr>
              <w:t>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否</w:t>
            </w:r>
          </w:p>
        </w:tc>
      </w:tr>
    </w:tbl>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highlight w:val="none"/>
        </w:rPr>
      </w:pPr>
      <w:r>
        <w:rPr>
          <w:rFonts w:eastAsiaTheme="minorEastAsia"/>
          <w:color w:val="000000"/>
          <w:sz w:val="24"/>
          <w:szCs w:val="24"/>
          <w:highlight w:val="none"/>
        </w:rPr>
        <w:t>公司使用部分闲置自有资金进行现金管理，投资购买的理财品种为安全性高、流动性好、低风险、短期（不超过1年）的理财产品，包括但不限于结构性存款、协定存款、通知存款、定期存款、大额存单、收益凭证等理财产品。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公司根据内部控制制度，对投资理财产品行为进行规范和控制，严格审批投资产品准入范围，确保现金管理事宜的有效开展和规范运行。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widowControl/>
        <w:spacing w:before="156" w:beforeLines="50" w:after="156" w:afterLines="50" w:line="360" w:lineRule="auto"/>
        <w:ind w:firstLine="422" w:firstLineChars="175"/>
        <w:jc w:val="left"/>
        <w:rPr>
          <w:rFonts w:hint="eastAsia" w:eastAsiaTheme="minorEastAsia"/>
          <w:b/>
          <w:color w:val="000000"/>
          <w:sz w:val="24"/>
          <w:szCs w:val="24"/>
        </w:rPr>
      </w:pPr>
      <w:r>
        <w:rPr>
          <w:rFonts w:hint="eastAsia" w:eastAsiaTheme="minorEastAsia"/>
          <w:b/>
          <w:color w:val="000000"/>
          <w:sz w:val="24"/>
          <w:szCs w:val="24"/>
        </w:rPr>
        <w:t>（一）委托理财合同主要条款</w:t>
      </w:r>
    </w:p>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color w:val="000000"/>
          <w:sz w:val="24"/>
          <w:szCs w:val="24"/>
          <w:highlight w:val="none"/>
          <w:lang w:val="en-US" w:eastAsia="zh-CN"/>
        </w:rPr>
        <w:t>1、</w:t>
      </w:r>
      <w:r>
        <w:rPr>
          <w:rFonts w:hint="default" w:ascii="Times New Roman" w:hAnsi="Times New Roman" w:eastAsia="宋体" w:cs="Times New Roman"/>
          <w:color w:val="000000"/>
          <w:sz w:val="24"/>
          <w:szCs w:val="24"/>
          <w:highlight w:val="none"/>
          <w:lang w:val="en-US" w:eastAsia="zh-CN"/>
        </w:rPr>
        <w:t>共赢稳健91</w:t>
      </w:r>
      <w:r>
        <w:rPr>
          <w:rFonts w:hint="eastAsia" w:cs="Times New Roman"/>
          <w:color w:val="000000"/>
          <w:sz w:val="24"/>
          <w:szCs w:val="24"/>
          <w:highlight w:val="none"/>
          <w:lang w:val="en-US" w:eastAsia="zh-CN"/>
        </w:rPr>
        <w:t>天</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6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中信银行理财之共赢稳健周期91天理财产品新客专享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A20SC5393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2021年4月23日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eastAsia="zh-CN"/>
              </w:rPr>
              <w:t>产品到期日期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2021年7月22日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5" w:type="pct"/>
            <w:vAlign w:val="center"/>
          </w:tcPr>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本产品募集资金主要投资于：</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（1）货币市场类：现金、存款、货币基金、质押式回购和其他货币市场类资产；</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（2）固定收益类：债券、资产支持证券、非公开定向债务融资工具、债券基金和其他固定收益类资产；</w:t>
            </w:r>
          </w:p>
          <w:p>
            <w:pPr>
              <w:autoSpaceDE w:val="0"/>
              <w:autoSpaceDN w:val="0"/>
              <w:adjustRightInd w:val="0"/>
              <w:spacing w:line="276" w:lineRule="auto"/>
              <w:jc w:val="left"/>
              <w:rPr>
                <w:rFonts w:eastAsiaTheme="minorEastAsia"/>
                <w:bCs/>
                <w:color w:val="000000"/>
                <w:kern w:val="0"/>
                <w:szCs w:val="21"/>
              </w:rPr>
            </w:pPr>
            <w:r>
              <w:rPr>
                <w:rFonts w:hint="eastAsia" w:eastAsiaTheme="minorEastAsia"/>
                <w:bCs/>
                <w:color w:val="000000"/>
                <w:kern w:val="0"/>
                <w:sz w:val="21"/>
                <w:szCs w:val="21"/>
                <w:lang w:val="en-US" w:eastAsia="zh-CN"/>
              </w:rPr>
              <w:t>（3）非标准化债权资产和其他类：符合监管机构要求的基金公司及其资产管理公司资产管理计划、证券公司及其资产管理公司资产管理计划、保险资产管理公司资产管理计划、信托计划、委托债权投资、人民币利率互换、人民币利率远期、信用风险缓释工具、国债期货及其他资产或者资产组合。</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2、</w:t>
      </w:r>
      <w:r>
        <w:rPr>
          <w:rFonts w:hint="eastAsia" w:eastAsiaTheme="minorEastAsia"/>
          <w:bCs/>
          <w:color w:val="000000"/>
          <w:kern w:val="0"/>
          <w:sz w:val="24"/>
          <w:szCs w:val="24"/>
        </w:rPr>
        <w:t>华夏理财固收增强周期30天A款</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6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华夏理财固</w:t>
            </w:r>
            <w:r>
              <w:rPr>
                <w:rFonts w:hint="eastAsia" w:eastAsiaTheme="minorEastAsia"/>
                <w:bCs/>
                <w:color w:val="000000"/>
                <w:kern w:val="0"/>
                <w:szCs w:val="21"/>
                <w:lang w:eastAsia="zh-CN"/>
              </w:rPr>
              <w:t>定</w:t>
            </w:r>
            <w:r>
              <w:rPr>
                <w:rFonts w:hint="eastAsia" w:eastAsiaTheme="minorEastAsia"/>
                <w:bCs/>
                <w:color w:val="000000"/>
                <w:kern w:val="0"/>
                <w:szCs w:val="21"/>
              </w:rPr>
              <w:t>收</w:t>
            </w:r>
            <w:r>
              <w:rPr>
                <w:rFonts w:hint="eastAsia" w:eastAsiaTheme="minorEastAsia"/>
                <w:bCs/>
                <w:color w:val="000000"/>
                <w:kern w:val="0"/>
                <w:szCs w:val="21"/>
                <w:lang w:eastAsia="zh-CN"/>
              </w:rPr>
              <w:t>益</w:t>
            </w:r>
            <w:r>
              <w:rPr>
                <w:rFonts w:hint="eastAsia" w:eastAsiaTheme="minorEastAsia"/>
                <w:bCs/>
                <w:color w:val="000000"/>
                <w:kern w:val="0"/>
                <w:szCs w:val="21"/>
              </w:rPr>
              <w:t>增强周期30天</w:t>
            </w:r>
            <w:r>
              <w:rPr>
                <w:rFonts w:hint="eastAsia" w:eastAsiaTheme="minorEastAsia"/>
                <w:bCs/>
                <w:color w:val="000000"/>
                <w:kern w:val="0"/>
                <w:szCs w:val="21"/>
                <w:lang w:eastAsia="zh-CN"/>
              </w:rPr>
              <w:t>理财产品</w:t>
            </w:r>
            <w:r>
              <w:rPr>
                <w:rFonts w:hint="eastAsia" w:eastAsiaTheme="minorEastAsia"/>
                <w:bCs/>
                <w:color w:val="000000"/>
                <w:kern w:val="0"/>
                <w:szCs w:val="21"/>
              </w:rPr>
              <w:t>A款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211918701001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highlight w:val="yellow"/>
                <w:lang w:val="en-US" w:eastAsia="zh-CN"/>
              </w:rPr>
            </w:pPr>
            <w:r>
              <w:rPr>
                <w:rFonts w:hint="eastAsia" w:eastAsiaTheme="minorEastAsia"/>
                <w:bCs/>
                <w:color w:val="000000"/>
                <w:kern w:val="0"/>
                <w:szCs w:val="21"/>
                <w:highlight w:val="none"/>
                <w:lang w:val="en-US" w:eastAsia="zh-CN"/>
              </w:rPr>
              <w:t>2021年4月27日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首个滚存到期日</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highlight w:val="yellow"/>
                <w:lang w:val="en-US" w:eastAsia="zh-CN"/>
              </w:rPr>
            </w:pPr>
            <w:r>
              <w:rPr>
                <w:rFonts w:hint="eastAsia" w:eastAsiaTheme="minorEastAsia"/>
                <w:bCs/>
                <w:color w:val="000000"/>
                <w:kern w:val="0"/>
                <w:szCs w:val="21"/>
                <w:highlight w:val="none"/>
                <w:lang w:val="en-US" w:eastAsia="zh-CN"/>
              </w:rPr>
              <w:t>2021年5月27日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79" w:type="pct"/>
            <w:vAlign w:val="center"/>
          </w:tcPr>
          <w:p>
            <w:pPr>
              <w:autoSpaceDE w:val="0"/>
              <w:autoSpaceDN w:val="0"/>
              <w:adjustRightInd w:val="0"/>
              <w:spacing w:line="276" w:lineRule="auto"/>
              <w:jc w:val="center"/>
              <w:rPr>
                <w:rFonts w:hint="default" w:eastAsiaTheme="minorEastAsia"/>
                <w:bCs/>
                <w:color w:val="000000" w:themeColor="text1"/>
                <w:kern w:val="0"/>
                <w:szCs w:val="21"/>
                <w:highlight w:val="none"/>
                <w:lang w:val="en-US" w:eastAsia="zh-CN"/>
                <w14:textFill>
                  <w14:solidFill>
                    <w14:schemeClr w14:val="tx1"/>
                  </w14:solidFill>
                </w14:textFill>
              </w:rPr>
            </w:pPr>
            <w:r>
              <w:rPr>
                <w:rFonts w:hint="eastAsia" w:eastAsiaTheme="minorEastAsia"/>
                <w:bCs/>
                <w:color w:val="000000" w:themeColor="text1"/>
                <w:kern w:val="0"/>
                <w:szCs w:val="21"/>
                <w:highlight w:val="none"/>
                <w:lang w:val="en-US" w:eastAsia="zh-CN"/>
                <w14:textFill>
                  <w14:solidFill>
                    <w14:schemeClr w14:val="tx1"/>
                  </w14:solidFill>
                </w14:textFill>
              </w:rPr>
              <w:t>3.30%-3.90%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keepNext w:val="0"/>
              <w:keepLines w:val="0"/>
              <w:widowControl/>
              <w:suppressLineNumbers w:val="0"/>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rPr>
              <w:t>投资周期</w:t>
            </w:r>
          </w:p>
        </w:tc>
        <w:tc>
          <w:tcPr>
            <w:tcW w:w="3679" w:type="pct"/>
            <w:vAlign w:val="center"/>
          </w:tcPr>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w:t>
            </w:r>
            <w:r>
              <w:rPr>
                <w:rFonts w:hint="default" w:eastAsiaTheme="minorEastAsia"/>
                <w:bCs/>
                <w:color w:val="000000"/>
                <w:kern w:val="0"/>
                <w:szCs w:val="21"/>
                <w:lang w:val="en-US" w:eastAsia="zh-CN"/>
              </w:rPr>
              <w:t>投资者购买本理财产品的每一笔份额，自成立日（含）/申购确认日（含）/上一投资周期到期日的下一自然日（含）起每30个自然日为一个投资周期。产品到期/终止时，投资者持有份额不满一个投资周期，则按照实际天数计算。投资周期内，投资者可根据赎回规定选择投资周期到期后是否赎回本理财产品。</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华夏理财将于投资周期到期日后2个工作日，根据实际投资结果向华夏银行/华夏理财客户及其他代销机构一次性划付理财本金及收益（如有），其他代销机构客户理财本金及收益（如有）的具体到账账户、到账日及到账时间以该代销机构划付规定为准。</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投资周期到期日如遇非工作日，则自动顺延至下一工作日。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keepNext w:val="0"/>
              <w:keepLines w:val="0"/>
              <w:widowControl/>
              <w:suppressLineNumbers w:val="0"/>
              <w:autoSpaceDE w:val="0"/>
              <w:autoSpaceDN w:val="0"/>
              <w:adjustRightInd w:val="0"/>
              <w:spacing w:line="276" w:lineRule="auto"/>
              <w:jc w:val="center"/>
              <w:rPr>
                <w:rFonts w:hint="eastAsia" w:eastAsiaTheme="minorEastAsia"/>
                <w:b/>
                <w:color w:val="000000"/>
                <w:kern w:val="0"/>
                <w:szCs w:val="21"/>
                <w:lang w:val="en-US" w:eastAsia="zh-CN"/>
              </w:rPr>
            </w:pPr>
            <w:r>
              <w:rPr>
                <w:rFonts w:hint="eastAsia" w:eastAsiaTheme="minorEastAsia"/>
                <w:b/>
                <w:color w:val="000000"/>
                <w:kern w:val="0"/>
                <w:szCs w:val="21"/>
                <w:lang w:val="en-US" w:eastAsia="zh-CN"/>
              </w:rPr>
              <w:t>赎回规定</w:t>
            </w:r>
          </w:p>
        </w:tc>
        <w:tc>
          <w:tcPr>
            <w:tcW w:w="3679" w:type="pct"/>
            <w:vAlign w:val="center"/>
          </w:tcPr>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投资者购买本理财产品时应就每笔认/申购资金选择本投资周期到期后是否赎回产品：</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1.如选择赎回，则投资周期到期后自动赎回。</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2.如选择续投，则投资周期到期后自动续期，直至产品到期或投资者取消续投。续投后的投资周期自上一投资周期到期日的下一自然日（含）起计算。</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3.每一笔购买交易存续的当个投资周期到期日前2个工作日的开放时间结束前，投资者均可变更赎回或续投选择。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9"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本产品主要投资于货币市场工具、标准化债权类资产、权益类资产、商品及金融衍生品类资产及资产管理产品，其中投资的资管产品需符合产品约定的投资范围。</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其中货币市场工具包括但不限于银行存款、大额存单、同业存单（CD）、短期融资券、超短期融资券、剩余期限在397天以内（含397天）的债券、期限在一年以内（含一年）的债券回购、期限在一年以内（含一年）的中央银行票据、货币市场基金以及中国人民银行、中国银保监会认可的其他具有良好流动性的金融工具；</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标准化债权类资产包括但不限于国债、中央银行票据、地方政府债券、政府支持机构债券、金融债券、非金融企业债务融资工具、公司债券、企业债券、国际机构债券、同业存单、信贷资产支持证券、资产支持票据、证券交易所挂牌交易的资产支持证券、固定收益类公开募集证券投资基金，以及《标准化债权类资产认定规则》认定的标准化债权类资产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权益类资产包括但不限于国内依法发行和上市的股票（包括主板、创业板、中小板、科创板以及其他经中国证监会核准上市的股票，包括新股申购、定向增发、大宗交易、询价转让等）、内地与香港股票市场交易互联互通机制允许买卖的香港市场股票，以及股票型、混合型公募证券投资基金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商品类资产包括贵金属和大宗商品类等以实物形式存在的商品资产；金融衍生品类资产包括但不限于远期合同、期货合同、互换和期权，以及具有远期合同、期货合同、互换和期权中一种或一种以上特征的工具。</w:t>
            </w:r>
          </w:p>
        </w:tc>
      </w:tr>
    </w:tbl>
    <w:p>
      <w:pPr>
        <w:widowControl/>
        <w:spacing w:before="156" w:beforeLines="50" w:after="156" w:afterLines="50" w:line="360" w:lineRule="auto"/>
        <w:ind w:left="0" w:leftChars="0" w:firstLine="0" w:firstLineChars="0"/>
        <w:jc w:val="left"/>
        <w:rPr>
          <w:rFonts w:hint="default" w:eastAsiaTheme="minorEastAsia"/>
          <w:color w:val="000000"/>
          <w:sz w:val="24"/>
          <w:szCs w:val="24"/>
          <w:highlight w:val="none"/>
          <w:lang w:val="en-US" w:eastAsia="zh-CN"/>
        </w:rPr>
      </w:pPr>
      <w:r>
        <w:rPr>
          <w:rFonts w:hint="eastAsia" w:eastAsiaTheme="minorEastAsia"/>
          <w:color w:val="000000"/>
          <w:sz w:val="24"/>
          <w:szCs w:val="24"/>
          <w:highlight w:val="none"/>
          <w:lang w:val="en-US" w:eastAsia="zh-CN"/>
        </w:rPr>
        <w:t>3、</w:t>
      </w:r>
      <w:r>
        <w:rPr>
          <w:rFonts w:ascii="宋体" w:hAnsi="宋体" w:eastAsia="宋体" w:cs="宋体"/>
          <w:sz w:val="24"/>
          <w:szCs w:val="24"/>
        </w:rPr>
        <w:t>赢家易精灵</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赢家易精灵GKF12001期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产品代码</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eastAsia" w:eastAsiaTheme="minorEastAsia"/>
                <w:bCs/>
                <w:color w:val="000000"/>
                <w:kern w:val="0"/>
                <w:szCs w:val="21"/>
              </w:rPr>
              <w:t>GKF12001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产品期限</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1,</w:t>
            </w:r>
            <w:r>
              <w:rPr>
                <w:rFonts w:hint="eastAsia" w:eastAsiaTheme="minorEastAsia"/>
                <w:bCs/>
                <w:color w:val="000000"/>
                <w:kern w:val="0"/>
                <w:szCs w:val="21"/>
                <w:lang w:val="en-US" w:eastAsia="zh-CN"/>
              </w:rPr>
              <w:t>5</w:t>
            </w:r>
            <w:r>
              <w:rPr>
                <w:rFonts w:hint="eastAsia" w:eastAsiaTheme="minorEastAsia"/>
                <w:bCs/>
                <w:color w:val="000000"/>
                <w:kern w:val="0"/>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lang w:eastAsia="zh-CN"/>
              </w:rPr>
              <w:t>非</w:t>
            </w:r>
            <w:r>
              <w:rPr>
                <w:rFonts w:hint="eastAsia" w:eastAsiaTheme="minorEastAsia"/>
                <w:bCs/>
                <w:color w:val="000000"/>
                <w:kern w:val="0"/>
                <w:szCs w:val="21"/>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202</w:t>
            </w:r>
            <w:r>
              <w:rPr>
                <w:rFonts w:hint="eastAsia" w:eastAsiaTheme="minorEastAsia"/>
                <w:bCs/>
                <w:color w:val="000000"/>
                <w:kern w:val="0"/>
                <w:szCs w:val="21"/>
                <w:lang w:val="en-US" w:eastAsia="zh-CN"/>
              </w:rPr>
              <w:t>1</w:t>
            </w:r>
            <w:r>
              <w:rPr>
                <w:rFonts w:hint="eastAsia" w:eastAsiaTheme="minorEastAsia"/>
                <w:bCs/>
                <w:color w:val="000000"/>
                <w:kern w:val="0"/>
                <w:szCs w:val="21"/>
              </w:rPr>
              <w:t>年</w:t>
            </w:r>
            <w:r>
              <w:rPr>
                <w:rFonts w:hint="eastAsia" w:eastAsiaTheme="minorEastAsia"/>
                <w:bCs/>
                <w:color w:val="000000"/>
                <w:kern w:val="0"/>
                <w:szCs w:val="21"/>
                <w:lang w:val="en-US" w:eastAsia="zh-CN"/>
              </w:rPr>
              <w:t>4</w:t>
            </w:r>
            <w:r>
              <w:rPr>
                <w:rFonts w:hint="eastAsia" w:eastAsiaTheme="minorEastAsia"/>
                <w:bCs/>
                <w:color w:val="000000"/>
                <w:kern w:val="0"/>
                <w:szCs w:val="21"/>
              </w:rPr>
              <w:t>月</w:t>
            </w:r>
            <w:r>
              <w:rPr>
                <w:rFonts w:hint="eastAsia" w:eastAsiaTheme="minorEastAsia"/>
                <w:bCs/>
                <w:color w:val="000000"/>
                <w:kern w:val="0"/>
                <w:szCs w:val="21"/>
                <w:lang w:val="en-US" w:eastAsia="zh-CN"/>
              </w:rPr>
              <w:t>30</w:t>
            </w:r>
            <w:r>
              <w:rPr>
                <w:rFonts w:hint="eastAsia" w:eastAsiaTheme="minorEastAsia"/>
                <w:bCs/>
                <w:color w:val="000000"/>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产品预期年化收益率</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资金投向</w:t>
            </w:r>
          </w:p>
        </w:tc>
        <w:tc>
          <w:tcPr>
            <w:tcW w:w="3636" w:type="pct"/>
            <w:vAlign w:val="center"/>
          </w:tcPr>
          <w:p>
            <w:pPr>
              <w:autoSpaceDE w:val="0"/>
              <w:autoSpaceDN w:val="0"/>
              <w:adjustRightInd w:val="0"/>
              <w:spacing w:line="276" w:lineRule="auto"/>
              <w:jc w:val="both"/>
              <w:rPr>
                <w:rFonts w:hint="eastAsia" w:eastAsiaTheme="minorEastAsia"/>
                <w:bCs/>
                <w:color w:val="000000"/>
                <w:kern w:val="0"/>
                <w:szCs w:val="21"/>
              </w:rPr>
            </w:pPr>
            <w:r>
              <w:rPr>
                <w:rFonts w:hint="eastAsia" w:eastAsiaTheme="minorEastAsia"/>
                <w:bCs/>
                <w:color w:val="000000"/>
                <w:kern w:val="0"/>
                <w:szCs w:val="21"/>
                <w:lang w:eastAsia="zh-CN"/>
              </w:rPr>
              <w:t>本理财计划投资于银行间和交易所市场信用级别较高、流动性较好的金融资产和金融工具，包括但不限于债券、资产支持证券、资金拆借、逆回购、银行存款、券商收益凭证等资产，并可投资信托计划、资产管理计划（含不良信贷资产受益权）等其他金融资产。</w:t>
            </w:r>
          </w:p>
        </w:tc>
      </w:tr>
    </w:tbl>
    <w:p>
      <w:pPr>
        <w:widowControl/>
        <w:spacing w:before="156" w:beforeLines="50" w:after="156" w:afterLines="50" w:line="360" w:lineRule="auto"/>
        <w:ind w:left="0" w:leftChars="0" w:firstLine="0" w:firstLineChars="0"/>
        <w:jc w:val="left"/>
        <w:rPr>
          <w:rFonts w:hint="default" w:eastAsiaTheme="minorEastAsia"/>
          <w:color w:val="000000"/>
          <w:sz w:val="24"/>
          <w:szCs w:val="24"/>
          <w:highlight w:val="none"/>
          <w:lang w:val="en-US" w:eastAsia="zh-CN"/>
        </w:rPr>
      </w:pPr>
      <w:r>
        <w:rPr>
          <w:rFonts w:hint="eastAsia" w:eastAsiaTheme="minorEastAsia"/>
          <w:color w:val="000000"/>
          <w:sz w:val="24"/>
          <w:szCs w:val="24"/>
          <w:highlight w:val="none"/>
          <w:lang w:val="en-US" w:eastAsia="zh-CN"/>
        </w:rPr>
        <w:t>4、</w:t>
      </w:r>
      <w:r>
        <w:rPr>
          <w:rFonts w:eastAsiaTheme="minorEastAsia"/>
          <w:color w:val="000000"/>
          <w:sz w:val="24"/>
          <w:szCs w:val="24"/>
          <w:highlight w:val="none"/>
        </w:rPr>
        <w:t>共赢</w:t>
      </w:r>
      <w:r>
        <w:rPr>
          <w:rFonts w:hint="eastAsia" w:eastAsiaTheme="minorEastAsia"/>
          <w:color w:val="000000"/>
          <w:sz w:val="24"/>
          <w:szCs w:val="24"/>
          <w:highlight w:val="none"/>
          <w:lang w:eastAsia="zh-CN"/>
        </w:rPr>
        <w:t>稳健</w:t>
      </w:r>
      <w:r>
        <w:rPr>
          <w:rFonts w:hint="eastAsia" w:eastAsiaTheme="minorEastAsia"/>
          <w:color w:val="000000"/>
          <w:sz w:val="24"/>
          <w:szCs w:val="24"/>
          <w:highlight w:val="none"/>
          <w:lang w:val="en-US" w:eastAsia="zh-CN"/>
        </w:rPr>
        <w:t>91天</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widowControl/>
              <w:spacing w:line="276" w:lineRule="auto"/>
              <w:jc w:val="center"/>
              <w:textAlignment w:val="center"/>
              <w:rPr>
                <w:rFonts w:eastAsiaTheme="minorEastAsia"/>
                <w:bCs/>
                <w:color w:val="000000"/>
                <w:kern w:val="0"/>
                <w:sz w:val="21"/>
                <w:szCs w:val="21"/>
                <w:highlight w:val="none"/>
              </w:rPr>
            </w:pPr>
            <w:r>
              <w:rPr>
                <w:rFonts w:ascii="宋体" w:hAnsi="宋体" w:eastAsia="宋体" w:cs="宋体"/>
                <w:sz w:val="21"/>
                <w:szCs w:val="21"/>
              </w:rPr>
              <w:t>中信银行理财之共赢稳健</w:t>
            </w:r>
            <w:r>
              <w:rPr>
                <w:rFonts w:hint="default" w:ascii="Times New Roman" w:hAnsi="Times New Roman" w:eastAsia="宋体" w:cs="Times New Roman"/>
                <w:sz w:val="21"/>
                <w:szCs w:val="21"/>
              </w:rPr>
              <w:t>周期91天</w:t>
            </w:r>
            <w:r>
              <w:rPr>
                <w:rFonts w:ascii="宋体" w:hAnsi="宋体" w:eastAsia="宋体" w:cs="宋体"/>
                <w:sz w:val="21"/>
                <w:szCs w:val="21"/>
              </w:rPr>
              <w:t>理财产品新客专享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产品代码</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A20SC5393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产品期限</w:t>
            </w:r>
          </w:p>
        </w:tc>
        <w:tc>
          <w:tcPr>
            <w:tcW w:w="3636" w:type="pct"/>
            <w:vAlign w:val="center"/>
          </w:tcPr>
          <w:p>
            <w:pPr>
              <w:widowControl/>
              <w:spacing w:line="276" w:lineRule="auto"/>
              <w:jc w:val="center"/>
              <w:textAlignment w:val="center"/>
              <w:rPr>
                <w:rFonts w:eastAsiaTheme="minorEastAsia"/>
                <w:bCs/>
                <w:color w:val="000000"/>
                <w:kern w:val="0"/>
                <w:szCs w:val="21"/>
                <w:highlight w:val="yellow"/>
              </w:rPr>
            </w:pPr>
            <w:r>
              <w:rPr>
                <w:rFonts w:hint="eastAsia" w:eastAsiaTheme="minorEastAsia"/>
                <w:color w:val="000000"/>
                <w:kern w:val="0"/>
                <w:szCs w:val="21"/>
                <w:highlight w:val="none"/>
                <w:lang w:val="en-US" w:eastAsia="zh-CN" w:bidi="ar"/>
              </w:rPr>
              <w:t>91</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5</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8</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产品到期日期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8</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6</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jc w:val="left"/>
              <w:textAlignment w:val="center"/>
              <w:rPr>
                <w:rFonts w:eastAsiaTheme="minorEastAsia"/>
                <w:color w:val="000000"/>
                <w:kern w:val="0"/>
                <w:sz w:val="21"/>
                <w:szCs w:val="21"/>
                <w:highlight w:val="none"/>
                <w:lang w:bidi="ar"/>
              </w:rPr>
            </w:pPr>
            <w:r>
              <w:rPr>
                <w:rFonts w:eastAsiaTheme="minorEastAsia"/>
                <w:color w:val="000000"/>
                <w:kern w:val="0"/>
                <w:sz w:val="21"/>
                <w:szCs w:val="21"/>
                <w:highlight w:val="none"/>
                <w:lang w:bidi="ar"/>
              </w:rPr>
              <w:t>本产品募集资金主要投资于：</w:t>
            </w:r>
          </w:p>
          <w:p>
            <w:pPr>
              <w:widowControl/>
              <w:numPr>
                <w:ilvl w:val="0"/>
                <w:numId w:val="0"/>
              </w:numPr>
              <w:spacing w:line="276" w:lineRule="auto"/>
              <w:jc w:val="left"/>
              <w:textAlignment w:val="center"/>
              <w:rPr>
                <w:rFonts w:ascii="宋体" w:hAnsi="宋体" w:eastAsia="宋体" w:cs="宋体"/>
                <w:sz w:val="21"/>
                <w:szCs w:val="21"/>
              </w:rPr>
            </w:pP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lang w:eastAsia="zh-CN"/>
              </w:rPr>
              <w:t>）</w:t>
            </w:r>
            <w:r>
              <w:rPr>
                <w:rFonts w:ascii="宋体" w:hAnsi="宋体" w:eastAsia="宋体" w:cs="宋体"/>
                <w:sz w:val="21"/>
                <w:szCs w:val="21"/>
              </w:rPr>
              <w:t>货币市场类：现金、存款、货币基金、质押式回购和其他货币市场类资产；</w:t>
            </w:r>
          </w:p>
          <w:p>
            <w:pPr>
              <w:widowControl/>
              <w:numPr>
                <w:ilvl w:val="0"/>
                <w:numId w:val="0"/>
              </w:numPr>
              <w:spacing w:line="276" w:lineRule="auto"/>
              <w:jc w:val="left"/>
              <w:textAlignment w:val="center"/>
              <w:rPr>
                <w:rFonts w:eastAsiaTheme="minorEastAsia"/>
                <w:color w:val="000000"/>
                <w:kern w:val="0"/>
                <w:sz w:val="21"/>
                <w:szCs w:val="21"/>
                <w:highlight w:val="none"/>
                <w:lang w:bidi="ar"/>
              </w:rPr>
            </w:pPr>
            <w:r>
              <w:rPr>
                <w:rFonts w:hint="eastAsia" w:eastAsiaTheme="minorEastAsia"/>
                <w:color w:val="000000"/>
                <w:kern w:val="0"/>
                <w:sz w:val="21"/>
                <w:szCs w:val="21"/>
                <w:highlight w:val="none"/>
                <w:lang w:eastAsia="zh-CN" w:bidi="ar"/>
              </w:rPr>
              <w:t>（</w:t>
            </w:r>
            <w:r>
              <w:rPr>
                <w:rFonts w:hint="eastAsia" w:eastAsiaTheme="minorEastAsia"/>
                <w:color w:val="000000"/>
                <w:kern w:val="0"/>
                <w:sz w:val="21"/>
                <w:szCs w:val="21"/>
                <w:highlight w:val="none"/>
                <w:lang w:val="en-US" w:eastAsia="zh-CN" w:bidi="ar"/>
              </w:rPr>
              <w:t>2</w:t>
            </w:r>
            <w:r>
              <w:rPr>
                <w:rFonts w:hint="eastAsia" w:eastAsiaTheme="minorEastAsia"/>
                <w:color w:val="000000"/>
                <w:kern w:val="0"/>
                <w:sz w:val="21"/>
                <w:szCs w:val="21"/>
                <w:highlight w:val="none"/>
                <w:lang w:eastAsia="zh-CN" w:bidi="ar"/>
              </w:rPr>
              <w:t>）</w:t>
            </w:r>
            <w:r>
              <w:rPr>
                <w:rFonts w:eastAsiaTheme="minorEastAsia"/>
                <w:color w:val="000000"/>
                <w:kern w:val="0"/>
                <w:sz w:val="21"/>
                <w:szCs w:val="21"/>
                <w:highlight w:val="none"/>
                <w:lang w:bidi="ar"/>
              </w:rPr>
              <w:t>固定收益类：债券、资产支持证券、非公开定向债务融资工具、债券基金和其他固定收益类资产；</w:t>
            </w:r>
          </w:p>
          <w:p>
            <w:pPr>
              <w:widowControl/>
              <w:spacing w:line="276" w:lineRule="auto"/>
              <w:jc w:val="left"/>
              <w:textAlignment w:val="center"/>
              <w:rPr>
                <w:rFonts w:eastAsiaTheme="minorEastAsia"/>
                <w:color w:val="000000"/>
                <w:kern w:val="0"/>
                <w:szCs w:val="21"/>
                <w:highlight w:val="yellow"/>
                <w:lang w:bidi="ar"/>
              </w:rPr>
            </w:pPr>
            <w:r>
              <w:rPr>
                <w:rFonts w:eastAsiaTheme="minorEastAsia"/>
                <w:color w:val="000000"/>
                <w:kern w:val="0"/>
                <w:sz w:val="21"/>
                <w:szCs w:val="21"/>
                <w:highlight w:val="none"/>
                <w:lang w:bidi="ar"/>
              </w:rPr>
              <w:t>（3）</w:t>
            </w:r>
            <w:r>
              <w:rPr>
                <w:rFonts w:ascii="宋体" w:hAnsi="宋体" w:eastAsia="宋体" w:cs="宋体"/>
                <w:sz w:val="21"/>
                <w:szCs w:val="21"/>
              </w:rPr>
              <w:t>非标准化债权资产和其他类：符合监管机构要求的基金公司及其资产管理公司资产管理计划、证券公司及其资产管理公司资产管理计划、保险资产管理公司资产管理计划、信托计划、委托债权投资、人民币利率互换、人民币利率远期、信用风险缓释工具、国债期货及其他资产或者资产组合。</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5、共赢智信结构性存款04151期</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6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共赢智信汇率挂钩人民币结构性存款04151期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C21VY0108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cs="Times New Roman"/>
                <w:color w:val="000000"/>
                <w:kern w:val="2"/>
                <w:sz w:val="21"/>
                <w:szCs w:val="21"/>
                <w:highlight w:val="none"/>
                <w:vertAlign w:val="baseline"/>
                <w:lang w:val="en-US" w:eastAsia="zh-CN" w:bidi="ar-SA"/>
              </w:rPr>
              <w:t>2</w:t>
            </w:r>
            <w:r>
              <w:rPr>
                <w:rFonts w:hint="default" w:ascii="Times New Roman" w:hAnsi="Times New Roman" w:eastAsia="宋体" w:cs="Times New Roman"/>
                <w:color w:val="000000"/>
                <w:kern w:val="2"/>
                <w:sz w:val="21"/>
                <w:szCs w:val="21"/>
                <w:highlight w:val="none"/>
                <w:vertAlign w:val="baseline"/>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2021年05月10日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eastAsia="zh-CN"/>
              </w:rPr>
              <w:t>产品到期日期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2021年08月09日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eastAsia" w:eastAsiaTheme="minorEastAsia"/>
                <w:b/>
                <w:bCs/>
                <w:color w:val="000000"/>
                <w:kern w:val="0"/>
                <w:szCs w:val="21"/>
                <w:lang w:eastAsia="zh-CN"/>
              </w:rPr>
            </w:pPr>
            <w:r>
              <w:rPr>
                <w:rFonts w:hint="eastAsia" w:eastAsiaTheme="minorEastAsia"/>
                <w:b/>
                <w:color w:val="000000"/>
                <w:kern w:val="0"/>
                <w:szCs w:val="21"/>
                <w:highlight w:val="none"/>
                <w:lang w:eastAsia="zh-CN"/>
              </w:rPr>
              <w:t>产品观察日期</w:t>
            </w:r>
          </w:p>
        </w:tc>
        <w:tc>
          <w:tcPr>
            <w:tcW w:w="3675" w:type="pct"/>
            <w:vAlign w:val="center"/>
          </w:tcPr>
          <w:p>
            <w:pPr>
              <w:autoSpaceDE w:val="0"/>
              <w:autoSpaceDN w:val="0"/>
              <w:adjustRightInd w:val="0"/>
              <w:spacing w:line="276" w:lineRule="auto"/>
              <w:jc w:val="center"/>
              <w:rPr>
                <w:rFonts w:hint="eastAsia" w:eastAsiaTheme="minorEastAsia"/>
                <w:bCs/>
                <w:color w:val="000000"/>
                <w:kern w:val="0"/>
                <w:szCs w:val="21"/>
                <w:lang w:val="en-US" w:eastAsia="zh-CN"/>
              </w:rPr>
            </w:pPr>
            <w:r>
              <w:rPr>
                <w:rFonts w:hint="eastAsia" w:eastAsiaTheme="minorEastAsia"/>
                <w:bCs/>
                <w:color w:val="000000"/>
                <w:kern w:val="0"/>
                <w:szCs w:val="21"/>
                <w:lang w:val="en-US" w:eastAsia="zh-CN"/>
              </w:rPr>
              <w:t>2021年08月04日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Merge w:val="restar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挂钩标的</w:t>
            </w:r>
          </w:p>
        </w:tc>
        <w:tc>
          <w:tcPr>
            <w:tcW w:w="3675" w:type="pct"/>
            <w:vAlign w:val="center"/>
          </w:tcPr>
          <w:p>
            <w:pPr>
              <w:widowControl/>
              <w:spacing w:line="276" w:lineRule="auto"/>
              <w:jc w:val="left"/>
              <w:textAlignment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定盘价格</w:t>
            </w:r>
            <w:r>
              <w:rPr>
                <w:rFonts w:hint="eastAsia" w:eastAsiaTheme="minorEastAsia"/>
                <w:bCs/>
                <w:color w:val="000000"/>
                <w:kern w:val="0"/>
                <w:szCs w:val="21"/>
                <w:lang w:val="en-US" w:eastAsia="zh-CN"/>
              </w:rPr>
              <w:t>：</w:t>
            </w:r>
            <w:r>
              <w:rPr>
                <w:rFonts w:hint="default" w:eastAsiaTheme="minorEastAsia"/>
                <w:bCs/>
                <w:color w:val="000000"/>
                <w:kern w:val="0"/>
                <w:szCs w:val="21"/>
                <w:lang w:val="en-US" w:eastAsia="zh-CN"/>
              </w:rPr>
              <w:t>英镑/日元即期汇率价格，即彭博页面BFIX</w:t>
            </w:r>
            <w:r>
              <w:rPr>
                <w:rFonts w:hint="eastAsia" w:asciiTheme="minorEastAsia" w:hAnsiTheme="minorEastAsia" w:eastAsiaTheme="minorEastAsia" w:cstheme="minorEastAsia"/>
                <w:bCs/>
                <w:color w:val="000000"/>
                <w:kern w:val="0"/>
                <w:szCs w:val="21"/>
                <w:lang w:val="en-US" w:eastAsia="zh-CN"/>
              </w:rPr>
              <w:t>”</w:t>
            </w:r>
            <w:r>
              <w:rPr>
                <w:rFonts w:hint="default" w:eastAsiaTheme="minorEastAsia"/>
                <w:bCs/>
                <w:color w:val="000000"/>
                <w:kern w:val="0"/>
                <w:szCs w:val="21"/>
                <w:lang w:val="en-US" w:eastAsia="zh-CN"/>
              </w:rPr>
              <w:t>屏显示的东京时间下午3:00的GBPJPY Currency的值。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Merge w:val="continue"/>
            <w:vAlign w:val="center"/>
          </w:tcPr>
          <w:p>
            <w:pPr>
              <w:widowControl/>
              <w:spacing w:line="276" w:lineRule="auto"/>
              <w:jc w:val="center"/>
              <w:textAlignment w:val="center"/>
              <w:rPr>
                <w:rFonts w:eastAsiaTheme="minorEastAsia"/>
                <w:b/>
                <w:color w:val="000000"/>
                <w:kern w:val="0"/>
                <w:szCs w:val="21"/>
              </w:rPr>
            </w:pPr>
          </w:p>
        </w:tc>
        <w:tc>
          <w:tcPr>
            <w:tcW w:w="3675" w:type="pct"/>
            <w:vAlign w:val="center"/>
          </w:tcPr>
          <w:p>
            <w:pPr>
              <w:widowControl/>
              <w:spacing w:line="276" w:lineRule="auto"/>
              <w:jc w:val="left"/>
              <w:textAlignment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期初价格</w:t>
            </w:r>
            <w:r>
              <w:rPr>
                <w:rFonts w:hint="eastAsia" w:eastAsiaTheme="minorEastAsia"/>
                <w:bCs/>
                <w:color w:val="000000"/>
                <w:kern w:val="0"/>
                <w:szCs w:val="21"/>
                <w:lang w:val="en-US" w:eastAsia="zh-CN"/>
              </w:rPr>
              <w:t>：</w:t>
            </w:r>
            <w:r>
              <w:rPr>
                <w:rFonts w:hint="default" w:eastAsiaTheme="minorEastAsia"/>
                <w:bCs/>
                <w:color w:val="000000"/>
                <w:kern w:val="0"/>
                <w:szCs w:val="21"/>
                <w:lang w:val="en-US" w:eastAsia="zh-CN"/>
              </w:rPr>
              <w:t>2021年05月11日的定盘价格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Merge w:val="continue"/>
            <w:vAlign w:val="center"/>
          </w:tcPr>
          <w:p>
            <w:pPr>
              <w:spacing w:line="276" w:lineRule="auto"/>
              <w:jc w:val="center"/>
              <w:rPr>
                <w:rFonts w:eastAsiaTheme="minorEastAsia"/>
                <w:b/>
                <w:color w:val="000000"/>
                <w:kern w:val="0"/>
                <w:szCs w:val="21"/>
              </w:rPr>
            </w:pPr>
          </w:p>
        </w:tc>
        <w:tc>
          <w:tcPr>
            <w:tcW w:w="3675" w:type="pct"/>
            <w:vAlign w:val="center"/>
          </w:tcPr>
          <w:p>
            <w:pPr>
              <w:widowControl/>
              <w:spacing w:line="276" w:lineRule="auto"/>
              <w:jc w:val="left"/>
              <w:textAlignment w:val="center"/>
              <w:rPr>
                <w:rFonts w:eastAsiaTheme="minorEastAsia"/>
                <w:bCs/>
                <w:color w:val="000000"/>
                <w:kern w:val="0"/>
                <w:szCs w:val="21"/>
              </w:rPr>
            </w:pPr>
            <w:r>
              <w:rPr>
                <w:rFonts w:hint="eastAsia" w:eastAsiaTheme="minorEastAsia"/>
                <w:bCs/>
                <w:color w:val="000000"/>
                <w:kern w:val="0"/>
                <w:szCs w:val="21"/>
              </w:rPr>
              <w:t>期末价格</w:t>
            </w:r>
            <w:r>
              <w:rPr>
                <w:rFonts w:hint="eastAsia" w:eastAsiaTheme="minorEastAsia"/>
                <w:bCs/>
                <w:color w:val="000000"/>
                <w:kern w:val="0"/>
                <w:szCs w:val="21"/>
                <w:lang w:eastAsia="zh-CN"/>
              </w:rPr>
              <w:t>：</w:t>
            </w:r>
            <w:r>
              <w:rPr>
                <w:rFonts w:hint="eastAsia" w:eastAsiaTheme="minorEastAsia"/>
                <w:bCs/>
                <w:color w:val="000000"/>
                <w:kern w:val="0"/>
                <w:szCs w:val="21"/>
              </w:rPr>
              <w:t>联系标的观察日的定盘价格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widowControl/>
              <w:spacing w:line="276" w:lineRule="auto"/>
              <w:jc w:val="center"/>
              <w:textAlignment w:val="center"/>
              <w:rPr>
                <w:rFonts w:ascii="Times New Roman" w:hAnsi="Times New Roman" w:cs="Times New Roman" w:eastAsiaTheme="minorEastAsia"/>
                <w:b/>
                <w:color w:val="000000"/>
                <w:kern w:val="0"/>
                <w:sz w:val="21"/>
                <w:szCs w:val="21"/>
                <w:lang w:val="en-US" w:eastAsia="zh-CN" w:bidi="ar"/>
              </w:rPr>
            </w:pPr>
            <w:r>
              <w:rPr>
                <w:rFonts w:eastAsiaTheme="minorEastAsia"/>
                <w:b/>
                <w:color w:val="000000"/>
                <w:kern w:val="0"/>
                <w:szCs w:val="21"/>
                <w:lang w:bidi="ar"/>
              </w:rPr>
              <w:t>产品预期年化收益率</w:t>
            </w:r>
          </w:p>
        </w:tc>
        <w:tc>
          <w:tcPr>
            <w:tcW w:w="3675" w:type="pct"/>
            <w:vAlign w:val="center"/>
          </w:tcPr>
          <w:p>
            <w:pPr>
              <w:widowControl/>
              <w:numPr>
                <w:ilvl w:val="0"/>
                <w:numId w:val="0"/>
              </w:numPr>
              <w:spacing w:line="276" w:lineRule="auto"/>
              <w:ind w:left="0" w:leftChars="0" w:firstLine="0" w:firstLineChars="0"/>
              <w:jc w:val="left"/>
              <w:textAlignment w:val="center"/>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eastAsiaTheme="minorEastAsia"/>
                <w:color w:val="000000"/>
                <w:kern w:val="0"/>
                <w:sz w:val="21"/>
                <w:szCs w:val="21"/>
                <w:highlight w:val="none"/>
                <w:lang w:val="en-US" w:eastAsia="zh-CN" w:bidi="ar"/>
              </w:rPr>
              <w:t>构性存款利率确定方式如下：（根据每期产品情况实际确定）</w:t>
            </w:r>
          </w:p>
          <w:p>
            <w:pPr>
              <w:widowControl/>
              <w:numPr>
                <w:ilvl w:val="0"/>
                <w:numId w:val="2"/>
              </w:numPr>
              <w:spacing w:line="276" w:lineRule="auto"/>
              <w:ind w:left="0" w:leftChars="0" w:firstLine="0" w:firstLineChars="0"/>
              <w:jc w:val="left"/>
              <w:textAlignment w:val="center"/>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eastAsiaTheme="minorEastAsia"/>
                <w:color w:val="000000"/>
                <w:kern w:val="0"/>
                <w:sz w:val="21"/>
                <w:szCs w:val="21"/>
                <w:highlight w:val="none"/>
                <w:lang w:val="en-US" w:eastAsia="zh-CN" w:bidi="ar"/>
              </w:rPr>
              <w:t>如果在联系标的观察日，联系标的“英镑/日元即期汇率”期末价格相对于期初价格上涨且涨幅超过3%，产品年化收益率为预期最高收益率3.45%；</w:t>
            </w:r>
          </w:p>
          <w:p>
            <w:pPr>
              <w:widowControl/>
              <w:numPr>
                <w:ilvl w:val="0"/>
                <w:numId w:val="2"/>
              </w:numPr>
              <w:spacing w:line="276" w:lineRule="auto"/>
              <w:ind w:left="0" w:leftChars="0" w:firstLine="0" w:firstLineChars="0"/>
              <w:jc w:val="left"/>
              <w:textAlignment w:val="center"/>
              <w:rPr>
                <w:rFonts w:hint="eastAsia" w:ascii="Times New Roman" w:hAnsi="Times New Roman" w:cs="Times New Roman" w:eastAsiaTheme="minorEastAsia"/>
                <w:color w:val="000000"/>
                <w:kern w:val="0"/>
                <w:sz w:val="21"/>
                <w:szCs w:val="21"/>
                <w:highlight w:val="none"/>
                <w:lang w:val="en-US" w:eastAsia="zh-CN" w:bidi="ar"/>
              </w:rPr>
            </w:pPr>
            <w:r>
              <w:rPr>
                <w:rFonts w:hint="eastAsia" w:ascii="Times New Roman" w:hAnsi="Times New Roman" w:cs="Times New Roman" w:eastAsiaTheme="minorEastAsia"/>
                <w:color w:val="000000"/>
                <w:kern w:val="0"/>
                <w:sz w:val="21"/>
                <w:szCs w:val="21"/>
                <w:highlight w:val="none"/>
                <w:lang w:val="en-US" w:eastAsia="zh-CN" w:bidi="ar"/>
              </w:rPr>
              <w:t>如果在联系标的观察日，联系标的“英镑/日元即期汇率”期末价格相对于期初价格上涨且涨幅小于等于3%或持平或下跌且跌幅小于等于30%，产品年化收益率为预期收益率3.05%；</w:t>
            </w:r>
          </w:p>
          <w:p>
            <w:pPr>
              <w:widowControl/>
              <w:numPr>
                <w:ilvl w:val="0"/>
                <w:numId w:val="0"/>
              </w:numPr>
              <w:spacing w:line="276" w:lineRule="auto"/>
              <w:ind w:leftChars="0"/>
              <w:jc w:val="left"/>
              <w:textAlignment w:val="center"/>
              <w:rPr>
                <w:rFonts w:ascii="Times New Roman" w:hAnsi="Times New Roman" w:cs="Times New Roman" w:eastAsiaTheme="minorEastAsia"/>
                <w:color w:val="000000"/>
                <w:kern w:val="0"/>
                <w:sz w:val="21"/>
                <w:szCs w:val="21"/>
                <w:highlight w:val="yellow"/>
                <w:lang w:val="en-US" w:eastAsia="zh-CN" w:bidi="ar"/>
              </w:rPr>
            </w:pPr>
            <w:r>
              <w:rPr>
                <w:rFonts w:hint="eastAsia" w:ascii="Times New Roman" w:hAnsi="Times New Roman" w:cs="Times New Roman" w:eastAsiaTheme="minorEastAsia"/>
                <w:color w:val="000000"/>
                <w:kern w:val="0"/>
                <w:sz w:val="21"/>
                <w:szCs w:val="21"/>
                <w:highlight w:val="none"/>
                <w:lang w:val="en-US" w:eastAsia="zh-CN" w:bidi="ar"/>
              </w:rPr>
              <w:t>（3）如果在联系标的观察日，联系标的“英镑/日元即期汇率”期末价格相对于期初价格下跌且跌幅超过30%，产品年化收益率为预期最低收益率1.48%</w:t>
            </w:r>
            <w:r>
              <w:rPr>
                <w:rFonts w:hint="eastAsia" w:cs="Times New Roman" w:eastAsiaTheme="minorEastAsia"/>
                <w:color w:val="000000"/>
                <w:kern w:val="0"/>
                <w:sz w:val="21"/>
                <w:szCs w:val="21"/>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widowControl/>
              <w:spacing w:line="276" w:lineRule="auto"/>
              <w:jc w:val="center"/>
              <w:textAlignment w:val="center"/>
              <w:rPr>
                <w:rFonts w:ascii="Times New Roman" w:hAnsi="Times New Roman" w:cs="Times New Roman" w:eastAsiaTheme="minorEastAsia"/>
                <w:b/>
                <w:color w:val="000000"/>
                <w:kern w:val="0"/>
                <w:sz w:val="21"/>
                <w:szCs w:val="21"/>
                <w:lang w:val="en-US" w:eastAsia="zh-CN" w:bidi="ar"/>
              </w:rPr>
            </w:pPr>
            <w:r>
              <w:rPr>
                <w:rFonts w:eastAsiaTheme="minorEastAsia"/>
                <w:b/>
                <w:color w:val="000000"/>
                <w:kern w:val="0"/>
                <w:szCs w:val="21"/>
                <w:lang w:bidi="ar"/>
              </w:rPr>
              <w:t>资金投向</w:t>
            </w:r>
          </w:p>
        </w:tc>
        <w:tc>
          <w:tcPr>
            <w:tcW w:w="3675" w:type="pct"/>
            <w:vAlign w:val="center"/>
          </w:tcPr>
          <w:p>
            <w:pPr>
              <w:spacing w:line="276" w:lineRule="auto"/>
              <w:ind w:firstLine="420" w:firstLineChars="200"/>
              <w:jc w:val="left"/>
              <w:rPr>
                <w:rFonts w:ascii="Times New Roman" w:hAnsi="Times New Roman" w:cs="Times New Roman" w:eastAsiaTheme="minorEastAsia"/>
                <w:color w:val="000000"/>
                <w:kern w:val="0"/>
                <w:sz w:val="21"/>
                <w:szCs w:val="21"/>
                <w:highlight w:val="yellow"/>
                <w:lang w:val="en-US" w:eastAsia="zh-CN" w:bidi="ar"/>
              </w:rPr>
            </w:pPr>
            <w:r>
              <w:rPr>
                <w:rFonts w:eastAsiaTheme="minorEastAsia"/>
                <w:color w:val="000000"/>
                <w:kern w:val="0"/>
                <w:szCs w:val="21"/>
                <w:highlight w:val="none"/>
                <w:lang w:bidi="ar"/>
              </w:rPr>
              <w:t>本产品为结构性存款产品，是指嵌入金融衍生产品的存款，通过与利率、汇率、指数等金融市场标的物的波动挂钩或者与某实体的信用情况挂钩，使存款人在承担一定风险的基础上获得相应的收益。</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6、</w:t>
      </w:r>
      <w:r>
        <w:rPr>
          <w:rFonts w:hint="eastAsia" w:eastAsiaTheme="minorEastAsia"/>
          <w:bCs/>
          <w:color w:val="000000"/>
          <w:kern w:val="0"/>
          <w:sz w:val="24"/>
          <w:szCs w:val="24"/>
        </w:rPr>
        <w:t>华夏理财固收增强周期30天A款</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6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华夏理财固</w:t>
            </w:r>
            <w:r>
              <w:rPr>
                <w:rFonts w:hint="eastAsia" w:eastAsiaTheme="minorEastAsia"/>
                <w:bCs/>
                <w:color w:val="000000"/>
                <w:kern w:val="0"/>
                <w:szCs w:val="21"/>
                <w:lang w:eastAsia="zh-CN"/>
              </w:rPr>
              <w:t>定</w:t>
            </w:r>
            <w:r>
              <w:rPr>
                <w:rFonts w:hint="eastAsia" w:eastAsiaTheme="minorEastAsia"/>
                <w:bCs/>
                <w:color w:val="000000"/>
                <w:kern w:val="0"/>
                <w:szCs w:val="21"/>
              </w:rPr>
              <w:t>收</w:t>
            </w:r>
            <w:r>
              <w:rPr>
                <w:rFonts w:hint="eastAsia" w:eastAsiaTheme="minorEastAsia"/>
                <w:bCs/>
                <w:color w:val="000000"/>
                <w:kern w:val="0"/>
                <w:szCs w:val="21"/>
                <w:lang w:eastAsia="zh-CN"/>
              </w:rPr>
              <w:t>益</w:t>
            </w:r>
            <w:r>
              <w:rPr>
                <w:rFonts w:hint="eastAsia" w:eastAsiaTheme="minorEastAsia"/>
                <w:bCs/>
                <w:color w:val="000000"/>
                <w:kern w:val="0"/>
                <w:szCs w:val="21"/>
              </w:rPr>
              <w:t>增强周期30天</w:t>
            </w:r>
            <w:r>
              <w:rPr>
                <w:rFonts w:hint="eastAsia" w:eastAsiaTheme="minorEastAsia"/>
                <w:bCs/>
                <w:color w:val="000000"/>
                <w:kern w:val="0"/>
                <w:szCs w:val="21"/>
                <w:lang w:eastAsia="zh-CN"/>
              </w:rPr>
              <w:t>理财产品</w:t>
            </w:r>
            <w:r>
              <w:rPr>
                <w:rFonts w:hint="eastAsia" w:eastAsiaTheme="minorEastAsia"/>
                <w:bCs/>
                <w:color w:val="000000"/>
                <w:kern w:val="0"/>
                <w:szCs w:val="21"/>
              </w:rPr>
              <w:t>A款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211918701001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10,500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9"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2021年5月12日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首个滚存到期日</w:t>
            </w:r>
          </w:p>
        </w:tc>
        <w:tc>
          <w:tcPr>
            <w:tcW w:w="3679" w:type="pct"/>
            <w:vAlign w:val="center"/>
          </w:tcPr>
          <w:p>
            <w:pPr>
              <w:autoSpaceDE w:val="0"/>
              <w:autoSpaceDN w:val="0"/>
              <w:adjustRightInd w:val="0"/>
              <w:spacing w:line="276" w:lineRule="auto"/>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2021年6月11日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79" w:type="pct"/>
            <w:vAlign w:val="center"/>
          </w:tcPr>
          <w:p>
            <w:pPr>
              <w:autoSpaceDE w:val="0"/>
              <w:autoSpaceDN w:val="0"/>
              <w:adjustRightInd w:val="0"/>
              <w:spacing w:line="276" w:lineRule="auto"/>
              <w:jc w:val="center"/>
              <w:rPr>
                <w:rFonts w:hint="default" w:eastAsiaTheme="minorEastAsia"/>
                <w:bCs/>
                <w:color w:val="000000" w:themeColor="text1"/>
                <w:kern w:val="0"/>
                <w:szCs w:val="21"/>
                <w:highlight w:val="none"/>
                <w:lang w:val="en-US" w:eastAsia="zh-CN"/>
                <w14:textFill>
                  <w14:solidFill>
                    <w14:schemeClr w14:val="tx1"/>
                  </w14:solidFill>
                </w14:textFill>
              </w:rPr>
            </w:pPr>
            <w:r>
              <w:rPr>
                <w:rFonts w:hint="eastAsia" w:eastAsiaTheme="minorEastAsia"/>
                <w:bCs/>
                <w:color w:val="000000" w:themeColor="text1"/>
                <w:kern w:val="0"/>
                <w:szCs w:val="21"/>
                <w:highlight w:val="none"/>
                <w:lang w:val="en-US" w:eastAsia="zh-CN"/>
                <w14:textFill>
                  <w14:solidFill>
                    <w14:schemeClr w14:val="tx1"/>
                  </w14:solidFill>
                </w14:textFill>
              </w:rPr>
              <w:t>3.30%-3.90%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keepNext w:val="0"/>
              <w:keepLines w:val="0"/>
              <w:widowControl/>
              <w:suppressLineNumbers w:val="0"/>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rPr>
              <w:t>投资周期</w:t>
            </w:r>
          </w:p>
        </w:tc>
        <w:tc>
          <w:tcPr>
            <w:tcW w:w="3679" w:type="pct"/>
            <w:vAlign w:val="center"/>
          </w:tcPr>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w:t>
            </w:r>
            <w:r>
              <w:rPr>
                <w:rFonts w:hint="default" w:eastAsiaTheme="minorEastAsia"/>
                <w:bCs/>
                <w:color w:val="000000"/>
                <w:kern w:val="0"/>
                <w:szCs w:val="21"/>
                <w:lang w:val="en-US" w:eastAsia="zh-CN"/>
              </w:rPr>
              <w:t>投资者购买本理财产品的每一笔份额，自成立日（含）/申购确认日（含）/上一投资周期到期日的下一自然日（含）起每30个自然日为一个投资周期。产品到期/终止时，投资者持有份额不满一个投资周期，则按照实际天数计算。投资周期内，投资者可根据赎回规定选择投资周期到期后是否赎回本理财产品。</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华夏理财将于投资周期到期日后2个工作日，根据实际投资结果向华夏银行/华夏理财客户及其他代销机构一次性划付理财本金及收益（如有），其他代销机构客户理财本金及收益（如有）的具体到账账户、到账日及到账时间以该代销机构划付规定为准。</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投资周期到期日如遇非工作日，则自动顺延至下一工作日。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keepNext w:val="0"/>
              <w:keepLines w:val="0"/>
              <w:widowControl/>
              <w:suppressLineNumbers w:val="0"/>
              <w:autoSpaceDE w:val="0"/>
              <w:autoSpaceDN w:val="0"/>
              <w:adjustRightInd w:val="0"/>
              <w:spacing w:line="276" w:lineRule="auto"/>
              <w:jc w:val="center"/>
              <w:rPr>
                <w:rFonts w:hint="eastAsia" w:ascii="Times New Roman" w:hAnsi="Times New Roman" w:cs="Times New Roman" w:eastAsiaTheme="minorEastAsia"/>
                <w:b/>
                <w:color w:val="000000"/>
                <w:kern w:val="0"/>
                <w:sz w:val="21"/>
                <w:szCs w:val="21"/>
                <w:lang w:val="en-US" w:eastAsia="zh-CN" w:bidi="ar-SA"/>
              </w:rPr>
            </w:pPr>
            <w:r>
              <w:rPr>
                <w:rFonts w:hint="eastAsia" w:eastAsiaTheme="minorEastAsia"/>
                <w:b/>
                <w:color w:val="000000"/>
                <w:kern w:val="0"/>
                <w:szCs w:val="21"/>
                <w:lang w:val="en-US" w:eastAsia="zh-CN"/>
              </w:rPr>
              <w:t>赎回规定</w:t>
            </w:r>
          </w:p>
        </w:tc>
        <w:tc>
          <w:tcPr>
            <w:tcW w:w="3679" w:type="pct"/>
            <w:vAlign w:val="center"/>
          </w:tcPr>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投资者购买本理财产品时应就每笔认/申购资金选择本投资周期到期后是否赎回产品：</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1.如选择赎回，则投资周期到期后自动赎回。</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2.如选择续投，则投资周期到期后自动续期，直至产品到期或投资者取消续投。续投后的投资周期自上一投资周期到期日的下一自然日（含）起计算。</w:t>
            </w:r>
          </w:p>
          <w:p>
            <w:pPr>
              <w:keepNext w:val="0"/>
              <w:keepLines w:val="0"/>
              <w:widowControl/>
              <w:suppressLineNumbers w:val="0"/>
              <w:autoSpaceDE w:val="0"/>
              <w:autoSpaceDN w:val="0"/>
              <w:adjustRightInd w:val="0"/>
              <w:spacing w:line="276" w:lineRule="auto"/>
              <w:jc w:val="both"/>
              <w:rPr>
                <w:rFonts w:hint="default" w:ascii="Times New Roman" w:hAnsi="Times New Roman" w:cs="Times New Roman" w:eastAsiaTheme="minorEastAsia"/>
                <w:bCs/>
                <w:color w:val="000000"/>
                <w:kern w:val="0"/>
                <w:sz w:val="21"/>
                <w:szCs w:val="21"/>
                <w:lang w:val="en-US" w:eastAsia="zh-CN" w:bidi="ar-SA"/>
              </w:rPr>
            </w:pPr>
            <w:r>
              <w:rPr>
                <w:rFonts w:hint="default" w:eastAsiaTheme="minorEastAsia"/>
                <w:bCs/>
                <w:color w:val="000000"/>
                <w:kern w:val="0"/>
                <w:szCs w:val="21"/>
                <w:lang w:val="en-US" w:eastAsia="zh-CN"/>
              </w:rPr>
              <w:t>3.每一笔购买交易存续的当个投资周期到期日前2个工作日的开放时间结束前，投资者均可变更赎回或续投选择。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0"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9"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本产品主要投资于货币市场工具、标准化债权类资产、权益类资产、商品及金融衍生品类资产及资产管理产品，其中投资的资管产品需符合产品约定的投资范围。</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其中货币市场工具包括但不限于银行存款、大额存单、同业存单（CD）、短期融资券、超短期融资券、剩余期限在397天以内（含397天）的债券、期限在一年以内（含一年）的债券回购、期限在一年以内（含一年）的中央银行票据、货币市场基金以及中国人民银行、中国银保监会认可的其他具有良好流动性的金融工具；</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标准化债权类资产包括但不限于国债、中央银行票据、地方政府债券、政府支持机构债券、金融债券、非金融企业债务融资工具、公司债券、企业债券、国际机构债券、同业存单、信贷资产支持证券、资产支持票据、证券交易所挂牌交易的资产支持证券、固定收益类公开募集证券投资基金，以及《标准化债权类资产认定规则》认定的标准化债权类资产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权益类资产包括但不限于国内依法发行和上市的股票（包括主板、创业板、中小板、科创板以及其他经中国证监会核准上市的股票，包括新股申购、定向增发、大宗交易、询价转让等）、内地与香港股票市场交易互联互通机制允许买卖的香港市场股票，以及股票型、混合型公募证券投资基金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bookmarkStart w:id="0" w:name="_GoBack"/>
            <w:bookmarkEnd w:id="0"/>
            <w:r>
              <w:rPr>
                <w:rFonts w:hint="eastAsia" w:eastAsiaTheme="minorEastAsia"/>
                <w:bCs/>
                <w:color w:val="000000"/>
                <w:kern w:val="0"/>
                <w:szCs w:val="21"/>
              </w:rPr>
              <w:t>商品类资产包括贵金属和大宗商品类等以实物形式存在的商品资产；金融衍生品类资产包括但不限于远期合同、期货合同、互换和期权，以及具有远期合同、期货合同、互换和期权中一种或一种以上特征的工具。</w:t>
            </w:r>
          </w:p>
        </w:tc>
      </w:tr>
    </w:tbl>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175"/>
        <w:jc w:val="left"/>
        <w:textAlignment w:val="auto"/>
        <w:rPr>
          <w:rFonts w:hint="eastAsia" w:eastAsiaTheme="minorEastAsia"/>
          <w:color w:val="000000"/>
          <w:sz w:val="24"/>
          <w:szCs w:val="24"/>
          <w:highlight w:val="none"/>
          <w:lang w:eastAsia="zh-CN"/>
        </w:rPr>
      </w:pPr>
      <w:r>
        <w:rPr>
          <w:rFonts w:eastAsiaTheme="minorEastAsia"/>
          <w:color w:val="000000"/>
          <w:sz w:val="24"/>
          <w:szCs w:val="24"/>
          <w:highlight w:val="none"/>
        </w:rPr>
        <w:t>3、公司将根据上海证券交易所的有关规定，及时履行信息披露义务</w:t>
      </w:r>
      <w:r>
        <w:rPr>
          <w:rFonts w:hint="eastAsia" w:eastAsiaTheme="minorEastAsia"/>
          <w:color w:val="00000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widowControl/>
        <w:spacing w:before="156" w:beforeLines="50" w:after="156" w:afterLines="50" w:line="360" w:lineRule="auto"/>
        <w:ind w:left="0" w:leftChars="0" w:firstLine="420" w:firstLineChars="175"/>
        <w:jc w:val="both"/>
        <w:rPr>
          <w:rFonts w:hint="eastAsia" w:eastAsiaTheme="minorEastAsia"/>
          <w:color w:val="000000"/>
          <w:sz w:val="24"/>
          <w:szCs w:val="24"/>
          <w:highlight w:val="none"/>
          <w:lang w:val="en-US" w:eastAsia="zh-CN"/>
        </w:rPr>
      </w:pPr>
      <w:r>
        <w:rPr>
          <w:rFonts w:eastAsiaTheme="minorEastAsia"/>
          <w:color w:val="000000"/>
          <w:sz w:val="24"/>
          <w:szCs w:val="24"/>
          <w:highlight w:val="none"/>
        </w:rPr>
        <w:t>本次购买理财产品的受托方</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华夏银行为上海证券交易所上市公司（公司代码：600015）、中信</w:t>
      </w:r>
      <w:r>
        <w:rPr>
          <w:rFonts w:eastAsiaTheme="minorEastAsia"/>
          <w:color w:val="000000"/>
          <w:sz w:val="24"/>
          <w:szCs w:val="24"/>
          <w:highlight w:val="none"/>
        </w:rPr>
        <w:t>银行为上海证券交易所上市公司（公司代码：601</w:t>
      </w:r>
      <w:r>
        <w:rPr>
          <w:rFonts w:hint="eastAsia" w:eastAsiaTheme="minorEastAsia"/>
          <w:color w:val="000000"/>
          <w:sz w:val="24"/>
          <w:szCs w:val="24"/>
          <w:highlight w:val="none"/>
          <w:lang w:val="en-US" w:eastAsia="zh-CN"/>
        </w:rPr>
        <w:t>998</w:t>
      </w:r>
      <w:r>
        <w:rPr>
          <w:rFonts w:eastAsiaTheme="minorEastAsia"/>
          <w:color w:val="000000"/>
          <w:sz w:val="24"/>
          <w:szCs w:val="24"/>
          <w:highlight w:val="none"/>
        </w:rPr>
        <w:t>）</w:t>
      </w:r>
      <w:r>
        <w:rPr>
          <w:rFonts w:hint="eastAsia" w:eastAsiaTheme="minorEastAsia"/>
          <w:color w:val="000000"/>
          <w:sz w:val="24"/>
          <w:szCs w:val="24"/>
          <w:highlight w:val="none"/>
          <w:lang w:eastAsia="zh-CN"/>
        </w:rPr>
        <w:t>、上海银行</w:t>
      </w:r>
      <w:r>
        <w:rPr>
          <w:rFonts w:eastAsiaTheme="minorEastAsia"/>
          <w:color w:val="000000"/>
          <w:sz w:val="24"/>
          <w:szCs w:val="24"/>
          <w:highlight w:val="none"/>
        </w:rPr>
        <w:t>为上海证券交易所上市公司</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601229</w:t>
      </w:r>
      <w:r>
        <w:rPr>
          <w:rFonts w:hint="eastAsia" w:eastAsiaTheme="minorEastAsia"/>
          <w:color w:val="000000"/>
          <w:sz w:val="24"/>
          <w:szCs w:val="24"/>
          <w:highlight w:val="none"/>
          <w:lang w:eastAsia="zh-CN"/>
        </w:rPr>
        <w:t>）</w:t>
      </w:r>
      <w:r>
        <w:rPr>
          <w:rFonts w:eastAsiaTheme="minorEastAsia"/>
          <w:color w:val="000000"/>
          <w:sz w:val="24"/>
          <w:szCs w:val="24"/>
          <w:highlight w:val="none"/>
        </w:rPr>
        <w:t>与公司控股股东及其一致行动人、实际控制人之间不存在产权、业务、资产、债权债务、人员等关联关系。</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widowControl/>
        <w:spacing w:before="156" w:beforeLines="50" w:after="156" w:afterLines="50"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7981" w:type="dxa"/>
        <w:jc w:val="center"/>
        <w:tblLayout w:type="autofit"/>
        <w:tblCellMar>
          <w:top w:w="0" w:type="dxa"/>
          <w:left w:w="108" w:type="dxa"/>
          <w:bottom w:w="0" w:type="dxa"/>
          <w:right w:w="108" w:type="dxa"/>
        </w:tblCellMar>
      </w:tblPr>
      <w:tblGrid>
        <w:gridCol w:w="2955"/>
        <w:gridCol w:w="2395"/>
        <w:gridCol w:w="2631"/>
      </w:tblGrid>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项  目</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w:t>
            </w:r>
            <w:r>
              <w:rPr>
                <w:rFonts w:hint="default" w:ascii="Times New Roman" w:hAnsi="Times New Roman" w:cs="Times New Roman" w:eastAsiaTheme="minorEastAsia"/>
                <w:b/>
                <w:color w:val="000000"/>
                <w:kern w:val="0"/>
                <w:szCs w:val="21"/>
                <w:lang w:val="en-US" w:eastAsia="zh-CN"/>
              </w:rPr>
              <w:t>20</w:t>
            </w:r>
            <w:r>
              <w:rPr>
                <w:rFonts w:hint="default" w:ascii="Times New Roman" w:hAnsi="Times New Roman" w:cs="Times New Roman" w:eastAsiaTheme="minorEastAsia"/>
                <w:b/>
                <w:color w:val="000000"/>
                <w:kern w:val="0"/>
                <w:szCs w:val="21"/>
              </w:rPr>
              <w:t>年12月31日</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202</w:t>
            </w:r>
            <w:r>
              <w:rPr>
                <w:rFonts w:hint="default" w:ascii="Times New Roman" w:hAnsi="Times New Roman" w:cs="Times New Roman" w:eastAsiaTheme="minorEastAsia"/>
                <w:b/>
                <w:color w:val="000000"/>
                <w:kern w:val="0"/>
                <w:szCs w:val="21"/>
                <w:lang w:val="en-US" w:eastAsia="zh-CN"/>
              </w:rPr>
              <w:t>1</w:t>
            </w:r>
            <w:r>
              <w:rPr>
                <w:rFonts w:hint="default" w:ascii="Times New Roman" w:hAnsi="Times New Roman" w:cs="Times New Roman" w:eastAsiaTheme="minorEastAsia"/>
                <w:b/>
                <w:color w:val="000000"/>
                <w:kern w:val="0"/>
                <w:szCs w:val="21"/>
              </w:rPr>
              <w:t>年</w:t>
            </w:r>
            <w:r>
              <w:rPr>
                <w:rFonts w:hint="default" w:ascii="Times New Roman" w:hAnsi="Times New Roman" w:cs="Times New Roman" w:eastAsiaTheme="minorEastAsia"/>
                <w:b/>
                <w:color w:val="000000"/>
                <w:kern w:val="0"/>
                <w:szCs w:val="21"/>
                <w:lang w:val="en-US" w:eastAsia="zh-CN"/>
              </w:rPr>
              <w:t>3</w:t>
            </w:r>
            <w:r>
              <w:rPr>
                <w:rFonts w:hint="default" w:ascii="Times New Roman" w:hAnsi="Times New Roman" w:cs="Times New Roman" w:eastAsiaTheme="minorEastAsia"/>
                <w:b/>
                <w:color w:val="000000"/>
                <w:kern w:val="0"/>
                <w:szCs w:val="21"/>
              </w:rPr>
              <w:t>月3</w:t>
            </w:r>
            <w:r>
              <w:rPr>
                <w:rFonts w:hint="default" w:ascii="Times New Roman" w:hAnsi="Times New Roman" w:cs="Times New Roman" w:eastAsiaTheme="minorEastAsia"/>
                <w:b/>
                <w:color w:val="000000"/>
                <w:kern w:val="0"/>
                <w:szCs w:val="21"/>
                <w:lang w:val="en-US" w:eastAsia="zh-CN"/>
              </w:rPr>
              <w:t>1</w:t>
            </w:r>
            <w:r>
              <w:rPr>
                <w:rFonts w:hint="default" w:ascii="Times New Roman" w:hAnsi="Times New Roman" w:cs="Times New Roman"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资产总额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1,633,131,094.01</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负债总额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327,122,770.01</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所有者权益合计</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1,306,008,324.00</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经营活动产生的现金</w:t>
            </w:r>
            <w:r>
              <w:rPr>
                <w:rFonts w:hint="default" w:ascii="Times New Roman" w:hAnsi="Times New Roman" w:cs="Times New Roman" w:eastAsiaTheme="minorEastAsia"/>
                <w:bCs/>
                <w:color w:val="000000"/>
                <w:kern w:val="0"/>
                <w:szCs w:val="21"/>
                <w:lang w:val="en-US" w:eastAsia="zh-CN"/>
              </w:rPr>
              <w:t>流量</w:t>
            </w:r>
            <w:r>
              <w:rPr>
                <w:rFonts w:hint="default" w:ascii="Times New Roman" w:hAnsi="Times New Roman" w:cs="Times New Roman" w:eastAsiaTheme="minorEastAsia"/>
                <w:bCs/>
                <w:color w:val="000000"/>
                <w:kern w:val="0"/>
                <w:szCs w:val="21"/>
              </w:rPr>
              <w:t>净额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val="0"/>
                <w:bCs/>
                <w:color w:val="000000"/>
                <w:kern w:val="0"/>
                <w:szCs w:val="21"/>
              </w:rPr>
              <w:t>-85,961,472.07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eastAsiaTheme="minorEastAsia"/>
          <w:color w:val="000000"/>
          <w:sz w:val="24"/>
          <w:szCs w:val="24"/>
          <w:highlight w:val="none"/>
        </w:rPr>
        <w:t>在符合国家法律法规，确保不影响公司正常运营、公司</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投资计划正常进行和</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安全的前提下，公司使用部分闲置</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进行现金管理购买期限不超过一</w:t>
      </w:r>
      <w:r>
        <w:rPr>
          <w:rFonts w:hint="default" w:ascii="Times New Roman" w:hAnsi="Times New Roman" w:cs="Times New Roman" w:eastAsiaTheme="minorEastAsia"/>
          <w:color w:val="000000"/>
          <w:sz w:val="24"/>
          <w:szCs w:val="24"/>
          <w:highlight w:val="none"/>
        </w:rPr>
        <w:t>年的理财产品，可以提高公司资金使用效率，增加存储收益，符合公司和全体股东的利益。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截止20</w:t>
      </w:r>
      <w:r>
        <w:rPr>
          <w:rFonts w:hint="default" w:ascii="Times New Roman" w:hAnsi="Times New Roman"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年</w:t>
      </w:r>
      <w:r>
        <w:rPr>
          <w:rFonts w:hint="default" w:ascii="Times New Roman" w:hAnsi="Times New Roman" w:cs="Times New Roman" w:eastAsiaTheme="minorEastAsia"/>
          <w:color w:val="000000"/>
          <w:sz w:val="24"/>
          <w:szCs w:val="24"/>
          <w:highlight w:val="none"/>
          <w:lang w:val="en-US" w:eastAsia="zh-CN"/>
        </w:rPr>
        <w:t>3</w:t>
      </w:r>
      <w:r>
        <w:rPr>
          <w:rFonts w:hint="default" w:ascii="Times New Roman" w:hAnsi="Times New Roman" w:cs="Times New Roman" w:eastAsiaTheme="minorEastAsia"/>
          <w:color w:val="000000"/>
          <w:sz w:val="24"/>
          <w:szCs w:val="24"/>
          <w:highlight w:val="none"/>
        </w:rPr>
        <w:t>月</w:t>
      </w:r>
      <w:r>
        <w:rPr>
          <w:rFonts w:hint="default" w:ascii="Times New Roman" w:hAnsi="Times New Roman" w:cs="Times New Roman" w:eastAsiaTheme="minorEastAsia"/>
          <w:color w:val="000000"/>
          <w:sz w:val="24"/>
          <w:szCs w:val="24"/>
          <w:highlight w:val="none"/>
          <w:lang w:val="en-US" w:eastAsia="zh-CN"/>
        </w:rPr>
        <w:t>31</w:t>
      </w:r>
      <w:r>
        <w:rPr>
          <w:rFonts w:hint="default" w:ascii="Times New Roman" w:hAnsi="Times New Roman" w:cs="Times New Roman" w:eastAsiaTheme="minorEastAsia"/>
          <w:color w:val="000000"/>
          <w:sz w:val="24"/>
          <w:szCs w:val="24"/>
          <w:highlight w:val="none"/>
        </w:rPr>
        <w:t>日，公司资产负债率为</w:t>
      </w:r>
      <w:r>
        <w:rPr>
          <w:rFonts w:hint="default" w:ascii="Times New Roman" w:hAnsi="Times New Roman" w:cs="Times New Roman" w:eastAsiaTheme="minorEastAsia"/>
          <w:color w:val="000000"/>
          <w:sz w:val="24"/>
          <w:szCs w:val="24"/>
          <w:highlight w:val="none"/>
          <w:lang w:val="en-US" w:eastAsia="zh-CN"/>
        </w:rPr>
        <w:t>20.03</w:t>
      </w:r>
      <w:r>
        <w:rPr>
          <w:rFonts w:hint="default" w:ascii="Times New Roman" w:hAnsi="Times New Roman" w:cs="Times New Roman" w:eastAsiaTheme="minorEastAsia"/>
          <w:color w:val="000000"/>
          <w:sz w:val="24"/>
          <w:szCs w:val="24"/>
          <w:highlight w:val="none"/>
        </w:rPr>
        <w:t>%，不存在负有大额负债的同时购买大额理财产品的情形，不会对公司未来主营业务、财务状况、经营成果和现金流量造成较大影响。本次购买的理财产品计入资产负债表中</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交易性金融资产</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，将产生的利息收益计入利润表中</w:t>
      </w:r>
      <w:r>
        <w:rPr>
          <w:rFonts w:hint="eastAsia" w:asciiTheme="minorEastAsia" w:hAnsiTheme="minorEastAsia" w:eastAsiaTheme="minorEastAsia" w:cstheme="minorEastAsia"/>
          <w:color w:val="000000"/>
          <w:sz w:val="24"/>
          <w:szCs w:val="24"/>
          <w:highlight w:val="none"/>
        </w:rPr>
        <w:t>“投资收益”</w:t>
      </w:r>
      <w:r>
        <w:rPr>
          <w:rFonts w:hint="default" w:ascii="Times New Roman" w:hAnsi="Times New Roman" w:cs="Times New Roman" w:eastAsiaTheme="minorEastAsia"/>
          <w:color w:val="000000"/>
          <w:sz w:val="24"/>
          <w:szCs w:val="24"/>
          <w:highlight w:val="none"/>
        </w:rPr>
        <w:t>。</w:t>
      </w:r>
    </w:p>
    <w:p>
      <w:pPr>
        <w:widowControl/>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widowControl/>
        <w:spacing w:before="156" w:beforeLines="50" w:after="156" w:afterLines="50" w:line="360" w:lineRule="auto"/>
        <w:ind w:firstLine="420" w:firstLineChars="175"/>
        <w:rPr>
          <w:rFonts w:eastAsiaTheme="minorEastAsia"/>
          <w:color w:val="000000"/>
          <w:sz w:val="24"/>
          <w:szCs w:val="24"/>
          <w:highlight w:val="none"/>
        </w:rPr>
      </w:pPr>
      <w:r>
        <w:rPr>
          <w:rFonts w:eastAsiaTheme="minorEastAsia"/>
          <w:color w:val="000000"/>
          <w:sz w:val="24"/>
          <w:szCs w:val="24"/>
          <w:highlight w:val="none"/>
        </w:rPr>
        <w:t>尽管本次公司进行现金管理，</w:t>
      </w:r>
      <w:r>
        <w:rPr>
          <w:rFonts w:hint="eastAsia" w:eastAsiaTheme="minorEastAsia"/>
          <w:color w:val="000000"/>
          <w:sz w:val="24"/>
          <w:szCs w:val="24"/>
          <w:highlight w:val="none"/>
        </w:rPr>
        <w:t>投资购买的理财品种为安全性高、流动性好、低风险、短期（不超过1年）的理财产品</w:t>
      </w:r>
      <w:r>
        <w:rPr>
          <w:rFonts w:eastAsiaTheme="minorEastAsia"/>
          <w:color w:val="000000"/>
          <w:sz w:val="24"/>
          <w:szCs w:val="24"/>
          <w:highlight w:val="none"/>
        </w:rPr>
        <w:t>，但金融市场受宏观经济、财政及货币政策的影响较大，该项投资仍会受到市场波动的影响。</w:t>
      </w:r>
      <w:r>
        <w:rPr>
          <w:rFonts w:hint="eastAsia" w:eastAsiaTheme="minorEastAsia"/>
          <w:color w:val="000000"/>
          <w:sz w:val="24"/>
          <w:szCs w:val="24"/>
          <w:highlight w:val="none"/>
        </w:rPr>
        <w:t>敬请广大投资者谨慎决策，注意防范投资风险。</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widowControl/>
        <w:spacing w:before="156" w:beforeLines="50" w:after="156" w:afterLines="50" w:line="360" w:lineRule="auto"/>
        <w:ind w:firstLine="420" w:firstLineChars="175"/>
        <w:rPr>
          <w:rFonts w:hint="eastAsia" w:eastAsiaTheme="minorEastAsia"/>
          <w:color w:val="000000"/>
          <w:sz w:val="24"/>
          <w:szCs w:val="24"/>
          <w:highlight w:val="none"/>
          <w:lang w:val="en-US" w:eastAsia="zh-CN"/>
        </w:rPr>
      </w:pPr>
      <w:r>
        <w:rPr>
          <w:rFonts w:hint="eastAsia" w:eastAsiaTheme="minorEastAsia"/>
          <w:color w:val="000000"/>
          <w:kern w:val="2"/>
          <w:sz w:val="24"/>
          <w:szCs w:val="24"/>
          <w:highlight w:val="none"/>
          <w:lang w:bidi="ar-SA"/>
        </w:rPr>
        <w:t>公司分别于</w:t>
      </w:r>
      <w:r>
        <w:rPr>
          <w:rFonts w:eastAsiaTheme="minorEastAsia"/>
          <w:color w:val="000000"/>
          <w:kern w:val="2"/>
          <w:sz w:val="24"/>
          <w:szCs w:val="24"/>
          <w:highlight w:val="none"/>
          <w:lang w:bidi="ar-SA"/>
        </w:rPr>
        <w:t>2020</w:t>
      </w:r>
      <w:r>
        <w:rPr>
          <w:rFonts w:hint="eastAsia" w:eastAsiaTheme="minorEastAsia"/>
          <w:color w:val="000000"/>
          <w:kern w:val="2"/>
          <w:sz w:val="24"/>
          <w:szCs w:val="24"/>
          <w:highlight w:val="none"/>
          <w:lang w:bidi="ar-SA"/>
        </w:rPr>
        <w:t>年</w:t>
      </w:r>
      <w:r>
        <w:rPr>
          <w:rFonts w:eastAsiaTheme="minorEastAsia"/>
          <w:color w:val="000000"/>
          <w:kern w:val="2"/>
          <w:sz w:val="24"/>
          <w:szCs w:val="24"/>
          <w:highlight w:val="none"/>
          <w:lang w:bidi="ar-SA"/>
        </w:rPr>
        <w:t>9</w:t>
      </w:r>
      <w:r>
        <w:rPr>
          <w:rFonts w:hint="eastAsia" w:eastAsiaTheme="minorEastAsia"/>
          <w:color w:val="000000"/>
          <w:kern w:val="2"/>
          <w:sz w:val="24"/>
          <w:szCs w:val="24"/>
          <w:highlight w:val="none"/>
          <w:lang w:bidi="ar-SA"/>
        </w:rPr>
        <w:t>月</w:t>
      </w:r>
      <w:r>
        <w:rPr>
          <w:rFonts w:eastAsiaTheme="minorEastAsia"/>
          <w:color w:val="000000"/>
          <w:kern w:val="2"/>
          <w:sz w:val="24"/>
          <w:szCs w:val="24"/>
          <w:highlight w:val="none"/>
          <w:lang w:bidi="ar-SA"/>
        </w:rPr>
        <w:t>11</w:t>
      </w:r>
      <w:r>
        <w:rPr>
          <w:rFonts w:hint="eastAsia" w:eastAsiaTheme="minorEastAsia"/>
          <w:color w:val="000000"/>
          <w:kern w:val="2"/>
          <w:sz w:val="24"/>
          <w:szCs w:val="24"/>
          <w:highlight w:val="none"/>
          <w:lang w:bidi="ar-SA"/>
        </w:rPr>
        <w:t>日、</w:t>
      </w:r>
      <w:r>
        <w:rPr>
          <w:rFonts w:eastAsiaTheme="minorEastAsia"/>
          <w:color w:val="000000"/>
          <w:kern w:val="2"/>
          <w:sz w:val="24"/>
          <w:szCs w:val="24"/>
          <w:highlight w:val="none"/>
          <w:lang w:bidi="ar-SA"/>
        </w:rPr>
        <w:t>2020</w:t>
      </w:r>
      <w:r>
        <w:rPr>
          <w:rFonts w:hint="eastAsia" w:eastAsiaTheme="minorEastAsia"/>
          <w:color w:val="000000"/>
          <w:kern w:val="2"/>
          <w:sz w:val="24"/>
          <w:szCs w:val="24"/>
          <w:highlight w:val="none"/>
          <w:lang w:bidi="ar-SA"/>
        </w:rPr>
        <w:t>年</w:t>
      </w:r>
      <w:r>
        <w:rPr>
          <w:rFonts w:eastAsiaTheme="minorEastAsia"/>
          <w:color w:val="000000"/>
          <w:kern w:val="2"/>
          <w:sz w:val="24"/>
          <w:szCs w:val="24"/>
          <w:highlight w:val="none"/>
          <w:lang w:bidi="ar-SA"/>
        </w:rPr>
        <w:t>9</w:t>
      </w:r>
      <w:r>
        <w:rPr>
          <w:rFonts w:hint="eastAsia" w:eastAsiaTheme="minorEastAsia"/>
          <w:color w:val="000000"/>
          <w:kern w:val="2"/>
          <w:sz w:val="24"/>
          <w:szCs w:val="24"/>
          <w:highlight w:val="none"/>
          <w:lang w:bidi="ar-SA"/>
        </w:rPr>
        <w:t>月</w:t>
      </w:r>
      <w:r>
        <w:rPr>
          <w:rFonts w:eastAsiaTheme="minorEastAsia"/>
          <w:color w:val="000000"/>
          <w:kern w:val="2"/>
          <w:sz w:val="24"/>
          <w:szCs w:val="24"/>
          <w:highlight w:val="none"/>
          <w:lang w:bidi="ar-SA"/>
        </w:rPr>
        <w:t>28</w:t>
      </w:r>
      <w:r>
        <w:rPr>
          <w:rFonts w:hint="eastAsia" w:eastAsiaTheme="minorEastAsia"/>
          <w:color w:val="000000"/>
          <w:kern w:val="2"/>
          <w:sz w:val="24"/>
          <w:szCs w:val="24"/>
          <w:highlight w:val="none"/>
          <w:lang w:bidi="ar-SA"/>
        </w:rPr>
        <w:t>日召开了公司第七届董事会第十二次会议、第七届监事会第九次会议及公司</w:t>
      </w:r>
      <w:r>
        <w:rPr>
          <w:rFonts w:eastAsiaTheme="minorEastAsia"/>
          <w:color w:val="000000"/>
          <w:kern w:val="2"/>
          <w:sz w:val="24"/>
          <w:szCs w:val="24"/>
          <w:highlight w:val="none"/>
          <w:lang w:bidi="ar-SA"/>
        </w:rPr>
        <w:t>2020</w:t>
      </w:r>
      <w:r>
        <w:rPr>
          <w:rFonts w:hint="eastAsia" w:eastAsiaTheme="minorEastAsia"/>
          <w:color w:val="000000"/>
          <w:kern w:val="2"/>
          <w:sz w:val="24"/>
          <w:szCs w:val="24"/>
          <w:highlight w:val="none"/>
          <w:lang w:bidi="ar-SA"/>
        </w:rPr>
        <w:t>年第四次临时股东大会，</w:t>
      </w:r>
      <w:r>
        <w:rPr>
          <w:rFonts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w:t>
      </w:r>
      <w:r>
        <w:rPr>
          <w:rFonts w:hint="eastAsia" w:eastAsiaTheme="minorEastAsia"/>
          <w:color w:val="000000"/>
          <w:sz w:val="24"/>
          <w:szCs w:val="24"/>
          <w:highlight w:val="none"/>
        </w:rPr>
        <w:t>格尔软件股份有限公司关于使用部分闲置自有资金进行现金管理的公告</w:t>
      </w:r>
      <w:r>
        <w:rPr>
          <w:rFonts w:eastAsiaTheme="minorEastAsia"/>
          <w:color w:val="000000"/>
          <w:sz w:val="24"/>
          <w:szCs w:val="24"/>
          <w:highlight w:val="none"/>
        </w:rPr>
        <w:t>》（公告编号：2020-066）、《格尔软件股份有限公司2020年第四次临时股东大会决议公告》（公告编号：2020-069）。</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w:t>
      </w:r>
      <w:r>
        <w:rPr>
          <w:rFonts w:hint="eastAsia" w:asciiTheme="minorEastAsia" w:hAnsiTheme="minorEastAsia" w:eastAsiaTheme="minorEastAsia" w:cstheme="minorEastAsia"/>
          <w:b/>
          <w:bCs/>
          <w:color w:val="000000"/>
          <w:sz w:val="24"/>
          <w:szCs w:val="24"/>
          <w:highlight w:val="none"/>
          <w:lang w:eastAsia="zh-CN"/>
        </w:rPr>
        <w:t>自有资金</w:t>
      </w:r>
      <w:r>
        <w:rPr>
          <w:rFonts w:asciiTheme="minorEastAsia" w:hAnsiTheme="minorEastAsia" w:eastAsiaTheme="minorEastAsia" w:cstheme="minorEastAsia"/>
          <w:b/>
          <w:bCs/>
          <w:color w:val="000000"/>
          <w:sz w:val="24"/>
          <w:szCs w:val="24"/>
          <w:highlight w:val="none"/>
        </w:rPr>
        <w:t>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639"/>
        <w:gridCol w:w="1622"/>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序号</w:t>
            </w:r>
          </w:p>
        </w:tc>
        <w:tc>
          <w:tcPr>
            <w:tcW w:w="155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理财产品类型</w:t>
            </w:r>
          </w:p>
        </w:tc>
        <w:tc>
          <w:tcPr>
            <w:tcW w:w="163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实际投入金额</w:t>
            </w:r>
          </w:p>
        </w:tc>
        <w:tc>
          <w:tcPr>
            <w:tcW w:w="1622"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实际收回本金</w:t>
            </w:r>
          </w:p>
        </w:tc>
        <w:tc>
          <w:tcPr>
            <w:tcW w:w="1378"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实际收益</w:t>
            </w:r>
          </w:p>
        </w:tc>
        <w:tc>
          <w:tcPr>
            <w:tcW w:w="1449" w:type="dxa"/>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尚未收回</w:t>
            </w:r>
          </w:p>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450.00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13.89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8.68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117.13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840.00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840.00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29.73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19.81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0.80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0.71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5.30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13.89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11.45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26.30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22.91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9.96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7.52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42.85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val="en-US" w:eastAsia="zh-CN" w:bidi="ar"/>
              </w:rPr>
            </w:pPr>
            <w:r>
              <w:rPr>
                <w:rFonts w:hint="eastAsia" w:cs="Times New Roman"/>
                <w:color w:val="000000"/>
                <w:kern w:val="0"/>
                <w:sz w:val="21"/>
                <w:szCs w:val="21"/>
                <w:lang w:val="en-US" w:eastAsia="zh-CN" w:bidi="ar"/>
              </w:rPr>
              <w:t>40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cs="Times New Roman"/>
                <w:i w:val="0"/>
                <w:iCs w:val="0"/>
                <w:color w:val="000000"/>
                <w:kern w:val="0"/>
                <w:sz w:val="21"/>
                <w:szCs w:val="21"/>
                <w:u w:val="none"/>
                <w:lang w:val="en-US" w:eastAsia="zh-CN" w:bidi="ar"/>
              </w:rPr>
              <w:t>67.09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val="en-US" w:eastAsia="zh-CN" w:bidi="ar"/>
              </w:rPr>
            </w:pPr>
            <w:r>
              <w:rPr>
                <w:rFonts w:hint="eastAsia" w:cs="Times New Roman"/>
                <w:color w:val="000000"/>
                <w:kern w:val="0"/>
                <w:sz w:val="21"/>
                <w:szCs w:val="21"/>
                <w:lang w:val="en-US" w:eastAsia="zh-CN" w:bidi="ar"/>
              </w:rPr>
              <w:t>41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49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8,200</w:t>
            </w:r>
            <w:r>
              <w:rPr>
                <w:rFonts w:hint="default" w:ascii="Times New Roman" w:hAnsi="Times New Roman" w:eastAsia="宋体" w:cs="Times New Roman"/>
                <w:i w:val="0"/>
                <w:iCs w:val="0"/>
                <w:color w:val="000000"/>
                <w:kern w:val="0"/>
                <w:sz w:val="21"/>
                <w:szCs w:val="21"/>
                <w:u w:val="none"/>
                <w:lang w:val="en-US" w:eastAsia="zh-CN" w:bidi="ar"/>
              </w:rPr>
              <w:t>.00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8,200</w:t>
            </w:r>
            <w:r>
              <w:rPr>
                <w:rFonts w:hint="default" w:ascii="Times New Roman" w:hAnsi="Times New Roman" w:eastAsia="宋体" w:cs="Times New Roman"/>
                <w:i w:val="0"/>
                <w:iCs w:val="0"/>
                <w:color w:val="000000"/>
                <w:kern w:val="0"/>
                <w:sz w:val="21"/>
                <w:szCs w:val="21"/>
                <w:u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55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10,500.00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cs="Times New Roman"/>
                <w:i w:val="0"/>
                <w:iCs w:val="0"/>
                <w:color w:val="000000"/>
                <w:kern w:val="0"/>
                <w:sz w:val="21"/>
                <w:szCs w:val="21"/>
                <w:u w:val="none"/>
                <w:lang w:val="en-US" w:eastAsia="zh-CN" w:bidi="ar"/>
              </w:rPr>
              <w:t>0,500</w:t>
            </w:r>
            <w:r>
              <w:rPr>
                <w:rFonts w:hint="default" w:ascii="Times New Roman" w:hAnsi="Times New Roman" w:eastAsia="宋体" w:cs="Times New Roman"/>
                <w:i w:val="0"/>
                <w:iCs w:val="0"/>
                <w:color w:val="000000"/>
                <w:kern w:val="0"/>
                <w:sz w:val="21"/>
                <w:szCs w:val="21"/>
                <w:u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合计</w:t>
            </w:r>
          </w:p>
        </w:tc>
        <w:tc>
          <w:tcPr>
            <w:tcW w:w="1639"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0"/>
                <w:sz w:val="21"/>
                <w:szCs w:val="21"/>
                <w:highlight w:val="none"/>
                <w:lang w:val="en-US" w:eastAsia="zh-CN" w:bidi="ar"/>
              </w:rPr>
            </w:pPr>
            <w:r>
              <w:rPr>
                <w:rFonts w:hint="default" w:ascii="Times New Roman" w:hAnsi="Times New Roman" w:cs="Times New Roman"/>
                <w:b/>
                <w:bCs/>
                <w:color w:val="000000"/>
                <w:kern w:val="0"/>
                <w:sz w:val="21"/>
                <w:szCs w:val="21"/>
                <w:highlight w:val="none"/>
                <w:lang w:val="en-US" w:eastAsia="zh-CN" w:bidi="ar"/>
              </w:rPr>
              <w:t>103,069.00</w:t>
            </w:r>
          </w:p>
        </w:tc>
        <w:tc>
          <w:tcPr>
            <w:tcW w:w="1622"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u w:val="none"/>
                <w:lang w:val="en-US" w:eastAsia="zh-CN" w:bidi="ar"/>
              </w:rPr>
            </w:pPr>
            <w:r>
              <w:rPr>
                <w:rFonts w:hint="default" w:ascii="Times New Roman" w:hAnsi="Times New Roman" w:cs="Times New Roman"/>
                <w:b/>
                <w:bCs/>
                <w:i w:val="0"/>
                <w:iCs w:val="0"/>
                <w:color w:val="000000"/>
                <w:kern w:val="0"/>
                <w:sz w:val="21"/>
                <w:szCs w:val="21"/>
                <w:u w:val="none"/>
                <w:lang w:val="en-US" w:eastAsia="zh-CN" w:bidi="ar"/>
              </w:rPr>
              <w:t>73,399</w:t>
            </w:r>
            <w:r>
              <w:rPr>
                <w:rFonts w:hint="eastAsia" w:ascii="Times New Roman" w:hAnsi="Times New Roman" w:cs="Times New Roman"/>
                <w:b/>
                <w:bCs/>
                <w:i w:val="0"/>
                <w:iCs w:val="0"/>
                <w:color w:val="000000"/>
                <w:kern w:val="0"/>
                <w:sz w:val="21"/>
                <w:szCs w:val="21"/>
                <w:u w:val="none"/>
                <w:lang w:val="en-US" w:eastAsia="zh-CN" w:bidi="ar"/>
              </w:rPr>
              <w:t>.00</w:t>
            </w:r>
          </w:p>
        </w:tc>
        <w:tc>
          <w:tcPr>
            <w:tcW w:w="1378"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u w:val="none"/>
                <w:lang w:val="en-US" w:eastAsia="zh-CN" w:bidi="ar"/>
              </w:rPr>
            </w:pPr>
            <w:r>
              <w:rPr>
                <w:rFonts w:hint="default" w:ascii="Times New Roman" w:hAnsi="Times New Roman" w:cs="Times New Roman"/>
                <w:b/>
                <w:bCs/>
                <w:i w:val="0"/>
                <w:iCs w:val="0"/>
                <w:color w:val="000000"/>
                <w:kern w:val="0"/>
                <w:sz w:val="21"/>
                <w:szCs w:val="21"/>
                <w:u w:val="none"/>
                <w:lang w:val="en-US" w:eastAsia="zh-CN" w:bidi="ar"/>
              </w:rPr>
              <w:t>5</w:t>
            </w:r>
            <w:r>
              <w:rPr>
                <w:rFonts w:hint="eastAsia" w:ascii="Times New Roman" w:hAnsi="Times New Roman" w:cs="Times New Roman"/>
                <w:b/>
                <w:bCs/>
                <w:i w:val="0"/>
                <w:iCs w:val="0"/>
                <w:color w:val="000000"/>
                <w:kern w:val="0"/>
                <w:sz w:val="21"/>
                <w:szCs w:val="21"/>
                <w:u w:val="none"/>
                <w:lang w:val="en-US" w:eastAsia="zh-CN" w:bidi="ar"/>
              </w:rPr>
              <w:t>68.39</w:t>
            </w:r>
          </w:p>
        </w:tc>
        <w:tc>
          <w:tcPr>
            <w:tcW w:w="1449" w:type="dxa"/>
            <w:tcBorders>
              <w:bottom w:val="thinThickSmallGap" w:color="auto" w:sz="24" w:space="0"/>
            </w:tcBorders>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u w:val="none"/>
                <w:lang w:val="en-US" w:eastAsia="zh-CN" w:bidi="ar"/>
              </w:rPr>
            </w:pPr>
            <w:r>
              <w:rPr>
                <w:rFonts w:hint="default" w:ascii="Times New Roman" w:hAnsi="Times New Roman" w:cs="Times New Roman"/>
                <w:b/>
                <w:bCs/>
                <w:i w:val="0"/>
                <w:iCs w:val="0"/>
                <w:color w:val="000000"/>
                <w:kern w:val="0"/>
                <w:sz w:val="21"/>
                <w:szCs w:val="21"/>
                <w:u w:val="none"/>
                <w:lang w:val="en-US" w:eastAsia="zh-CN" w:bidi="ar"/>
              </w:rPr>
              <w:t>29,670.00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42,318.00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31.82%</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9.99%</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目前已使用的理财额度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38,118.00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41,882.00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总理财额度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kern w:val="0"/>
                <w:sz w:val="21"/>
                <w:szCs w:val="21"/>
                <w:lang w:val="en-US" w:eastAsia="zh-CN" w:bidi="ar"/>
              </w:rPr>
              <w:t>80,000.00</w:t>
            </w:r>
          </w:p>
        </w:tc>
      </w:tr>
    </w:tbl>
    <w:p>
      <w:pPr>
        <w:widowControl/>
        <w:spacing w:before="156" w:beforeLines="50" w:after="156" w:after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before="156" w:beforeLines="50" w:after="156" w:afterLines="50"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before="156" w:beforeLines="50" w:after="156" w:afterLines="50" w:line="360" w:lineRule="auto"/>
        <w:ind w:firstLine="420" w:firstLineChars="175"/>
        <w:jc w:val="right"/>
        <w:rPr>
          <w:rFonts w:asciiTheme="minorEastAsia" w:hAnsiTheme="minorEastAsia" w:eastAsiaTheme="minorEastAsia" w:cstheme="minorEastAsia"/>
          <w:b/>
          <w:bCs/>
          <w:color w:val="000000"/>
          <w:sz w:val="24"/>
          <w:szCs w:val="24"/>
        </w:rPr>
      </w:pPr>
      <w:r>
        <w:rPr>
          <w:rFonts w:eastAsiaTheme="minorEastAsia"/>
          <w:color w:val="000000"/>
          <w:sz w:val="24"/>
          <w:szCs w:val="24"/>
        </w:rPr>
        <w:t>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5</w:t>
      </w:r>
      <w:r>
        <w:rPr>
          <w:rFonts w:eastAsiaTheme="minorEastAsia"/>
          <w:color w:val="000000"/>
          <w:sz w:val="24"/>
          <w:szCs w:val="24"/>
        </w:rPr>
        <w:t>月</w:t>
      </w:r>
      <w:r>
        <w:rPr>
          <w:rFonts w:hint="eastAsia" w:eastAsiaTheme="minorEastAsia"/>
          <w:color w:val="000000"/>
          <w:sz w:val="24"/>
          <w:szCs w:val="24"/>
          <w:highlight w:val="none"/>
          <w:lang w:val="en-US" w:eastAsia="zh-CN"/>
        </w:rPr>
        <w:t>13</w:t>
      </w:r>
      <w:r>
        <w:rPr>
          <w:rFonts w:eastAsiaTheme="minorEastAsia"/>
          <w:color w:val="000000"/>
          <w:sz w:val="24"/>
          <w:szCs w:val="24"/>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61809740"/>
    <w:multiLevelType w:val="singleLevel"/>
    <w:tmpl w:val="6180974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91A48"/>
    <w:rsid w:val="018E4822"/>
    <w:rsid w:val="027576DF"/>
    <w:rsid w:val="02AF4FED"/>
    <w:rsid w:val="04BC2DF0"/>
    <w:rsid w:val="05202816"/>
    <w:rsid w:val="05B5678A"/>
    <w:rsid w:val="06B74A0C"/>
    <w:rsid w:val="07832D9E"/>
    <w:rsid w:val="081E1989"/>
    <w:rsid w:val="083E47F0"/>
    <w:rsid w:val="08C60F31"/>
    <w:rsid w:val="0AC149D4"/>
    <w:rsid w:val="0BC4590D"/>
    <w:rsid w:val="0BE8347C"/>
    <w:rsid w:val="0F34760A"/>
    <w:rsid w:val="11535FD3"/>
    <w:rsid w:val="15462F97"/>
    <w:rsid w:val="175F6E32"/>
    <w:rsid w:val="17E62CEF"/>
    <w:rsid w:val="1A041605"/>
    <w:rsid w:val="1D0673A8"/>
    <w:rsid w:val="1D36117A"/>
    <w:rsid w:val="1DE640C3"/>
    <w:rsid w:val="1E125A00"/>
    <w:rsid w:val="1F6C3676"/>
    <w:rsid w:val="22E444FB"/>
    <w:rsid w:val="22F55499"/>
    <w:rsid w:val="24C4703C"/>
    <w:rsid w:val="253D0429"/>
    <w:rsid w:val="26163899"/>
    <w:rsid w:val="26C8503C"/>
    <w:rsid w:val="27E712B2"/>
    <w:rsid w:val="29A7485D"/>
    <w:rsid w:val="2A6D4261"/>
    <w:rsid w:val="2CF94005"/>
    <w:rsid w:val="2DF44503"/>
    <w:rsid w:val="2E4E7A2B"/>
    <w:rsid w:val="2E80779D"/>
    <w:rsid w:val="2F2A7017"/>
    <w:rsid w:val="347C1322"/>
    <w:rsid w:val="38D05A6D"/>
    <w:rsid w:val="390212BA"/>
    <w:rsid w:val="397D10DC"/>
    <w:rsid w:val="39B02A11"/>
    <w:rsid w:val="3AF7441B"/>
    <w:rsid w:val="3BB348DA"/>
    <w:rsid w:val="3CDC3E3C"/>
    <w:rsid w:val="3EE1443F"/>
    <w:rsid w:val="3EFB2631"/>
    <w:rsid w:val="40461D28"/>
    <w:rsid w:val="42FD048C"/>
    <w:rsid w:val="433B62FA"/>
    <w:rsid w:val="43426F87"/>
    <w:rsid w:val="45891E5F"/>
    <w:rsid w:val="48000720"/>
    <w:rsid w:val="4A0E310F"/>
    <w:rsid w:val="4C565D83"/>
    <w:rsid w:val="4CDF0DFB"/>
    <w:rsid w:val="4E220290"/>
    <w:rsid w:val="4F8711C8"/>
    <w:rsid w:val="56FD7F32"/>
    <w:rsid w:val="58CF0866"/>
    <w:rsid w:val="59DB62D9"/>
    <w:rsid w:val="5C646231"/>
    <w:rsid w:val="5CE22D20"/>
    <w:rsid w:val="5FB667B3"/>
    <w:rsid w:val="609A26F5"/>
    <w:rsid w:val="65836416"/>
    <w:rsid w:val="66066C4D"/>
    <w:rsid w:val="6736715E"/>
    <w:rsid w:val="678C6E13"/>
    <w:rsid w:val="67BF6746"/>
    <w:rsid w:val="67F10A97"/>
    <w:rsid w:val="683A721E"/>
    <w:rsid w:val="688A543D"/>
    <w:rsid w:val="68BA5CE9"/>
    <w:rsid w:val="692A202C"/>
    <w:rsid w:val="6B797D08"/>
    <w:rsid w:val="6DBF37EC"/>
    <w:rsid w:val="6E15182E"/>
    <w:rsid w:val="6E471F02"/>
    <w:rsid w:val="70BD7855"/>
    <w:rsid w:val="73911D1F"/>
    <w:rsid w:val="75A620CB"/>
    <w:rsid w:val="76CC503A"/>
    <w:rsid w:val="770712E0"/>
    <w:rsid w:val="7A0B4B33"/>
    <w:rsid w:val="7A656D7F"/>
    <w:rsid w:val="7B636B9B"/>
    <w:rsid w:val="7CA74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2021-05-07T01:49:00Z</dcterms:created>
  <dc:creator>suuuu</dc:creator>
  <cp:lastModifiedBy>邹岩</cp:lastModifiedBy>
  <dcterms:modified xsi:type="dcterms:W3CDTF">2021-05-12T03:35:14Z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0BD9358F689B471FA16F3CAAFEBB10C0</vt:lpwstr>
  </property>
</Properties>
</file>