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rPr>
          <w:rFonts w:hint="default" w:eastAsia="宋体"/>
          <w:szCs w:val="21"/>
          <w:lang w:val="en-US" w:eastAsia="zh-CN"/>
        </w:rPr>
      </w:pPr>
      <w:r>
        <w:rPr>
          <w:szCs w:val="21"/>
        </w:rPr>
        <w:t xml:space="preserve">证券代码：603232              证券简称：格尔软件    </w:t>
      </w:r>
      <w:r>
        <w:rPr>
          <w:rFonts w:hint="eastAsia"/>
          <w:szCs w:val="21"/>
          <w:lang w:val="en-US" w:eastAsia="zh-CN"/>
        </w:rPr>
        <w:t xml:space="preserve"> </w:t>
      </w:r>
      <w:r>
        <w:rPr>
          <w:szCs w:val="21"/>
        </w:rPr>
        <w:t xml:space="preserve">        公告编号：202</w:t>
      </w:r>
      <w:r>
        <w:rPr>
          <w:rFonts w:hint="eastAsia"/>
          <w:szCs w:val="21"/>
          <w:highlight w:val="none"/>
          <w:lang w:val="en-US" w:eastAsia="zh-CN"/>
        </w:rPr>
        <w:t>1</w:t>
      </w:r>
      <w:r>
        <w:rPr>
          <w:szCs w:val="21"/>
          <w:highlight w:val="none"/>
        </w:rPr>
        <w:t>-</w:t>
      </w:r>
      <w:r>
        <w:rPr>
          <w:rFonts w:hint="eastAsia"/>
          <w:szCs w:val="21"/>
          <w:highlight w:val="none"/>
          <w:lang w:val="en-US" w:eastAsia="zh-CN"/>
        </w:rPr>
        <w:t>065</w:t>
      </w:r>
    </w:p>
    <w:p>
      <w:pPr>
        <w:autoSpaceDE w:val="0"/>
        <w:autoSpaceDN w:val="0"/>
        <w:adjustRightInd w:val="0"/>
        <w:jc w:val="left"/>
        <w:rPr>
          <w:rFonts w:ascii="黑体" w:hAnsi="黑体" w:cs="黑体" w:eastAsiaTheme="minorEastAsia"/>
          <w:color w:val="000000"/>
          <w:kern w:val="0"/>
          <w:sz w:val="24"/>
          <w:szCs w:val="24"/>
        </w:rPr>
      </w:pPr>
    </w:p>
    <w:p>
      <w:pPr>
        <w:adjustRightInd w:val="0"/>
        <w:snapToGrid w:val="0"/>
        <w:spacing w:line="360" w:lineRule="auto"/>
        <w:jc w:val="center"/>
        <w:rPr>
          <w:rFonts w:ascii="黑体" w:hAnsi="黑体" w:eastAsia="黑体"/>
          <w:b/>
          <w:color w:val="FF0000"/>
          <w:sz w:val="32"/>
          <w:szCs w:val="32"/>
        </w:rPr>
      </w:pPr>
      <w:r>
        <w:rPr>
          <w:rFonts w:hint="eastAsia" w:ascii="黑体" w:hAnsi="黑体" w:eastAsia="黑体"/>
          <w:b/>
          <w:color w:val="FF0000"/>
          <w:sz w:val="32"/>
          <w:szCs w:val="32"/>
        </w:rPr>
        <w:t>格尔软件股份有限公司</w:t>
      </w:r>
    </w:p>
    <w:p>
      <w:pPr>
        <w:adjustRightInd w:val="0"/>
        <w:snapToGrid w:val="0"/>
        <w:spacing w:line="360" w:lineRule="auto"/>
        <w:jc w:val="center"/>
        <w:rPr>
          <w:rFonts w:ascii="黑体" w:hAnsi="黑体" w:eastAsia="黑体"/>
          <w:b/>
          <w:color w:val="FF0000"/>
          <w:sz w:val="32"/>
          <w:szCs w:val="32"/>
        </w:rPr>
      </w:pPr>
      <w:r>
        <w:rPr>
          <w:rFonts w:hint="eastAsia" w:ascii="黑体" w:hAnsi="黑体" w:eastAsia="黑体"/>
          <w:b/>
          <w:color w:val="FF0000"/>
          <w:sz w:val="32"/>
          <w:szCs w:val="32"/>
        </w:rPr>
        <w:t>关于使用部分闲置募集资金进行现金管理的进展公告</w:t>
      </w:r>
    </w:p>
    <w:p>
      <w:pPr>
        <w:pBdr>
          <w:top w:val="single" w:color="auto" w:sz="4" w:space="1"/>
          <w:left w:val="single" w:color="auto" w:sz="4" w:space="4"/>
          <w:bottom w:val="single" w:color="auto" w:sz="4" w:space="0"/>
          <w:right w:val="single" w:color="auto" w:sz="4" w:space="4"/>
        </w:pBdr>
        <w:adjustRightInd w:val="0"/>
        <w:snapToGrid w:val="0"/>
        <w:spacing w:line="360" w:lineRule="auto"/>
        <w:ind w:firstLine="420" w:firstLineChars="200"/>
        <w:rPr>
          <w:rFonts w:asciiTheme="minorEastAsia" w:hAnsiTheme="minorEastAsia" w:eastAsiaTheme="minorEastAsia"/>
          <w:color w:val="000000"/>
          <w:szCs w:val="21"/>
        </w:rPr>
      </w:pPr>
      <w:r>
        <w:rPr>
          <w:rFonts w:hint="eastAsia" w:asciiTheme="minorEastAsia" w:hAnsiTheme="minorEastAsia" w:eastAsiaTheme="minorEastAsia"/>
          <w:color w:val="000000"/>
          <w:szCs w:val="21"/>
        </w:rPr>
        <w:t>本公司董事会及全体董事保证本公告内容不存在任何虚假记载、误导性陈述或者重大遗漏，并对其内容的真实性、准确性和完整性承担个别及连带责任。</w:t>
      </w:r>
    </w:p>
    <w:p>
      <w:pPr>
        <w:adjustRightInd w:val="0"/>
        <w:snapToGrid w:val="0"/>
        <w:spacing w:line="360" w:lineRule="auto"/>
        <w:ind w:firstLine="482" w:firstLineChars="200"/>
        <w:rPr>
          <w:rFonts w:asciiTheme="minorEastAsia" w:hAnsiTheme="minorEastAsia" w:eastAsiaTheme="minorEastAsia"/>
          <w:b/>
          <w:sz w:val="24"/>
          <w:szCs w:val="24"/>
        </w:rPr>
      </w:pPr>
    </w:p>
    <w:p>
      <w:pPr>
        <w:adjustRightInd w:val="0"/>
        <w:snapToGrid w:val="0"/>
        <w:spacing w:line="360" w:lineRule="auto"/>
        <w:rPr>
          <w:rFonts w:asciiTheme="minorEastAsia" w:hAnsiTheme="minorEastAsia" w:eastAsiaTheme="minorEastAsia"/>
          <w:b/>
          <w:sz w:val="24"/>
          <w:szCs w:val="24"/>
        </w:rPr>
      </w:pPr>
      <w:r>
        <w:rPr>
          <w:rFonts w:hint="eastAsia" w:asciiTheme="minorEastAsia" w:hAnsiTheme="minorEastAsia" w:eastAsiaTheme="minorEastAsia"/>
          <w:b/>
          <w:sz w:val="24"/>
          <w:szCs w:val="24"/>
        </w:rPr>
        <w:t>重要内容提示：</w:t>
      </w:r>
    </w:p>
    <w:p>
      <w:pPr>
        <w:keepNext w:val="0"/>
        <w:keepLines w:val="0"/>
        <w:widowControl/>
        <w:numPr>
          <w:ilvl w:val="0"/>
          <w:numId w:val="1"/>
        </w:numPr>
        <w:suppressLineNumbers w:val="0"/>
        <w:spacing w:line="360" w:lineRule="auto"/>
        <w:ind w:left="420" w:leftChars="0" w:hanging="420" w:firstLineChars="0"/>
        <w:jc w:val="left"/>
        <w:rPr>
          <w:rFonts w:eastAsiaTheme="minorEastAsia"/>
          <w:color w:val="000000"/>
          <w:kern w:val="0"/>
          <w:sz w:val="24"/>
          <w:szCs w:val="24"/>
          <w:highlight w:val="none"/>
          <w:lang w:bidi="ar"/>
        </w:rPr>
      </w:pPr>
      <w:r>
        <w:rPr>
          <w:rFonts w:hint="eastAsia" w:asciiTheme="minorEastAsia" w:hAnsiTheme="minorEastAsia" w:eastAsiaTheme="minorEastAsia" w:cstheme="minorEastAsia"/>
          <w:color w:val="000000"/>
          <w:kern w:val="0"/>
          <w:sz w:val="24"/>
          <w:szCs w:val="24"/>
          <w:highlight w:val="none"/>
          <w:lang w:bidi="ar"/>
        </w:rPr>
        <w:t>委托理财受托方：</w:t>
      </w:r>
      <w:r>
        <w:rPr>
          <w:rFonts w:eastAsiaTheme="minorEastAsia"/>
          <w:color w:val="000000"/>
          <w:kern w:val="0"/>
          <w:sz w:val="24"/>
          <w:szCs w:val="24"/>
          <w:highlight w:val="none"/>
          <w:lang w:bidi="ar"/>
        </w:rPr>
        <w:t>国融证券股份有限公司上海长江西路证券营业部（以下简称</w:t>
      </w:r>
      <w:r>
        <w:rPr>
          <w:rFonts w:hint="eastAsia" w:eastAsiaTheme="minorEastAsia"/>
          <w:color w:val="000000"/>
          <w:kern w:val="0"/>
          <w:sz w:val="24"/>
          <w:szCs w:val="24"/>
          <w:highlight w:val="none"/>
          <w:lang w:eastAsia="zh-CN" w:bidi="ar"/>
        </w:rPr>
        <w:t>“</w:t>
      </w:r>
      <w:r>
        <w:rPr>
          <w:rFonts w:eastAsiaTheme="minorEastAsia"/>
          <w:color w:val="000000"/>
          <w:kern w:val="0"/>
          <w:sz w:val="24"/>
          <w:szCs w:val="24"/>
          <w:highlight w:val="none"/>
          <w:lang w:bidi="ar"/>
        </w:rPr>
        <w:t>国融证券</w:t>
      </w:r>
      <w:r>
        <w:rPr>
          <w:rFonts w:hint="eastAsia" w:eastAsiaTheme="minorEastAsia"/>
          <w:color w:val="000000"/>
          <w:kern w:val="0"/>
          <w:sz w:val="24"/>
          <w:szCs w:val="24"/>
          <w:highlight w:val="none"/>
          <w:lang w:eastAsia="zh-CN" w:bidi="ar"/>
        </w:rPr>
        <w:t>”</w:t>
      </w:r>
      <w:r>
        <w:rPr>
          <w:rFonts w:eastAsiaTheme="minorEastAsia"/>
          <w:color w:val="000000"/>
          <w:kern w:val="0"/>
          <w:sz w:val="24"/>
          <w:szCs w:val="24"/>
          <w:highlight w:val="none"/>
          <w:lang w:bidi="ar"/>
        </w:rPr>
        <w:t>）</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jc w:val="left"/>
        <w:textAlignment w:val="auto"/>
        <w:rPr>
          <w:rFonts w:eastAsiaTheme="minorEastAsia"/>
          <w:sz w:val="24"/>
          <w:szCs w:val="24"/>
          <w:highlight w:val="none"/>
        </w:rPr>
      </w:pPr>
      <w:r>
        <w:rPr>
          <w:rFonts w:eastAsiaTheme="minorEastAsia"/>
          <w:color w:val="000000"/>
          <w:kern w:val="0"/>
          <w:sz w:val="24"/>
          <w:szCs w:val="24"/>
          <w:highlight w:val="none"/>
          <w:lang w:bidi="ar"/>
        </w:rPr>
        <w:t>本次委托理财金额：</w:t>
      </w:r>
      <w:r>
        <w:rPr>
          <w:rFonts w:hint="eastAsia" w:eastAsiaTheme="minorEastAsia"/>
          <w:color w:val="000000"/>
          <w:kern w:val="0"/>
          <w:sz w:val="24"/>
          <w:szCs w:val="24"/>
          <w:highlight w:val="none"/>
          <w:lang w:val="en-US" w:eastAsia="zh-CN" w:bidi="ar"/>
        </w:rPr>
        <w:t>7,000</w:t>
      </w:r>
      <w:r>
        <w:rPr>
          <w:rFonts w:eastAsiaTheme="minorEastAsia"/>
          <w:color w:val="000000"/>
          <w:kern w:val="0"/>
          <w:sz w:val="24"/>
          <w:szCs w:val="24"/>
          <w:highlight w:val="none"/>
          <w:lang w:bidi="ar"/>
        </w:rPr>
        <w:t>万元</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asciiTheme="minorEastAsia" w:hAnsiTheme="minorEastAsia" w:eastAsiaTheme="minorEastAsia" w:cstheme="minorEastAsia"/>
          <w:highlight w:val="none"/>
        </w:rPr>
      </w:pPr>
      <w:r>
        <w:rPr>
          <w:rFonts w:eastAsiaTheme="minorEastAsia"/>
          <w:color w:val="000000"/>
          <w:kern w:val="0"/>
          <w:sz w:val="24"/>
          <w:szCs w:val="24"/>
          <w:highlight w:val="none"/>
          <w:lang w:bidi="ar"/>
        </w:rPr>
        <w:t>委托理财产品名称：</w:t>
      </w:r>
      <w:r>
        <w:rPr>
          <w:rFonts w:hint="eastAsia" w:eastAsiaTheme="minorEastAsia"/>
          <w:color w:val="000000"/>
          <w:kern w:val="0"/>
          <w:sz w:val="24"/>
          <w:szCs w:val="24"/>
          <w:highlight w:val="none"/>
          <w:lang w:bidi="ar"/>
        </w:rPr>
        <w:t>国融证券安享收益凭证</w:t>
      </w:r>
      <w:r>
        <w:rPr>
          <w:rFonts w:hint="eastAsia" w:eastAsiaTheme="minorEastAsia"/>
          <w:color w:val="000000"/>
          <w:kern w:val="0"/>
          <w:sz w:val="24"/>
          <w:szCs w:val="24"/>
          <w:highlight w:val="none"/>
          <w:lang w:val="en-US" w:eastAsia="zh-CN" w:bidi="ar"/>
        </w:rPr>
        <w:t>2165</w:t>
      </w:r>
      <w:r>
        <w:rPr>
          <w:rFonts w:hint="eastAsia" w:eastAsiaTheme="minorEastAsia"/>
          <w:color w:val="000000"/>
          <w:kern w:val="0"/>
          <w:sz w:val="24"/>
          <w:szCs w:val="24"/>
          <w:highlight w:val="none"/>
          <w:lang w:eastAsia="zh-CN" w:bidi="ar"/>
        </w:rPr>
        <w:t>号（以下简称“安享收益凭证</w:t>
      </w:r>
      <w:r>
        <w:rPr>
          <w:rFonts w:hint="eastAsia" w:eastAsiaTheme="minorEastAsia"/>
          <w:color w:val="000000"/>
          <w:kern w:val="0"/>
          <w:sz w:val="24"/>
          <w:szCs w:val="24"/>
          <w:highlight w:val="none"/>
          <w:lang w:val="en-US" w:eastAsia="zh-CN" w:bidi="ar"/>
        </w:rPr>
        <w:t>2165号</w:t>
      </w:r>
      <w:r>
        <w:rPr>
          <w:rFonts w:hint="eastAsia" w:eastAsiaTheme="minorEastAsia"/>
          <w:color w:val="000000"/>
          <w:kern w:val="0"/>
          <w:sz w:val="24"/>
          <w:szCs w:val="24"/>
          <w:highlight w:val="none"/>
          <w:lang w:eastAsia="zh-CN" w:bidi="ar"/>
        </w:rPr>
        <w:t>”）</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jc w:val="left"/>
        <w:textAlignment w:val="auto"/>
        <w:rPr>
          <w:rFonts w:hint="default" w:ascii="Times New Roman" w:hAnsi="Times New Roman" w:cs="Times New Roman" w:eastAsiaTheme="minorEastAsia"/>
          <w:color w:val="000000"/>
          <w:kern w:val="0"/>
          <w:sz w:val="24"/>
          <w:szCs w:val="24"/>
          <w:highlight w:val="none"/>
          <w:lang w:bidi="ar"/>
        </w:rPr>
      </w:pPr>
      <w:r>
        <w:rPr>
          <w:rFonts w:hint="default" w:ascii="Times New Roman" w:hAnsi="Times New Roman" w:cs="Times New Roman" w:eastAsiaTheme="minorEastAsia"/>
          <w:color w:val="000000"/>
          <w:kern w:val="0"/>
          <w:sz w:val="24"/>
          <w:szCs w:val="24"/>
          <w:highlight w:val="none"/>
          <w:lang w:bidi="ar"/>
        </w:rPr>
        <w:t>委托理财期限：</w:t>
      </w:r>
      <w:r>
        <w:rPr>
          <w:rFonts w:hint="eastAsia" w:eastAsiaTheme="minorEastAsia"/>
          <w:color w:val="000000"/>
          <w:kern w:val="0"/>
          <w:sz w:val="24"/>
          <w:szCs w:val="24"/>
          <w:highlight w:val="none"/>
          <w:lang w:eastAsia="zh-CN" w:bidi="ar"/>
        </w:rPr>
        <w:t>安享收益凭证</w:t>
      </w:r>
      <w:r>
        <w:rPr>
          <w:rFonts w:hint="eastAsia" w:eastAsiaTheme="minorEastAsia"/>
          <w:color w:val="000000"/>
          <w:kern w:val="0"/>
          <w:sz w:val="24"/>
          <w:szCs w:val="24"/>
          <w:highlight w:val="none"/>
          <w:lang w:val="en-US" w:eastAsia="zh-CN" w:bidi="ar"/>
        </w:rPr>
        <w:t>2165号总计</w:t>
      </w:r>
      <w:r>
        <w:rPr>
          <w:rFonts w:hint="eastAsia" w:cs="Times New Roman" w:eastAsiaTheme="minorEastAsia"/>
          <w:color w:val="000000"/>
          <w:kern w:val="0"/>
          <w:sz w:val="24"/>
          <w:szCs w:val="24"/>
          <w:highlight w:val="none"/>
          <w:lang w:val="en-US" w:eastAsia="zh-CN" w:bidi="ar"/>
        </w:rPr>
        <w:t>105</w:t>
      </w:r>
      <w:r>
        <w:rPr>
          <w:rFonts w:hint="default" w:ascii="Times New Roman" w:hAnsi="Times New Roman" w:cs="Times New Roman" w:eastAsiaTheme="minorEastAsia"/>
          <w:color w:val="000000"/>
          <w:kern w:val="0"/>
          <w:sz w:val="24"/>
          <w:szCs w:val="24"/>
          <w:highlight w:val="none"/>
          <w:lang w:bidi="ar"/>
        </w:rPr>
        <w:t>天</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asciiTheme="minorEastAsia" w:hAnsiTheme="minorEastAsia" w:eastAsiaTheme="minorEastAsia" w:cstheme="minorEastAsia"/>
          <w:color w:val="000000"/>
          <w:sz w:val="24"/>
          <w:szCs w:val="24"/>
        </w:rPr>
      </w:pPr>
      <w:r>
        <w:rPr>
          <w:rFonts w:eastAsiaTheme="minorEastAsia"/>
          <w:color w:val="000000"/>
          <w:kern w:val="0"/>
          <w:sz w:val="24"/>
          <w:szCs w:val="24"/>
          <w:highlight w:val="none"/>
          <w:lang w:bidi="ar"/>
        </w:rPr>
        <w:t>履行的审议程序：格尔软件股份有限公司（以下简称</w:t>
      </w:r>
      <w:r>
        <w:rPr>
          <w:rFonts w:hint="eastAsia" w:eastAsiaTheme="minorEastAsia"/>
          <w:color w:val="000000"/>
          <w:kern w:val="0"/>
          <w:sz w:val="24"/>
          <w:szCs w:val="24"/>
          <w:highlight w:val="none"/>
          <w:lang w:bidi="ar"/>
        </w:rPr>
        <w:t>“</w:t>
      </w:r>
      <w:r>
        <w:rPr>
          <w:rFonts w:eastAsiaTheme="minorEastAsia"/>
          <w:color w:val="000000"/>
          <w:kern w:val="0"/>
          <w:sz w:val="24"/>
          <w:szCs w:val="24"/>
          <w:highlight w:val="none"/>
          <w:lang w:bidi="ar"/>
        </w:rPr>
        <w:t>公司</w:t>
      </w:r>
      <w:r>
        <w:rPr>
          <w:rFonts w:hint="eastAsia" w:eastAsiaTheme="minorEastAsia"/>
          <w:color w:val="000000"/>
          <w:kern w:val="0"/>
          <w:sz w:val="24"/>
          <w:szCs w:val="24"/>
          <w:highlight w:val="none"/>
          <w:lang w:bidi="ar"/>
        </w:rPr>
        <w:t>”</w:t>
      </w:r>
      <w:r>
        <w:rPr>
          <w:rFonts w:eastAsiaTheme="minorEastAsia"/>
          <w:color w:val="000000"/>
          <w:kern w:val="0"/>
          <w:sz w:val="24"/>
          <w:szCs w:val="24"/>
          <w:highlight w:val="none"/>
          <w:lang w:bidi="ar"/>
        </w:rPr>
        <w:t>）分别于2020年9月11日、2020年9月28日召开了公司第七届董事会第十二次会议、第七届监事会第九次会议及公司2020年第四次临时股东大会，</w:t>
      </w:r>
      <w:r>
        <w:rPr>
          <w:rFonts w:eastAsiaTheme="minorEastAsia"/>
          <w:color w:val="000000"/>
          <w:sz w:val="24"/>
          <w:szCs w:val="24"/>
          <w:highlight w:val="none"/>
        </w:rPr>
        <w:t>审议通过了《关于使用部分闲置募集资</w:t>
      </w:r>
      <w:r>
        <w:rPr>
          <w:rFonts w:eastAsiaTheme="minorEastAsia"/>
          <w:color w:val="000000"/>
          <w:sz w:val="24"/>
          <w:szCs w:val="24"/>
        </w:rPr>
        <w:t>金进行现金管理的议案》。同意公司使用总额不超过人民币7亿元（含7亿元）的闲置募集资金进行现金管理，同时在二年内（含二年）该项资金额度可滚动使用（</w:t>
      </w:r>
      <w:r>
        <w:rPr>
          <w:sz w:val="24"/>
        </w:rPr>
        <w:t>该滚动使用以保证募集资金项目建设和使用为前提</w:t>
      </w:r>
      <w:r>
        <w:rPr>
          <w:rFonts w:eastAsiaTheme="minorEastAsia"/>
          <w:color w:val="000000"/>
          <w:sz w:val="24"/>
          <w:szCs w:val="24"/>
        </w:rPr>
        <w:t>），并授权公司董事长在上述额度范围和时效内行使该项投资决策权并签署相关合同文件，并由公司管理层组织相关部门实施。自获得公司2020年第四次临时股东大会审议通过之日起二年内有效。公司独立董事、监</w:t>
      </w:r>
      <w:r>
        <w:rPr>
          <w:rFonts w:eastAsiaTheme="minorEastAsia"/>
          <w:color w:val="000000"/>
          <w:sz w:val="24"/>
          <w:szCs w:val="24"/>
          <w:highlight w:val="none"/>
        </w:rPr>
        <w:t>事会及保荐机构已分别对此发表了同意的意见。具体详情详见公司分别于2020年</w:t>
      </w:r>
      <w:r>
        <w:rPr>
          <w:rFonts w:hint="eastAsia" w:eastAsiaTheme="minorEastAsia"/>
          <w:color w:val="000000"/>
          <w:sz w:val="24"/>
          <w:szCs w:val="24"/>
          <w:highlight w:val="none"/>
          <w:lang w:val="en-US" w:eastAsia="zh-CN"/>
        </w:rPr>
        <w:t>9</w:t>
      </w:r>
      <w:r>
        <w:rPr>
          <w:rFonts w:eastAsiaTheme="minorEastAsia"/>
          <w:color w:val="000000"/>
          <w:sz w:val="24"/>
          <w:szCs w:val="24"/>
          <w:highlight w:val="none"/>
        </w:rPr>
        <w:t>月</w:t>
      </w:r>
      <w:r>
        <w:rPr>
          <w:rFonts w:hint="eastAsia" w:eastAsiaTheme="minorEastAsia"/>
          <w:color w:val="000000"/>
          <w:sz w:val="24"/>
          <w:szCs w:val="24"/>
          <w:highlight w:val="none"/>
          <w:lang w:val="en-US" w:eastAsia="zh-CN"/>
        </w:rPr>
        <w:t>12</w:t>
      </w:r>
      <w:r>
        <w:rPr>
          <w:rFonts w:eastAsiaTheme="minorEastAsia"/>
          <w:color w:val="000000"/>
          <w:sz w:val="24"/>
          <w:szCs w:val="24"/>
          <w:highlight w:val="none"/>
        </w:rPr>
        <w:t>日、2020年</w:t>
      </w:r>
      <w:r>
        <w:rPr>
          <w:rFonts w:hint="eastAsia" w:eastAsiaTheme="minorEastAsia"/>
          <w:color w:val="000000"/>
          <w:sz w:val="24"/>
          <w:szCs w:val="24"/>
          <w:highlight w:val="none"/>
          <w:lang w:val="en-US" w:eastAsia="zh-CN"/>
        </w:rPr>
        <w:t>9</w:t>
      </w:r>
      <w:r>
        <w:rPr>
          <w:rFonts w:eastAsiaTheme="minorEastAsia"/>
          <w:color w:val="000000"/>
          <w:sz w:val="24"/>
          <w:szCs w:val="24"/>
          <w:highlight w:val="none"/>
        </w:rPr>
        <w:t>月</w:t>
      </w:r>
      <w:r>
        <w:rPr>
          <w:rFonts w:hint="eastAsia" w:eastAsiaTheme="minorEastAsia"/>
          <w:color w:val="000000"/>
          <w:sz w:val="24"/>
          <w:szCs w:val="24"/>
          <w:highlight w:val="none"/>
          <w:lang w:val="en-US" w:eastAsia="zh-CN"/>
        </w:rPr>
        <w:t>29</w:t>
      </w:r>
      <w:r>
        <w:rPr>
          <w:rFonts w:eastAsiaTheme="minorEastAsia"/>
          <w:color w:val="000000"/>
          <w:sz w:val="24"/>
          <w:szCs w:val="24"/>
          <w:highlight w:val="none"/>
        </w:rPr>
        <w:t>日刊</w:t>
      </w:r>
      <w:r>
        <w:rPr>
          <w:rFonts w:eastAsiaTheme="minorEastAsia"/>
          <w:color w:val="000000"/>
          <w:sz w:val="24"/>
          <w:szCs w:val="24"/>
        </w:rPr>
        <w:t>登在上海证券交易所网站（www.sse.com.cn）的《</w:t>
      </w:r>
      <w:r>
        <w:rPr>
          <w:sz w:val="24"/>
          <w:szCs w:val="24"/>
        </w:rPr>
        <w:t>格尔软件股份有限公司关于使用部分闲置募集资金进行现金管理的公告</w:t>
      </w:r>
      <w:r>
        <w:rPr>
          <w:rFonts w:eastAsiaTheme="minorEastAsia"/>
          <w:color w:val="000000"/>
          <w:sz w:val="24"/>
          <w:szCs w:val="24"/>
        </w:rPr>
        <w:t>》（公告编号：2020-0</w:t>
      </w:r>
      <w:r>
        <w:rPr>
          <w:rFonts w:hint="eastAsia" w:eastAsiaTheme="minorEastAsia"/>
          <w:color w:val="000000"/>
          <w:sz w:val="24"/>
          <w:szCs w:val="24"/>
          <w:lang w:val="en-US" w:eastAsia="zh-CN"/>
        </w:rPr>
        <w:t>6</w:t>
      </w:r>
      <w:r>
        <w:rPr>
          <w:rFonts w:eastAsiaTheme="minorEastAsia"/>
          <w:color w:val="000000"/>
          <w:sz w:val="24"/>
          <w:szCs w:val="24"/>
        </w:rPr>
        <w:t>5）、《格尔软件股份有限公司2020年第四次临时股东大会决议公告》（公告编号：2020-0</w:t>
      </w:r>
      <w:r>
        <w:rPr>
          <w:rFonts w:hint="eastAsia" w:eastAsiaTheme="minorEastAsia"/>
          <w:color w:val="000000"/>
          <w:sz w:val="24"/>
          <w:szCs w:val="24"/>
          <w:lang w:val="en-US" w:eastAsia="zh-CN"/>
        </w:rPr>
        <w:t>69</w:t>
      </w:r>
      <w:r>
        <w:rPr>
          <w:rFonts w:eastAsiaTheme="minorEastAsia"/>
          <w:color w:val="000000"/>
          <w:sz w:val="24"/>
          <w:szCs w:val="24"/>
        </w:rPr>
        <w:t>）。</w:t>
      </w:r>
    </w:p>
    <w:p>
      <w:pPr>
        <w:widowControl/>
        <w:spacing w:before="156" w:beforeLines="50" w:after="156" w:afterLines="50" w:line="360" w:lineRule="auto"/>
        <w:jc w:val="left"/>
        <w:rPr>
          <w:rFonts w:hint="eastAsia" w:eastAsiaTheme="minorEastAsia"/>
          <w:b/>
          <w:color w:val="000000"/>
          <w:sz w:val="24"/>
          <w:szCs w:val="24"/>
        </w:rPr>
      </w:pPr>
      <w:r>
        <w:rPr>
          <w:rFonts w:hint="eastAsia" w:eastAsiaTheme="minorEastAsia"/>
          <w:b/>
          <w:color w:val="000000"/>
          <w:sz w:val="24"/>
          <w:szCs w:val="24"/>
          <w:lang w:val="en-US" w:eastAsia="zh-CN"/>
        </w:rPr>
        <w:t>一</w:t>
      </w:r>
      <w:r>
        <w:rPr>
          <w:rFonts w:hint="eastAsia" w:eastAsiaTheme="minorEastAsia"/>
          <w:b/>
          <w:color w:val="000000"/>
          <w:sz w:val="24"/>
          <w:szCs w:val="24"/>
        </w:rPr>
        <w:t>、</w:t>
      </w:r>
      <w:r>
        <w:rPr>
          <w:rFonts w:hint="eastAsia" w:eastAsiaTheme="minorEastAsia"/>
          <w:b/>
          <w:color w:val="000000"/>
          <w:sz w:val="24"/>
          <w:szCs w:val="24"/>
          <w:lang w:val="en-US" w:eastAsia="zh-CN"/>
        </w:rPr>
        <w:t>公司前次使用暂时闲置募集资金购买理财产品到期赎回的情况</w:t>
      </w:r>
    </w:p>
    <w:tbl>
      <w:tblPr>
        <w:tblStyle w:val="3"/>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9"/>
        <w:gridCol w:w="702"/>
        <w:gridCol w:w="1231"/>
        <w:gridCol w:w="1016"/>
        <w:gridCol w:w="1369"/>
        <w:gridCol w:w="1273"/>
        <w:gridCol w:w="1183"/>
        <w:gridCol w:w="10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399" w:type="pct"/>
          </w:tcPr>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受托方</w:t>
            </w:r>
          </w:p>
        </w:tc>
        <w:tc>
          <w:tcPr>
            <w:tcW w:w="412" w:type="pct"/>
          </w:tcPr>
          <w:p>
            <w:pPr>
              <w:autoSpaceDE w:val="0"/>
              <w:autoSpaceDN w:val="0"/>
              <w:adjustRightInd w:val="0"/>
              <w:jc w:val="center"/>
              <w:rPr>
                <w:rFonts w:hint="default"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产品类型</w:t>
            </w:r>
          </w:p>
        </w:tc>
        <w:tc>
          <w:tcPr>
            <w:tcW w:w="722" w:type="pct"/>
          </w:tcPr>
          <w:p>
            <w:pPr>
              <w:autoSpaceDE w:val="0"/>
              <w:autoSpaceDN w:val="0"/>
              <w:adjustRightInd w:val="0"/>
              <w:jc w:val="center"/>
              <w:rPr>
                <w:rFonts w:hint="default"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产品名称</w:t>
            </w:r>
          </w:p>
        </w:tc>
        <w:tc>
          <w:tcPr>
            <w:tcW w:w="596" w:type="pct"/>
          </w:tcPr>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赎回金额</w:t>
            </w:r>
          </w:p>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（万元）</w:t>
            </w:r>
          </w:p>
        </w:tc>
        <w:tc>
          <w:tcPr>
            <w:tcW w:w="803" w:type="pct"/>
          </w:tcPr>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收益类型</w:t>
            </w:r>
          </w:p>
        </w:tc>
        <w:tc>
          <w:tcPr>
            <w:tcW w:w="747" w:type="pct"/>
          </w:tcPr>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起始日</w:t>
            </w:r>
          </w:p>
        </w:tc>
        <w:tc>
          <w:tcPr>
            <w:tcW w:w="694" w:type="pct"/>
          </w:tcPr>
          <w:p>
            <w:pPr>
              <w:autoSpaceDE w:val="0"/>
              <w:autoSpaceDN w:val="0"/>
              <w:adjustRightInd w:val="0"/>
              <w:jc w:val="center"/>
              <w:rPr>
                <w:rFonts w:hint="default"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兑付日</w:t>
            </w:r>
          </w:p>
        </w:tc>
        <w:tc>
          <w:tcPr>
            <w:tcW w:w="624" w:type="pct"/>
          </w:tcPr>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实际收益金额</w:t>
            </w:r>
          </w:p>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8" w:hRule="atLeast"/>
          <w:jc w:val="center"/>
        </w:trPr>
        <w:tc>
          <w:tcPr>
            <w:tcW w:w="399" w:type="pct"/>
            <w:vAlign w:val="center"/>
          </w:tcPr>
          <w:p>
            <w:pPr>
              <w:widowControl/>
              <w:spacing w:before="156" w:beforeLines="50" w:after="156" w:afterLines="50" w:line="240" w:lineRule="auto"/>
              <w:jc w:val="center"/>
              <w:rPr>
                <w:rFonts w:hint="eastAsia" w:eastAsiaTheme="minorEastAsia"/>
                <w:color w:val="000000"/>
                <w:sz w:val="21"/>
                <w:szCs w:val="21"/>
                <w:vertAlign w:val="baseline"/>
                <w:lang w:val="en-US" w:eastAsia="zh-CN"/>
              </w:rPr>
            </w:pPr>
            <w:r>
              <w:rPr>
                <w:rFonts w:hint="eastAsia" w:eastAsiaTheme="minorEastAsia"/>
                <w:color w:val="000000"/>
                <w:sz w:val="21"/>
                <w:szCs w:val="21"/>
                <w:vertAlign w:val="baseline"/>
                <w:lang w:val="en-US" w:eastAsia="zh-CN"/>
              </w:rPr>
              <w:t>东兴证券</w:t>
            </w:r>
          </w:p>
        </w:tc>
        <w:tc>
          <w:tcPr>
            <w:tcW w:w="412" w:type="pct"/>
            <w:vAlign w:val="center"/>
          </w:tcPr>
          <w:p>
            <w:pPr>
              <w:widowControl/>
              <w:spacing w:before="156" w:beforeLines="50" w:after="156" w:afterLines="50" w:line="240" w:lineRule="auto"/>
              <w:jc w:val="center"/>
              <w:rPr>
                <w:rFonts w:hint="default" w:eastAsiaTheme="minorEastAsia"/>
                <w:color w:val="000000"/>
                <w:sz w:val="21"/>
                <w:szCs w:val="21"/>
                <w:vertAlign w:val="baseline"/>
                <w:lang w:val="en-US" w:eastAsia="zh-CN"/>
              </w:rPr>
            </w:pPr>
            <w:r>
              <w:rPr>
                <w:rFonts w:hint="eastAsia" w:eastAsiaTheme="minorEastAsia"/>
                <w:color w:val="000000"/>
                <w:sz w:val="21"/>
                <w:szCs w:val="21"/>
                <w:vertAlign w:val="baseline"/>
                <w:lang w:val="en-US" w:eastAsia="zh-CN"/>
              </w:rPr>
              <w:t>券商收益凭证</w:t>
            </w:r>
          </w:p>
        </w:tc>
        <w:tc>
          <w:tcPr>
            <w:tcW w:w="722" w:type="pct"/>
            <w:vAlign w:val="center"/>
          </w:tcPr>
          <w:p>
            <w:pPr>
              <w:widowControl/>
              <w:spacing w:before="156" w:beforeLines="50" w:after="156" w:afterLines="50" w:line="240" w:lineRule="auto"/>
              <w:jc w:val="center"/>
              <w:rPr>
                <w:rFonts w:hint="eastAsia" w:eastAsiaTheme="minorEastAsia"/>
                <w:color w:val="000000"/>
                <w:sz w:val="21"/>
                <w:szCs w:val="21"/>
                <w:vertAlign w:val="baseline"/>
                <w:lang w:val="en-US" w:eastAsia="zh-CN"/>
              </w:rPr>
            </w:pPr>
            <w:r>
              <w:rPr>
                <w:rFonts w:hint="eastAsia" w:eastAsiaTheme="minorEastAsia"/>
                <w:color w:val="000000"/>
                <w:kern w:val="0"/>
                <w:szCs w:val="21"/>
                <w:highlight w:val="none"/>
                <w:lang w:val="en-US" w:eastAsia="zh-CN"/>
              </w:rPr>
              <w:t>金鹏600</w:t>
            </w:r>
            <w:r>
              <w:rPr>
                <w:rFonts w:hint="eastAsia" w:eastAsiaTheme="minorEastAsia"/>
                <w:color w:val="000000"/>
                <w:kern w:val="0"/>
                <w:szCs w:val="21"/>
                <w:highlight w:val="none"/>
              </w:rPr>
              <w:t>号</w:t>
            </w:r>
          </w:p>
        </w:tc>
        <w:tc>
          <w:tcPr>
            <w:tcW w:w="596" w:type="pct"/>
            <w:vAlign w:val="center"/>
          </w:tcPr>
          <w:p>
            <w:pPr>
              <w:widowControl/>
              <w:spacing w:before="156" w:beforeLines="50" w:after="156" w:afterLines="50" w:line="240" w:lineRule="auto"/>
              <w:jc w:val="center"/>
              <w:rPr>
                <w:rFonts w:hint="default" w:eastAsiaTheme="minorEastAsia"/>
                <w:color w:val="000000"/>
                <w:sz w:val="21"/>
                <w:szCs w:val="21"/>
                <w:vertAlign w:val="baseline"/>
                <w:lang w:val="en-US" w:eastAsia="zh-CN"/>
              </w:rPr>
            </w:pPr>
            <w:r>
              <w:rPr>
                <w:rFonts w:hint="eastAsia" w:eastAsiaTheme="minorEastAsia"/>
                <w:color w:val="000000"/>
                <w:kern w:val="0"/>
                <w:szCs w:val="21"/>
                <w:highlight w:val="none"/>
                <w:lang w:val="en-US" w:eastAsia="zh-CN" w:bidi="ar"/>
              </w:rPr>
              <w:t>3</w:t>
            </w:r>
            <w:r>
              <w:rPr>
                <w:rFonts w:eastAsiaTheme="minorEastAsia"/>
                <w:color w:val="000000"/>
                <w:kern w:val="0"/>
                <w:szCs w:val="21"/>
                <w:highlight w:val="none"/>
                <w:lang w:bidi="ar"/>
              </w:rPr>
              <w:t>,</w:t>
            </w:r>
            <w:r>
              <w:rPr>
                <w:rFonts w:hint="eastAsia" w:eastAsiaTheme="minorEastAsia"/>
                <w:color w:val="000000"/>
                <w:kern w:val="0"/>
                <w:szCs w:val="21"/>
                <w:highlight w:val="none"/>
                <w:lang w:val="en-US" w:eastAsia="zh-CN" w:bidi="ar"/>
              </w:rPr>
              <w:t>0</w:t>
            </w:r>
            <w:r>
              <w:rPr>
                <w:rFonts w:eastAsiaTheme="minorEastAsia"/>
                <w:color w:val="000000"/>
                <w:kern w:val="0"/>
                <w:szCs w:val="21"/>
                <w:highlight w:val="none"/>
                <w:lang w:bidi="ar"/>
              </w:rPr>
              <w:t>00</w:t>
            </w:r>
          </w:p>
        </w:tc>
        <w:tc>
          <w:tcPr>
            <w:tcW w:w="803" w:type="pct"/>
            <w:vAlign w:val="center"/>
          </w:tcPr>
          <w:p>
            <w:pPr>
              <w:widowControl/>
              <w:spacing w:before="156" w:beforeLines="50" w:after="156" w:afterLines="50" w:line="240" w:lineRule="auto"/>
              <w:jc w:val="center"/>
              <w:rPr>
                <w:rFonts w:hint="default" w:eastAsiaTheme="minorEastAsia"/>
                <w:color w:val="000000"/>
                <w:sz w:val="21"/>
                <w:szCs w:val="21"/>
                <w:vertAlign w:val="baseline"/>
                <w:lang w:val="en-US" w:eastAsia="zh-CN"/>
              </w:rPr>
            </w:pPr>
            <w:r>
              <w:rPr>
                <w:rFonts w:hint="eastAsia" w:ascii="Times New Roman" w:hAnsi="Times New Roman" w:cs="Times New Roman" w:eastAsiaTheme="minorEastAsia"/>
                <w:b w:val="0"/>
                <w:bCs/>
                <w:color w:val="000000"/>
                <w:kern w:val="0"/>
                <w:sz w:val="21"/>
                <w:szCs w:val="21"/>
                <w:highlight w:val="none"/>
                <w:lang w:val="en-US" w:eastAsia="zh-CN"/>
              </w:rPr>
              <w:t>本金保障固定收益型</w:t>
            </w:r>
          </w:p>
        </w:tc>
        <w:tc>
          <w:tcPr>
            <w:tcW w:w="747" w:type="pct"/>
            <w:vAlign w:val="center"/>
          </w:tcPr>
          <w:p>
            <w:pPr>
              <w:widowControl/>
              <w:spacing w:before="156" w:beforeLines="50" w:after="156" w:afterLines="50" w:line="240" w:lineRule="auto"/>
              <w:jc w:val="center"/>
              <w:rPr>
                <w:rFonts w:hint="default" w:eastAsiaTheme="minorEastAsia"/>
                <w:color w:val="000000"/>
                <w:sz w:val="21"/>
                <w:szCs w:val="21"/>
                <w:vertAlign w:val="baseline"/>
                <w:lang w:val="en-US" w:eastAsia="zh-CN"/>
              </w:rPr>
            </w:pPr>
            <w:r>
              <w:rPr>
                <w:rFonts w:hint="eastAsia" w:eastAsiaTheme="minorEastAsia"/>
                <w:color w:val="000000"/>
                <w:sz w:val="21"/>
                <w:szCs w:val="21"/>
                <w:vertAlign w:val="baseline"/>
                <w:lang w:val="en-US" w:eastAsia="zh-CN"/>
              </w:rPr>
              <w:t>2021-7-2</w:t>
            </w:r>
          </w:p>
        </w:tc>
        <w:tc>
          <w:tcPr>
            <w:tcW w:w="694" w:type="pct"/>
            <w:vAlign w:val="center"/>
          </w:tcPr>
          <w:p>
            <w:pPr>
              <w:widowControl/>
              <w:spacing w:before="156" w:beforeLines="50" w:after="156" w:afterLines="50" w:line="240" w:lineRule="auto"/>
              <w:jc w:val="center"/>
              <w:rPr>
                <w:rFonts w:hint="default" w:eastAsiaTheme="minorEastAsia"/>
                <w:color w:val="000000"/>
                <w:sz w:val="21"/>
                <w:szCs w:val="21"/>
                <w:vertAlign w:val="baseline"/>
                <w:lang w:val="en-US" w:eastAsia="zh-CN"/>
              </w:rPr>
            </w:pPr>
            <w:r>
              <w:rPr>
                <w:rFonts w:hint="eastAsia" w:eastAsiaTheme="minorEastAsia"/>
                <w:color w:val="000000"/>
                <w:sz w:val="21"/>
                <w:szCs w:val="21"/>
                <w:vertAlign w:val="baseline"/>
                <w:lang w:val="en-US" w:eastAsia="zh-CN"/>
              </w:rPr>
              <w:t>2021-9-29</w:t>
            </w:r>
          </w:p>
        </w:tc>
        <w:tc>
          <w:tcPr>
            <w:tcW w:w="624" w:type="pct"/>
            <w:vAlign w:val="center"/>
          </w:tcPr>
          <w:p>
            <w:pPr>
              <w:widowControl/>
              <w:spacing w:before="156" w:beforeLines="50" w:after="156" w:afterLines="50" w:line="240" w:lineRule="auto"/>
              <w:jc w:val="center"/>
              <w:rPr>
                <w:rFonts w:hint="default" w:eastAsiaTheme="minorEastAsia"/>
                <w:color w:val="000000"/>
                <w:sz w:val="21"/>
                <w:szCs w:val="21"/>
                <w:highlight w:val="none"/>
                <w:vertAlign w:val="baseline"/>
                <w:lang w:val="en-US" w:eastAsia="zh-CN"/>
              </w:rPr>
            </w:pPr>
            <w:r>
              <w:rPr>
                <w:rFonts w:hint="eastAsia" w:eastAsiaTheme="minorEastAsia"/>
                <w:color w:val="000000"/>
                <w:sz w:val="21"/>
                <w:szCs w:val="21"/>
                <w:highlight w:val="none"/>
                <w:vertAlign w:val="baseline"/>
                <w:lang w:val="en-US" w:eastAsia="zh-CN"/>
              </w:rPr>
              <w:t>21.80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8" w:hRule="atLeast"/>
          <w:jc w:val="center"/>
        </w:trPr>
        <w:tc>
          <w:tcPr>
            <w:tcW w:w="399" w:type="pct"/>
            <w:vAlign w:val="center"/>
          </w:tcPr>
          <w:p>
            <w:pPr>
              <w:keepNext w:val="0"/>
              <w:keepLines w:val="0"/>
              <w:pageBreakBefore w:val="0"/>
              <w:kinsoku/>
              <w:wordWrap/>
              <w:overflowPunct/>
              <w:topLinePunct w:val="0"/>
              <w:autoSpaceDE w:val="0"/>
              <w:autoSpaceDN w:val="0"/>
              <w:bidi w:val="0"/>
              <w:adjustRightInd w:val="0"/>
              <w:snapToGrid/>
              <w:jc w:val="center"/>
              <w:rPr>
                <w:rFonts w:hint="eastAsia" w:ascii="Times New Roman" w:hAnsi="Times New Roman" w:cs="Times New Roman" w:eastAsiaTheme="minorEastAsia"/>
                <w:color w:val="000000"/>
                <w:kern w:val="2"/>
                <w:sz w:val="21"/>
                <w:szCs w:val="21"/>
                <w:highlight w:val="none"/>
                <w:lang w:val="en-US" w:eastAsia="zh-CN" w:bidi="ar-SA"/>
              </w:rPr>
            </w:pPr>
            <w:r>
              <w:rPr>
                <w:rFonts w:hint="default" w:eastAsiaTheme="minorEastAsia"/>
                <w:color w:val="000000"/>
                <w:szCs w:val="21"/>
                <w:highlight w:val="none"/>
                <w:lang w:val="en-US" w:eastAsia="zh-CN"/>
              </w:rPr>
              <w:t>招商银行</w:t>
            </w:r>
          </w:p>
        </w:tc>
        <w:tc>
          <w:tcPr>
            <w:tcW w:w="412" w:type="pct"/>
            <w:vAlign w:val="center"/>
          </w:tcPr>
          <w:p>
            <w:pPr>
              <w:keepNext w:val="0"/>
              <w:keepLines w:val="0"/>
              <w:pageBreakBefore w:val="0"/>
              <w:kinsoku/>
              <w:wordWrap/>
              <w:overflowPunct/>
              <w:topLinePunct w:val="0"/>
              <w:autoSpaceDE w:val="0"/>
              <w:autoSpaceDN w:val="0"/>
              <w:bidi w:val="0"/>
              <w:adjustRightInd w:val="0"/>
              <w:snapToGrid/>
              <w:jc w:val="center"/>
              <w:rPr>
                <w:rFonts w:hint="eastAsia" w:ascii="Times New Roman" w:hAnsi="Times New Roman" w:cs="Times New Roman" w:eastAsiaTheme="minorEastAsia"/>
                <w:color w:val="000000"/>
                <w:kern w:val="2"/>
                <w:sz w:val="21"/>
                <w:szCs w:val="21"/>
                <w:highlight w:val="none"/>
                <w:lang w:val="en-US" w:eastAsia="zh-CN" w:bidi="ar-SA"/>
              </w:rPr>
            </w:pPr>
            <w:r>
              <w:rPr>
                <w:rFonts w:hint="default" w:eastAsiaTheme="minorEastAsia"/>
                <w:color w:val="000000"/>
                <w:szCs w:val="21"/>
                <w:highlight w:val="none"/>
                <w:lang w:val="en-US" w:eastAsia="zh-CN"/>
              </w:rPr>
              <w:t>银行理财产品</w:t>
            </w:r>
          </w:p>
        </w:tc>
        <w:tc>
          <w:tcPr>
            <w:tcW w:w="722" w:type="pct"/>
            <w:vAlign w:val="center"/>
          </w:tcPr>
          <w:p>
            <w:pPr>
              <w:widowControl/>
              <w:spacing w:before="156" w:beforeLines="50" w:after="156" w:afterLines="50" w:line="240" w:lineRule="auto"/>
              <w:jc w:val="center"/>
              <w:rPr>
                <w:rFonts w:hint="eastAsia" w:eastAsiaTheme="minorEastAsia"/>
                <w:bCs/>
                <w:color w:val="000000"/>
                <w:kern w:val="0"/>
                <w:szCs w:val="21"/>
              </w:rPr>
            </w:pPr>
            <w:r>
              <w:rPr>
                <w:rFonts w:hint="default" w:eastAsiaTheme="minorEastAsia"/>
                <w:color w:val="000000"/>
                <w:szCs w:val="21"/>
                <w:highlight w:val="none"/>
                <w:lang w:val="en-US" w:eastAsia="zh-CN"/>
              </w:rPr>
              <w:t>点金系列看涨结构性存款</w:t>
            </w:r>
          </w:p>
        </w:tc>
        <w:tc>
          <w:tcPr>
            <w:tcW w:w="596" w:type="pct"/>
            <w:vAlign w:val="center"/>
          </w:tcPr>
          <w:p>
            <w:pPr>
              <w:widowControl/>
              <w:spacing w:before="156" w:beforeLines="50" w:after="156" w:afterLines="50" w:line="240" w:lineRule="auto"/>
              <w:jc w:val="center"/>
              <w:rPr>
                <w:rFonts w:hint="default" w:eastAsiaTheme="minorEastAsia"/>
                <w:color w:val="000000"/>
                <w:sz w:val="21"/>
                <w:szCs w:val="21"/>
                <w:vertAlign w:val="baseline"/>
                <w:lang w:val="en-US" w:eastAsia="zh-CN"/>
              </w:rPr>
            </w:pPr>
            <w:r>
              <w:rPr>
                <w:rFonts w:hint="eastAsia" w:eastAsiaTheme="minorEastAsia"/>
                <w:color w:val="000000"/>
                <w:sz w:val="21"/>
                <w:szCs w:val="21"/>
                <w:vertAlign w:val="baseline"/>
                <w:lang w:val="en-US" w:eastAsia="zh-CN"/>
              </w:rPr>
              <w:t>4,000</w:t>
            </w:r>
          </w:p>
        </w:tc>
        <w:tc>
          <w:tcPr>
            <w:tcW w:w="803" w:type="pct"/>
            <w:vAlign w:val="center"/>
          </w:tcPr>
          <w:p>
            <w:pPr>
              <w:widowControl/>
              <w:spacing w:before="156" w:beforeLines="50" w:after="156" w:afterLines="50" w:line="240" w:lineRule="auto"/>
              <w:jc w:val="center"/>
              <w:rPr>
                <w:rFonts w:hint="eastAsia" w:ascii="Times New Roman" w:hAnsi="Times New Roman" w:cs="Times New Roman" w:eastAsiaTheme="minorEastAsia"/>
                <w:b w:val="0"/>
                <w:bCs/>
                <w:color w:val="000000"/>
                <w:kern w:val="0"/>
                <w:sz w:val="21"/>
                <w:szCs w:val="21"/>
                <w:highlight w:val="none"/>
                <w:lang w:val="en-US" w:eastAsia="zh-CN"/>
              </w:rPr>
            </w:pPr>
            <w:r>
              <w:rPr>
                <w:rFonts w:hint="eastAsia" w:eastAsiaTheme="minorEastAsia"/>
                <w:color w:val="000000"/>
                <w:szCs w:val="21"/>
                <w:highlight w:val="none"/>
                <w:lang w:val="en-US" w:eastAsia="zh-CN"/>
              </w:rPr>
              <w:t>保本浮动收益型</w:t>
            </w:r>
          </w:p>
        </w:tc>
        <w:tc>
          <w:tcPr>
            <w:tcW w:w="747" w:type="pct"/>
            <w:vAlign w:val="center"/>
          </w:tcPr>
          <w:p>
            <w:pPr>
              <w:widowControl/>
              <w:spacing w:before="156" w:beforeLines="50" w:after="156" w:afterLines="50" w:line="240" w:lineRule="auto"/>
              <w:jc w:val="center"/>
              <w:rPr>
                <w:rFonts w:hint="default" w:eastAsiaTheme="minorEastAsia"/>
                <w:color w:val="000000"/>
                <w:sz w:val="21"/>
                <w:szCs w:val="21"/>
                <w:vertAlign w:val="baseline"/>
                <w:lang w:val="en-US" w:eastAsia="zh-CN"/>
              </w:rPr>
            </w:pPr>
            <w:r>
              <w:rPr>
                <w:rFonts w:hint="eastAsia" w:eastAsiaTheme="minorEastAsia"/>
                <w:color w:val="000000"/>
                <w:sz w:val="21"/>
                <w:szCs w:val="21"/>
                <w:vertAlign w:val="baseline"/>
                <w:lang w:val="en-US" w:eastAsia="zh-CN"/>
              </w:rPr>
              <w:t>2021-7-5</w:t>
            </w:r>
          </w:p>
        </w:tc>
        <w:tc>
          <w:tcPr>
            <w:tcW w:w="694" w:type="pct"/>
            <w:vAlign w:val="center"/>
          </w:tcPr>
          <w:p>
            <w:pPr>
              <w:widowControl/>
              <w:spacing w:before="156" w:beforeLines="50" w:after="156" w:afterLines="50" w:line="240" w:lineRule="auto"/>
              <w:jc w:val="center"/>
              <w:rPr>
                <w:rFonts w:hint="default" w:eastAsiaTheme="minorEastAsia"/>
                <w:color w:val="000000"/>
                <w:sz w:val="21"/>
                <w:szCs w:val="21"/>
                <w:highlight w:val="none"/>
                <w:vertAlign w:val="baseline"/>
                <w:lang w:val="en-US" w:eastAsia="zh-CN"/>
              </w:rPr>
            </w:pPr>
            <w:r>
              <w:rPr>
                <w:rFonts w:hint="eastAsia" w:eastAsiaTheme="minorEastAsia"/>
                <w:color w:val="000000"/>
                <w:sz w:val="21"/>
                <w:szCs w:val="21"/>
                <w:highlight w:val="none"/>
                <w:vertAlign w:val="baseline"/>
                <w:lang w:val="en-US" w:eastAsia="zh-CN"/>
              </w:rPr>
              <w:t>2021-10-8</w:t>
            </w:r>
          </w:p>
        </w:tc>
        <w:tc>
          <w:tcPr>
            <w:tcW w:w="624" w:type="pct"/>
            <w:vAlign w:val="center"/>
          </w:tcPr>
          <w:p>
            <w:pPr>
              <w:widowControl/>
              <w:spacing w:before="156" w:beforeLines="50" w:after="156" w:afterLines="50" w:line="240" w:lineRule="auto"/>
              <w:jc w:val="center"/>
              <w:rPr>
                <w:rFonts w:hint="default" w:eastAsiaTheme="minorEastAsia"/>
                <w:color w:val="000000"/>
                <w:sz w:val="21"/>
                <w:szCs w:val="21"/>
                <w:highlight w:val="none"/>
                <w:vertAlign w:val="baseline"/>
                <w:lang w:val="en-US" w:eastAsia="zh-CN"/>
              </w:rPr>
            </w:pPr>
            <w:r>
              <w:rPr>
                <w:rFonts w:hint="eastAsia" w:eastAsiaTheme="minorEastAsia"/>
                <w:color w:val="000000"/>
                <w:sz w:val="21"/>
                <w:szCs w:val="21"/>
                <w:highlight w:val="none"/>
                <w:vertAlign w:val="baseline"/>
                <w:lang w:val="en-US" w:eastAsia="zh-CN"/>
              </w:rPr>
              <w:t>32.79</w:t>
            </w:r>
          </w:p>
        </w:tc>
      </w:tr>
    </w:tbl>
    <w:p>
      <w:pPr>
        <w:widowControl/>
        <w:spacing w:before="156" w:beforeLines="50" w:after="156" w:afterLines="50" w:line="360" w:lineRule="auto"/>
        <w:ind w:firstLine="420" w:firstLineChars="175"/>
        <w:jc w:val="both"/>
        <w:rPr>
          <w:rFonts w:eastAsiaTheme="minorEastAsia"/>
          <w:color w:val="000000"/>
          <w:sz w:val="24"/>
          <w:szCs w:val="24"/>
        </w:rPr>
      </w:pPr>
      <w:r>
        <w:rPr>
          <w:rFonts w:hint="eastAsia" w:cs="Times New Roman" w:eastAsiaTheme="minorEastAsia"/>
          <w:color w:val="000000"/>
          <w:sz w:val="24"/>
          <w:szCs w:val="24"/>
          <w:lang w:val="en-US" w:eastAsia="zh-CN"/>
        </w:rPr>
        <w:t>公</w:t>
      </w:r>
      <w:r>
        <w:rPr>
          <w:rFonts w:hint="eastAsia" w:cs="Times New Roman" w:eastAsiaTheme="minorEastAsia"/>
          <w:color w:val="000000"/>
          <w:sz w:val="24"/>
          <w:szCs w:val="24"/>
          <w:highlight w:val="none"/>
          <w:lang w:val="en-US" w:eastAsia="zh-CN"/>
        </w:rPr>
        <w:t>司于202</w:t>
      </w:r>
      <w:r>
        <w:rPr>
          <w:rFonts w:hint="default" w:cs="Times New Roman" w:eastAsiaTheme="minorEastAsia"/>
          <w:color w:val="000000"/>
          <w:sz w:val="24"/>
          <w:szCs w:val="24"/>
          <w:highlight w:val="none"/>
          <w:lang w:val="en-US" w:eastAsia="zh-CN"/>
        </w:rPr>
        <w:t>1</w:t>
      </w:r>
      <w:r>
        <w:rPr>
          <w:rFonts w:hint="eastAsia" w:cs="Times New Roman" w:eastAsiaTheme="minorEastAsia"/>
          <w:color w:val="000000"/>
          <w:sz w:val="24"/>
          <w:szCs w:val="24"/>
          <w:highlight w:val="none"/>
          <w:lang w:val="en-US" w:eastAsia="zh-CN"/>
        </w:rPr>
        <w:t>年7月2日以募集资金认购了东兴</w:t>
      </w:r>
      <w:r>
        <w:rPr>
          <w:rFonts w:hint="eastAsia" w:asciiTheme="minorEastAsia" w:hAnsiTheme="minorEastAsia" w:eastAsiaTheme="minorEastAsia" w:cstheme="minorEastAsia"/>
          <w:color w:val="000000"/>
          <w:kern w:val="0"/>
          <w:sz w:val="24"/>
          <w:szCs w:val="24"/>
          <w:highlight w:val="none"/>
          <w:lang w:val="en-US" w:eastAsia="zh-CN" w:bidi="ar"/>
        </w:rPr>
        <w:t>证券的收益凭证及招商银行的理财产品。</w:t>
      </w:r>
      <w:r>
        <w:rPr>
          <w:rFonts w:hint="eastAsia" w:ascii="Times New Roman" w:hAnsi="Times New Roman" w:cs="Times New Roman" w:eastAsiaTheme="minorEastAsia"/>
          <w:color w:val="000000"/>
          <w:sz w:val="24"/>
          <w:szCs w:val="24"/>
          <w:highlight w:val="none"/>
          <w:lang w:val="en-US" w:eastAsia="zh-CN"/>
        </w:rPr>
        <w:t>具体内容详见公司</w:t>
      </w:r>
      <w:r>
        <w:rPr>
          <w:rFonts w:hint="eastAsia" w:cs="Times New Roman" w:eastAsiaTheme="minorEastAsia"/>
          <w:color w:val="000000"/>
          <w:sz w:val="24"/>
          <w:szCs w:val="24"/>
          <w:highlight w:val="none"/>
          <w:lang w:val="en-US" w:eastAsia="zh-CN"/>
        </w:rPr>
        <w:t>于202</w:t>
      </w:r>
      <w:r>
        <w:rPr>
          <w:rFonts w:hint="default" w:cs="Times New Roman" w:eastAsiaTheme="minorEastAsia"/>
          <w:color w:val="000000"/>
          <w:sz w:val="24"/>
          <w:szCs w:val="24"/>
          <w:highlight w:val="none"/>
          <w:lang w:val="en-US" w:eastAsia="zh-CN"/>
        </w:rPr>
        <w:t>1</w:t>
      </w:r>
      <w:r>
        <w:rPr>
          <w:rFonts w:hint="eastAsia" w:cs="Times New Roman" w:eastAsiaTheme="minorEastAsia"/>
          <w:color w:val="000000"/>
          <w:sz w:val="24"/>
          <w:szCs w:val="24"/>
          <w:highlight w:val="none"/>
          <w:lang w:val="en-US" w:eastAsia="zh-CN"/>
        </w:rPr>
        <w:t>年7月3</w:t>
      </w:r>
      <w:r>
        <w:rPr>
          <w:rFonts w:hint="eastAsia" w:cs="Times New Roman" w:eastAsiaTheme="minorEastAsia"/>
          <w:color w:val="000000"/>
          <w:sz w:val="24"/>
          <w:szCs w:val="24"/>
          <w:lang w:val="en-US" w:eastAsia="zh-CN"/>
        </w:rPr>
        <w:t>日</w:t>
      </w:r>
      <w:r>
        <w:rPr>
          <w:rFonts w:hint="eastAsia" w:ascii="Times New Roman" w:hAnsi="Times New Roman" w:cs="Times New Roman" w:eastAsiaTheme="minorEastAsia"/>
          <w:color w:val="000000"/>
          <w:sz w:val="24"/>
          <w:szCs w:val="24"/>
          <w:lang w:val="en-US" w:eastAsia="zh-CN"/>
        </w:rPr>
        <w:t>在上海证券交易所官方网站（www.sse.com.cn）披露的</w:t>
      </w:r>
      <w:r>
        <w:rPr>
          <w:rFonts w:hint="eastAsia" w:cs="Times New Roman" w:eastAsiaTheme="minorEastAsia"/>
          <w:color w:val="000000"/>
          <w:sz w:val="24"/>
          <w:szCs w:val="24"/>
          <w:lang w:val="en-US" w:eastAsia="zh-CN"/>
        </w:rPr>
        <w:t>《格尔软件股份有限公司关于使用部分闲置募集资金进行现金管理的进展公告》（公告编号：202</w:t>
      </w:r>
      <w:r>
        <w:rPr>
          <w:rFonts w:hint="default" w:cs="Times New Roman" w:eastAsiaTheme="minorEastAsia"/>
          <w:color w:val="000000"/>
          <w:sz w:val="24"/>
          <w:szCs w:val="24"/>
          <w:lang w:val="en-US" w:eastAsia="zh-CN"/>
        </w:rPr>
        <w:t>1</w:t>
      </w:r>
      <w:r>
        <w:rPr>
          <w:rFonts w:hint="eastAsia" w:cs="Times New Roman" w:eastAsiaTheme="minorEastAsia"/>
          <w:color w:val="000000"/>
          <w:sz w:val="24"/>
          <w:szCs w:val="24"/>
          <w:lang w:val="en-US" w:eastAsia="zh-CN"/>
        </w:rPr>
        <w:t>-032</w:t>
      </w:r>
      <w:r>
        <w:rPr>
          <w:rFonts w:hint="eastAsia" w:ascii="Times New Roman" w:hAnsi="Times New Roman" w:cs="Times New Roman" w:eastAsiaTheme="minorEastAsia"/>
          <w:color w:val="000000"/>
          <w:sz w:val="24"/>
          <w:szCs w:val="24"/>
          <w:lang w:val="en-US" w:eastAsia="zh-CN"/>
        </w:rPr>
        <w:t>）。</w:t>
      </w:r>
    </w:p>
    <w:p>
      <w:pPr>
        <w:widowControl/>
        <w:spacing w:before="156" w:beforeLines="50" w:after="156" w:afterLines="50" w:line="360" w:lineRule="auto"/>
        <w:jc w:val="left"/>
        <w:rPr>
          <w:rFonts w:eastAsiaTheme="minorEastAsia"/>
          <w:b/>
          <w:color w:val="000000"/>
          <w:sz w:val="24"/>
          <w:szCs w:val="24"/>
        </w:rPr>
      </w:pPr>
      <w:r>
        <w:rPr>
          <w:rFonts w:hint="eastAsia" w:eastAsiaTheme="minorEastAsia"/>
          <w:b/>
          <w:color w:val="000000"/>
          <w:sz w:val="24"/>
          <w:szCs w:val="24"/>
          <w:lang w:val="en-US" w:eastAsia="zh-CN"/>
        </w:rPr>
        <w:t>二</w:t>
      </w:r>
      <w:r>
        <w:rPr>
          <w:rFonts w:hint="eastAsia" w:eastAsiaTheme="minorEastAsia"/>
          <w:b/>
          <w:color w:val="000000"/>
          <w:sz w:val="24"/>
          <w:szCs w:val="24"/>
        </w:rPr>
        <w:t>、本次委托理财概况</w:t>
      </w:r>
    </w:p>
    <w:p>
      <w:pPr>
        <w:keepNext w:val="0"/>
        <w:keepLines w:val="0"/>
        <w:pageBreakBefore w:val="0"/>
        <w:widowControl/>
        <w:kinsoku/>
        <w:wordWrap/>
        <w:overflowPunct/>
        <w:topLinePunct w:val="0"/>
        <w:bidi w:val="0"/>
        <w:snapToGrid/>
        <w:spacing w:line="360" w:lineRule="auto"/>
        <w:ind w:firstLine="422" w:firstLineChars="175"/>
        <w:jc w:val="left"/>
        <w:rPr>
          <w:rFonts w:eastAsiaTheme="minorEastAsia"/>
          <w:b/>
          <w:color w:val="000000"/>
          <w:sz w:val="24"/>
          <w:szCs w:val="24"/>
        </w:rPr>
      </w:pPr>
      <w:r>
        <w:rPr>
          <w:rFonts w:hint="eastAsia" w:eastAsiaTheme="minorEastAsia"/>
          <w:b/>
          <w:color w:val="000000"/>
          <w:sz w:val="24"/>
          <w:szCs w:val="24"/>
        </w:rPr>
        <w:t>（一）委托理财目的</w:t>
      </w:r>
    </w:p>
    <w:p>
      <w:pPr>
        <w:keepNext w:val="0"/>
        <w:keepLines w:val="0"/>
        <w:pageBreakBefore w:val="0"/>
        <w:widowControl/>
        <w:kinsoku/>
        <w:wordWrap/>
        <w:overflowPunct/>
        <w:topLinePunct w:val="0"/>
        <w:bidi w:val="0"/>
        <w:snapToGrid/>
        <w:spacing w:line="360" w:lineRule="auto"/>
        <w:ind w:firstLine="420" w:firstLineChars="175"/>
        <w:jc w:val="left"/>
        <w:rPr>
          <w:rFonts w:eastAsiaTheme="minorEastAsia"/>
          <w:color w:val="000000"/>
          <w:sz w:val="24"/>
          <w:szCs w:val="24"/>
        </w:rPr>
      </w:pPr>
      <w:r>
        <w:rPr>
          <w:rFonts w:hint="eastAsia" w:eastAsiaTheme="minorEastAsia"/>
          <w:color w:val="000000"/>
          <w:sz w:val="24"/>
          <w:szCs w:val="24"/>
        </w:rPr>
        <w:t>在确保不影响公司募投项目实施进度的情况下，为更好地发挥资金效益，提高公司资金的使用效率，更好地实现公司现金资产的保值增值，保障公司及股东的利益。</w:t>
      </w:r>
    </w:p>
    <w:p>
      <w:pPr>
        <w:keepNext w:val="0"/>
        <w:keepLines w:val="0"/>
        <w:pageBreakBefore w:val="0"/>
        <w:widowControl/>
        <w:kinsoku/>
        <w:wordWrap/>
        <w:overflowPunct/>
        <w:topLinePunct w:val="0"/>
        <w:bidi w:val="0"/>
        <w:snapToGrid/>
        <w:spacing w:line="360" w:lineRule="auto"/>
        <w:ind w:firstLine="422" w:firstLineChars="175"/>
        <w:jc w:val="left"/>
        <w:rPr>
          <w:rFonts w:eastAsiaTheme="minorEastAsia"/>
          <w:b/>
          <w:color w:val="000000"/>
          <w:sz w:val="24"/>
          <w:szCs w:val="24"/>
        </w:rPr>
      </w:pPr>
      <w:r>
        <w:rPr>
          <w:rFonts w:hint="eastAsia" w:eastAsiaTheme="minorEastAsia"/>
          <w:b/>
          <w:color w:val="000000"/>
          <w:sz w:val="24"/>
          <w:szCs w:val="24"/>
        </w:rPr>
        <w:t>（二）资金来源</w:t>
      </w:r>
    </w:p>
    <w:p>
      <w:pPr>
        <w:keepNext w:val="0"/>
        <w:keepLines w:val="0"/>
        <w:pageBreakBefore w:val="0"/>
        <w:widowControl/>
        <w:kinsoku/>
        <w:wordWrap/>
        <w:overflowPunct/>
        <w:topLinePunct w:val="0"/>
        <w:bidi w:val="0"/>
        <w:snapToGrid/>
        <w:spacing w:line="360" w:lineRule="auto"/>
        <w:ind w:firstLine="420" w:firstLineChars="175"/>
        <w:jc w:val="left"/>
        <w:rPr>
          <w:rFonts w:eastAsiaTheme="minorEastAsia"/>
          <w:color w:val="000000"/>
          <w:sz w:val="24"/>
          <w:szCs w:val="24"/>
        </w:rPr>
      </w:pPr>
      <w:r>
        <w:rPr>
          <w:rFonts w:hint="eastAsia" w:eastAsiaTheme="minorEastAsia"/>
          <w:color w:val="000000"/>
          <w:sz w:val="24"/>
          <w:szCs w:val="24"/>
        </w:rPr>
        <w:t>1、资金来源的一般情况：资金来源为暂时闲置的募集资金。</w:t>
      </w:r>
    </w:p>
    <w:p>
      <w:pPr>
        <w:keepNext w:val="0"/>
        <w:keepLines w:val="0"/>
        <w:pageBreakBefore w:val="0"/>
        <w:widowControl/>
        <w:kinsoku/>
        <w:wordWrap/>
        <w:overflowPunct/>
        <w:topLinePunct w:val="0"/>
        <w:bidi w:val="0"/>
        <w:snapToGrid/>
        <w:spacing w:line="360" w:lineRule="auto"/>
        <w:ind w:firstLine="420" w:firstLineChars="175"/>
        <w:jc w:val="left"/>
        <w:rPr>
          <w:rFonts w:eastAsiaTheme="minorEastAsia"/>
          <w:color w:val="000000"/>
          <w:sz w:val="24"/>
          <w:szCs w:val="24"/>
        </w:rPr>
      </w:pPr>
      <w:r>
        <w:rPr>
          <w:rFonts w:hint="eastAsia" w:eastAsiaTheme="minorEastAsia"/>
          <w:color w:val="000000"/>
          <w:sz w:val="24"/>
          <w:szCs w:val="24"/>
        </w:rPr>
        <w:t>2、募集资金的基本情况</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rPr>
        <w:t>经中国证券监督管理委员会《关于核准格尔软件股份有限公司非公开发行股票的批复》（证监许可〔2020〕1328号）核准，公司实际非公开发行人民币A股股票20,901,134股</w:t>
      </w:r>
      <w:r>
        <w:rPr>
          <w:rFonts w:hint="eastAsia" w:eastAsiaTheme="minorEastAsia"/>
          <w:color w:val="000000"/>
          <w:sz w:val="24"/>
          <w:szCs w:val="24"/>
        </w:rPr>
        <w:t>（每股面值1.00元人民币）</w:t>
      </w:r>
      <w:r>
        <w:rPr>
          <w:rFonts w:eastAsiaTheme="minorEastAsia"/>
          <w:color w:val="000000"/>
          <w:sz w:val="24"/>
          <w:szCs w:val="24"/>
        </w:rPr>
        <w:t>，每股发行价人民币30.85元</w:t>
      </w:r>
      <w:r>
        <w:rPr>
          <w:rFonts w:hint="eastAsia" w:eastAsiaTheme="minorEastAsia"/>
          <w:color w:val="000000"/>
          <w:sz w:val="24"/>
          <w:szCs w:val="24"/>
        </w:rPr>
        <w:t>。本次非公开发行</w:t>
      </w:r>
      <w:r>
        <w:rPr>
          <w:rFonts w:eastAsiaTheme="minorEastAsia"/>
          <w:color w:val="000000"/>
          <w:sz w:val="24"/>
          <w:szCs w:val="24"/>
        </w:rPr>
        <w:t>募集资金总额为644,799,983.90元，扣除发行费用人民币8,844,116.58（不含税）元</w:t>
      </w:r>
      <w:r>
        <w:rPr>
          <w:rFonts w:hint="eastAsia" w:eastAsiaTheme="minorEastAsia"/>
          <w:color w:val="000000"/>
          <w:sz w:val="24"/>
          <w:szCs w:val="24"/>
        </w:rPr>
        <w:t>后</w:t>
      </w:r>
      <w:r>
        <w:rPr>
          <w:rFonts w:eastAsiaTheme="minorEastAsia"/>
          <w:color w:val="000000"/>
          <w:sz w:val="24"/>
          <w:szCs w:val="24"/>
        </w:rPr>
        <w:t>，募集资金净额为635,955,867.32元</w:t>
      </w:r>
      <w:r>
        <w:rPr>
          <w:rFonts w:hint="eastAsia" w:eastAsiaTheme="minorEastAsia"/>
          <w:color w:val="000000"/>
          <w:sz w:val="24"/>
          <w:szCs w:val="24"/>
        </w:rPr>
        <w:t>。上会会计师事务所（特殊普通合伙）已于2020年8月25日</w:t>
      </w:r>
      <w:r>
        <w:rPr>
          <w:rFonts w:eastAsiaTheme="minorEastAsia"/>
          <w:color w:val="000000"/>
          <w:sz w:val="24"/>
          <w:szCs w:val="24"/>
        </w:rPr>
        <w:t>对</w:t>
      </w:r>
      <w:r>
        <w:rPr>
          <w:rFonts w:hint="eastAsia" w:eastAsiaTheme="minorEastAsia"/>
          <w:color w:val="000000"/>
          <w:sz w:val="24"/>
          <w:szCs w:val="24"/>
        </w:rPr>
        <w:t>本次非公开发行</w:t>
      </w:r>
      <w:r>
        <w:rPr>
          <w:rFonts w:eastAsiaTheme="minorEastAsia"/>
          <w:color w:val="000000"/>
          <w:sz w:val="24"/>
          <w:szCs w:val="24"/>
        </w:rPr>
        <w:t>的资金到位情况进行了审验，</w:t>
      </w:r>
      <w:r>
        <w:rPr>
          <w:rFonts w:hint="eastAsia" w:eastAsiaTheme="minorEastAsia"/>
          <w:color w:val="000000"/>
          <w:sz w:val="24"/>
          <w:szCs w:val="24"/>
        </w:rPr>
        <w:t>并出具了《验资报告》（上会师报字</w:t>
      </w:r>
      <w:r>
        <w:rPr>
          <w:rFonts w:eastAsiaTheme="minorEastAsia"/>
          <w:color w:val="000000"/>
          <w:sz w:val="24"/>
          <w:szCs w:val="24"/>
        </w:rPr>
        <w:t>〔20</w:t>
      </w:r>
      <w:r>
        <w:rPr>
          <w:rFonts w:hint="eastAsia" w:eastAsiaTheme="minorEastAsia"/>
          <w:color w:val="000000"/>
          <w:sz w:val="24"/>
          <w:szCs w:val="24"/>
        </w:rPr>
        <w:t>20</w:t>
      </w:r>
      <w:r>
        <w:rPr>
          <w:rFonts w:eastAsiaTheme="minorEastAsia"/>
          <w:color w:val="000000"/>
          <w:sz w:val="24"/>
          <w:szCs w:val="24"/>
        </w:rPr>
        <w:t>〕</w:t>
      </w:r>
      <w:r>
        <w:rPr>
          <w:rFonts w:hint="eastAsia" w:eastAsiaTheme="minorEastAsia"/>
          <w:color w:val="000000"/>
          <w:sz w:val="24"/>
          <w:szCs w:val="24"/>
        </w:rPr>
        <w:t>第6894号）。公司已对募集资金进行了专户管理。</w:t>
      </w:r>
    </w:p>
    <w:p>
      <w:pPr>
        <w:keepNext w:val="0"/>
        <w:keepLines w:val="0"/>
        <w:pageBreakBefore w:val="0"/>
        <w:widowControl/>
        <w:kinsoku/>
        <w:wordWrap/>
        <w:overflowPunct/>
        <w:topLinePunct w:val="0"/>
        <w:bidi w:val="0"/>
        <w:snapToGrid/>
        <w:spacing w:line="360" w:lineRule="auto"/>
        <w:ind w:firstLine="422" w:firstLineChars="175"/>
        <w:jc w:val="left"/>
        <w:rPr>
          <w:rFonts w:eastAsiaTheme="minorEastAsia"/>
          <w:b/>
          <w:color w:val="000000"/>
          <w:sz w:val="24"/>
          <w:szCs w:val="24"/>
          <w:highlight w:val="none"/>
        </w:rPr>
      </w:pPr>
      <w:r>
        <w:rPr>
          <w:rFonts w:hint="eastAsia" w:eastAsiaTheme="minorEastAsia"/>
          <w:b/>
          <w:color w:val="000000"/>
          <w:sz w:val="24"/>
          <w:szCs w:val="24"/>
          <w:highlight w:val="none"/>
        </w:rPr>
        <w:t>（三）委托理财产品的基本情况</w:t>
      </w:r>
    </w:p>
    <w:tbl>
      <w:tblPr>
        <w:tblStyle w:val="2"/>
        <w:tblW w:w="8926" w:type="dxa"/>
        <w:jc w:val="center"/>
        <w:tblLayout w:type="fixed"/>
        <w:tblCellMar>
          <w:top w:w="0" w:type="dxa"/>
          <w:left w:w="108" w:type="dxa"/>
          <w:bottom w:w="0" w:type="dxa"/>
          <w:right w:w="108" w:type="dxa"/>
        </w:tblCellMar>
      </w:tblPr>
      <w:tblGrid>
        <w:gridCol w:w="727"/>
        <w:gridCol w:w="908"/>
        <w:gridCol w:w="1283"/>
        <w:gridCol w:w="834"/>
        <w:gridCol w:w="850"/>
        <w:gridCol w:w="958"/>
        <w:gridCol w:w="742"/>
        <w:gridCol w:w="1266"/>
        <w:gridCol w:w="692"/>
        <w:gridCol w:w="666"/>
      </w:tblGrid>
      <w:tr>
        <w:tblPrEx>
          <w:tblCellMar>
            <w:top w:w="0" w:type="dxa"/>
            <w:left w:w="108" w:type="dxa"/>
            <w:bottom w:w="0" w:type="dxa"/>
            <w:right w:w="108" w:type="dxa"/>
          </w:tblCellMar>
        </w:tblPrEx>
        <w:trPr>
          <w:trHeight w:val="397" w:hRule="atLeast"/>
          <w:jc w:val="center"/>
        </w:trPr>
        <w:tc>
          <w:tcPr>
            <w:tcW w:w="7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受托方</w:t>
            </w:r>
          </w:p>
        </w:tc>
        <w:tc>
          <w:tcPr>
            <w:tcW w:w="90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w:t>
            </w:r>
          </w:p>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类型</w:t>
            </w:r>
          </w:p>
        </w:tc>
        <w:tc>
          <w:tcPr>
            <w:tcW w:w="12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产品名称</w:t>
            </w:r>
          </w:p>
        </w:tc>
        <w:tc>
          <w:tcPr>
            <w:tcW w:w="834"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金额</w:t>
            </w:r>
          </w:p>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（万元）</w:t>
            </w:r>
          </w:p>
        </w:tc>
        <w:tc>
          <w:tcPr>
            <w:tcW w:w="85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预计年化收益率</w:t>
            </w:r>
          </w:p>
        </w:tc>
        <w:tc>
          <w:tcPr>
            <w:tcW w:w="95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预计收益金额</w:t>
            </w:r>
          </w:p>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（万元）</w:t>
            </w:r>
          </w:p>
        </w:tc>
        <w:tc>
          <w:tcPr>
            <w:tcW w:w="74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产品期限</w:t>
            </w:r>
          </w:p>
        </w:tc>
        <w:tc>
          <w:tcPr>
            <w:tcW w:w="12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收益类型</w:t>
            </w:r>
          </w:p>
        </w:tc>
        <w:tc>
          <w:tcPr>
            <w:tcW w:w="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结构化安排</w:t>
            </w:r>
          </w:p>
        </w:tc>
        <w:tc>
          <w:tcPr>
            <w:tcW w:w="6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是否构成关联交易</w:t>
            </w:r>
          </w:p>
        </w:tc>
      </w:tr>
      <w:tr>
        <w:tblPrEx>
          <w:tblCellMar>
            <w:top w:w="0" w:type="dxa"/>
            <w:left w:w="108" w:type="dxa"/>
            <w:bottom w:w="0" w:type="dxa"/>
            <w:right w:w="108" w:type="dxa"/>
          </w:tblCellMar>
        </w:tblPrEx>
        <w:trPr>
          <w:trHeight w:val="397" w:hRule="atLeast"/>
          <w:jc w:val="center"/>
        </w:trPr>
        <w:tc>
          <w:tcPr>
            <w:tcW w:w="7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kern w:val="0"/>
                <w:szCs w:val="21"/>
                <w:highlight w:val="none"/>
              </w:rPr>
            </w:pPr>
            <w:r>
              <w:rPr>
                <w:rFonts w:hint="eastAsia" w:eastAsiaTheme="minorEastAsia"/>
                <w:color w:val="000000"/>
                <w:szCs w:val="21"/>
                <w:highlight w:val="none"/>
                <w:lang w:val="en-US" w:eastAsia="zh-CN"/>
              </w:rPr>
              <w:t>国融证券</w:t>
            </w:r>
          </w:p>
        </w:tc>
        <w:tc>
          <w:tcPr>
            <w:tcW w:w="90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kern w:val="0"/>
                <w:szCs w:val="21"/>
                <w:highlight w:val="none"/>
              </w:rPr>
            </w:pPr>
            <w:r>
              <w:rPr>
                <w:rFonts w:eastAsiaTheme="minorEastAsia"/>
                <w:color w:val="000000"/>
                <w:szCs w:val="21"/>
                <w:highlight w:val="none"/>
              </w:rPr>
              <w:t>券商收益凭证</w:t>
            </w:r>
          </w:p>
        </w:tc>
        <w:tc>
          <w:tcPr>
            <w:tcW w:w="12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kern w:val="0"/>
                <w:szCs w:val="21"/>
                <w:highlight w:val="none"/>
              </w:rPr>
            </w:pPr>
            <w:r>
              <w:rPr>
                <w:rFonts w:hint="eastAsia" w:eastAsiaTheme="minorEastAsia"/>
                <w:color w:val="000000"/>
                <w:kern w:val="0"/>
                <w:sz w:val="21"/>
                <w:szCs w:val="21"/>
                <w:highlight w:val="none"/>
                <w:lang w:bidi="ar"/>
              </w:rPr>
              <w:t>安享收益凭证21</w:t>
            </w:r>
            <w:r>
              <w:rPr>
                <w:rFonts w:hint="eastAsia" w:eastAsiaTheme="minorEastAsia"/>
                <w:color w:val="000000"/>
                <w:kern w:val="0"/>
                <w:sz w:val="21"/>
                <w:szCs w:val="21"/>
                <w:highlight w:val="none"/>
                <w:lang w:val="en-US" w:eastAsia="zh-CN" w:bidi="ar"/>
              </w:rPr>
              <w:t>65</w:t>
            </w:r>
            <w:r>
              <w:rPr>
                <w:rFonts w:hint="eastAsia" w:eastAsiaTheme="minorEastAsia"/>
                <w:color w:val="000000"/>
                <w:kern w:val="0"/>
                <w:sz w:val="21"/>
                <w:szCs w:val="21"/>
                <w:highlight w:val="none"/>
                <w:lang w:eastAsia="zh-CN" w:bidi="ar"/>
              </w:rPr>
              <w:t>号</w:t>
            </w:r>
          </w:p>
        </w:tc>
        <w:tc>
          <w:tcPr>
            <w:tcW w:w="834"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jc w:val="center"/>
              <w:textAlignment w:val="center"/>
              <w:rPr>
                <w:rFonts w:hint="default" w:eastAsiaTheme="minorEastAsia"/>
                <w:color w:val="000000"/>
                <w:szCs w:val="21"/>
                <w:highlight w:val="none"/>
                <w:lang w:val="en-US"/>
              </w:rPr>
            </w:pPr>
            <w:r>
              <w:rPr>
                <w:rFonts w:hint="eastAsia" w:eastAsiaTheme="minorEastAsia"/>
                <w:color w:val="000000"/>
                <w:kern w:val="0"/>
                <w:szCs w:val="21"/>
                <w:highlight w:val="none"/>
                <w:lang w:val="en-US" w:eastAsia="zh-CN" w:bidi="ar"/>
              </w:rPr>
              <w:t>7,000</w:t>
            </w:r>
          </w:p>
        </w:tc>
        <w:tc>
          <w:tcPr>
            <w:tcW w:w="85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hint="default" w:eastAsiaTheme="minorEastAsia"/>
                <w:color w:val="000000"/>
                <w:szCs w:val="21"/>
                <w:highlight w:val="none"/>
                <w:lang w:val="en-US"/>
              </w:rPr>
            </w:pPr>
            <w:r>
              <w:rPr>
                <w:rFonts w:hint="eastAsia" w:eastAsiaTheme="minorEastAsia"/>
                <w:color w:val="000000"/>
                <w:szCs w:val="21"/>
                <w:highlight w:val="none"/>
                <w:lang w:val="en-US" w:eastAsia="zh-CN"/>
              </w:rPr>
              <w:t>3.80%</w:t>
            </w:r>
          </w:p>
        </w:tc>
        <w:tc>
          <w:tcPr>
            <w:tcW w:w="95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hint="default" w:eastAsiaTheme="minorEastAsia"/>
                <w:color w:val="000000"/>
                <w:szCs w:val="21"/>
                <w:highlight w:val="none"/>
                <w:lang w:val="en-US" w:eastAsia="zh-CN"/>
              </w:rPr>
            </w:pPr>
            <w:r>
              <w:rPr>
                <w:rFonts w:hint="eastAsia" w:eastAsiaTheme="minorEastAsia"/>
                <w:color w:val="000000"/>
                <w:szCs w:val="21"/>
                <w:highlight w:val="none"/>
                <w:lang w:val="en-US" w:eastAsia="zh-CN"/>
              </w:rPr>
              <w:t>76.52</w:t>
            </w:r>
          </w:p>
        </w:tc>
        <w:tc>
          <w:tcPr>
            <w:tcW w:w="74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szCs w:val="21"/>
                <w:highlight w:val="none"/>
              </w:rPr>
            </w:pPr>
            <w:r>
              <w:rPr>
                <w:rFonts w:hint="eastAsia" w:eastAsiaTheme="minorEastAsia"/>
                <w:color w:val="000000"/>
                <w:szCs w:val="21"/>
                <w:highlight w:val="none"/>
                <w:lang w:val="en-US" w:eastAsia="zh-CN"/>
              </w:rPr>
              <w:t>105</w:t>
            </w:r>
            <w:r>
              <w:rPr>
                <w:rFonts w:hint="eastAsia" w:eastAsiaTheme="minorEastAsia"/>
                <w:color w:val="000000"/>
                <w:szCs w:val="21"/>
                <w:highlight w:val="none"/>
              </w:rPr>
              <w:t>天</w:t>
            </w:r>
          </w:p>
        </w:tc>
        <w:tc>
          <w:tcPr>
            <w:tcW w:w="12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szCs w:val="21"/>
                <w:highlight w:val="none"/>
              </w:rPr>
            </w:pPr>
            <w:r>
              <w:rPr>
                <w:rFonts w:hint="eastAsia" w:eastAsiaTheme="minorEastAsia"/>
                <w:bCs/>
                <w:color w:val="000000"/>
                <w:kern w:val="0"/>
                <w:szCs w:val="21"/>
                <w:highlight w:val="none"/>
              </w:rPr>
              <w:t>本金保障固定收益型</w:t>
            </w:r>
          </w:p>
        </w:tc>
        <w:tc>
          <w:tcPr>
            <w:tcW w:w="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szCs w:val="21"/>
                <w:highlight w:val="none"/>
              </w:rPr>
            </w:pPr>
            <w:r>
              <w:rPr>
                <w:rFonts w:eastAsiaTheme="minorEastAsia"/>
                <w:color w:val="000000"/>
                <w:szCs w:val="21"/>
                <w:highlight w:val="none"/>
              </w:rPr>
              <w:t>无</w:t>
            </w:r>
          </w:p>
        </w:tc>
        <w:tc>
          <w:tcPr>
            <w:tcW w:w="6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szCs w:val="21"/>
                <w:highlight w:val="none"/>
              </w:rPr>
            </w:pPr>
            <w:r>
              <w:rPr>
                <w:rFonts w:eastAsiaTheme="minorEastAsia"/>
                <w:color w:val="000000"/>
                <w:szCs w:val="21"/>
                <w:highlight w:val="none"/>
              </w:rPr>
              <w:t>否</w:t>
            </w:r>
          </w:p>
        </w:tc>
      </w:tr>
    </w:tbl>
    <w:p>
      <w:pPr>
        <w:keepNext w:val="0"/>
        <w:keepLines w:val="0"/>
        <w:pageBreakBefore w:val="0"/>
        <w:widowControl/>
        <w:kinsoku/>
        <w:wordWrap/>
        <w:overflowPunct/>
        <w:topLinePunct w:val="0"/>
        <w:autoSpaceDE/>
        <w:autoSpaceDN/>
        <w:bidi w:val="0"/>
        <w:adjustRightInd/>
        <w:snapToGrid/>
        <w:spacing w:before="157" w:beforeLines="50" w:line="360" w:lineRule="auto"/>
        <w:ind w:firstLine="422" w:firstLineChars="175"/>
        <w:jc w:val="left"/>
        <w:textAlignment w:val="auto"/>
        <w:rPr>
          <w:rFonts w:eastAsiaTheme="minorEastAsia"/>
          <w:b/>
          <w:color w:val="000000"/>
          <w:sz w:val="24"/>
          <w:szCs w:val="24"/>
        </w:rPr>
      </w:pPr>
      <w:r>
        <w:rPr>
          <w:rFonts w:hint="eastAsia" w:eastAsiaTheme="minorEastAsia"/>
          <w:b/>
          <w:color w:val="000000"/>
          <w:sz w:val="24"/>
          <w:szCs w:val="24"/>
        </w:rPr>
        <w:t>（四）公司对委托理财相关风险的内部控制</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rPr>
        <w:t>公司进行现金管理购买的理财产品发行主体为能提供保本承诺的金融机构，产品品种为安全性高、流动性好、短期（不超过1年）、有保本约定的理财产品（包括但不限于结构性存款、协定存款、通知存款、定期存款、大额存单、收益凭证等），且该理财产品不得用于质押。同时，公司严格遵守审慎投资原则，筛选投资对象，选择信誉好、规模大、有能力保障资金安全、经营效益好、资金运作能力强的单位所发行的产品。</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rPr>
        <w:t>公司根据</w:t>
      </w:r>
      <w:r>
        <w:rPr>
          <w:rFonts w:hint="eastAsia" w:eastAsiaTheme="minorEastAsia"/>
          <w:color w:val="000000"/>
          <w:sz w:val="24"/>
          <w:szCs w:val="24"/>
          <w:lang w:eastAsia="zh-CN"/>
        </w:rPr>
        <w:t>《</w:t>
      </w:r>
      <w:r>
        <w:rPr>
          <w:rFonts w:hint="eastAsia" w:eastAsiaTheme="minorEastAsia"/>
          <w:color w:val="000000"/>
          <w:sz w:val="24"/>
          <w:szCs w:val="24"/>
          <w:lang w:val="en-US" w:eastAsia="zh-CN"/>
        </w:rPr>
        <w:t>上海证券交易所上市公司</w:t>
      </w:r>
      <w:r>
        <w:rPr>
          <w:rFonts w:eastAsiaTheme="minorEastAsia"/>
          <w:color w:val="000000"/>
          <w:sz w:val="24"/>
          <w:szCs w:val="24"/>
        </w:rPr>
        <w:t>募集资金管理办法</w:t>
      </w:r>
      <w:r>
        <w:rPr>
          <w:rFonts w:hint="eastAsia" w:eastAsiaTheme="minorEastAsia"/>
          <w:color w:val="000000"/>
          <w:sz w:val="24"/>
          <w:szCs w:val="24"/>
          <w:lang w:eastAsia="zh-CN"/>
        </w:rPr>
        <w:t>》</w:t>
      </w:r>
      <w:r>
        <w:rPr>
          <w:rFonts w:eastAsiaTheme="minorEastAsia"/>
          <w:color w:val="000000"/>
          <w:sz w:val="24"/>
          <w:szCs w:val="24"/>
        </w:rPr>
        <w:t>及内部资金管理制度，对投资理财产品行为进行规范和控制，严格审批投资产品准入范围，确保现金管理事宜的有效开展和规范运行。</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rPr>
        <w:t>公司董事会审计委员会、独立董事、监事会有权对理财资金使用情况进行监督与检查。</w:t>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left"/>
        <w:textAlignment w:val="auto"/>
        <w:rPr>
          <w:rFonts w:asciiTheme="minorEastAsia" w:hAnsiTheme="minorEastAsia" w:eastAsiaTheme="minorEastAsia" w:cstheme="minorEastAsia"/>
          <w:b/>
          <w:bCs/>
          <w:color w:val="000000"/>
          <w:sz w:val="24"/>
          <w:szCs w:val="24"/>
          <w:highlight w:val="none"/>
        </w:rPr>
      </w:pPr>
      <w:r>
        <w:rPr>
          <w:rFonts w:hint="eastAsia" w:asciiTheme="minorEastAsia" w:hAnsiTheme="minorEastAsia" w:eastAsiaTheme="minorEastAsia" w:cstheme="minorEastAsia"/>
          <w:color w:val="000000"/>
          <w:sz w:val="24"/>
          <w:szCs w:val="24"/>
          <w:highlight w:val="none"/>
          <w:lang w:val="en-US" w:eastAsia="zh-CN"/>
        </w:rPr>
        <w:t>三</w:t>
      </w:r>
      <w:r>
        <w:rPr>
          <w:rFonts w:hint="eastAsia" w:asciiTheme="minorEastAsia" w:hAnsiTheme="minorEastAsia" w:eastAsiaTheme="minorEastAsia" w:cstheme="minorEastAsia"/>
          <w:color w:val="000000"/>
          <w:sz w:val="24"/>
          <w:szCs w:val="24"/>
          <w:highlight w:val="none"/>
        </w:rPr>
        <w:t>、</w:t>
      </w:r>
      <w:r>
        <w:rPr>
          <w:rFonts w:hint="eastAsia" w:asciiTheme="minorEastAsia" w:hAnsiTheme="minorEastAsia" w:eastAsiaTheme="minorEastAsia" w:cstheme="minorEastAsia"/>
          <w:b/>
          <w:bCs/>
          <w:color w:val="000000"/>
          <w:sz w:val="24"/>
          <w:szCs w:val="24"/>
          <w:highlight w:val="none"/>
        </w:rPr>
        <w:t>本次委托理财的具体情况</w:t>
      </w:r>
    </w:p>
    <w:p>
      <w:pPr>
        <w:keepNext w:val="0"/>
        <w:keepLines w:val="0"/>
        <w:pageBreakBefore w:val="0"/>
        <w:widowControl/>
        <w:kinsoku/>
        <w:wordWrap/>
        <w:overflowPunct/>
        <w:topLinePunct w:val="0"/>
        <w:autoSpaceDE/>
        <w:autoSpaceDN/>
        <w:bidi w:val="0"/>
        <w:adjustRightInd/>
        <w:snapToGrid/>
        <w:spacing w:line="360" w:lineRule="auto"/>
        <w:ind w:firstLine="422" w:firstLineChars="175"/>
        <w:jc w:val="left"/>
        <w:textAlignment w:val="auto"/>
        <w:rPr>
          <w:rFonts w:eastAsiaTheme="minorEastAsia"/>
          <w:b/>
          <w:color w:val="000000"/>
          <w:sz w:val="24"/>
          <w:szCs w:val="24"/>
          <w:highlight w:val="none"/>
        </w:rPr>
      </w:pPr>
      <w:r>
        <w:rPr>
          <w:rFonts w:hint="eastAsia" w:eastAsiaTheme="minorEastAsia"/>
          <w:b/>
          <w:color w:val="000000"/>
          <w:sz w:val="24"/>
          <w:szCs w:val="24"/>
          <w:highlight w:val="none"/>
        </w:rPr>
        <w:t>（一）委托理财合同主要条款</w:t>
      </w:r>
    </w:p>
    <w:p>
      <w:pPr>
        <w:keepNext w:val="0"/>
        <w:keepLines w:val="0"/>
        <w:pageBreakBefore w:val="0"/>
        <w:widowControl/>
        <w:kinsoku/>
        <w:wordWrap/>
        <w:overflowPunct/>
        <w:topLinePunct w:val="0"/>
        <w:autoSpaceDE/>
        <w:autoSpaceDN/>
        <w:bidi w:val="0"/>
        <w:adjustRightInd/>
        <w:snapToGrid/>
        <w:spacing w:line="360" w:lineRule="auto"/>
        <w:ind w:firstLine="420" w:firstLineChars="175"/>
        <w:jc w:val="left"/>
        <w:textAlignment w:val="auto"/>
        <w:rPr>
          <w:rFonts w:eastAsiaTheme="minorEastAsia"/>
          <w:color w:val="000000"/>
          <w:sz w:val="24"/>
          <w:szCs w:val="24"/>
          <w:highlight w:val="none"/>
        </w:rPr>
      </w:pPr>
      <w:r>
        <w:rPr>
          <w:rFonts w:hint="eastAsia" w:eastAsiaTheme="minorEastAsia"/>
          <w:color w:val="000000"/>
          <w:sz w:val="24"/>
          <w:szCs w:val="24"/>
          <w:highlight w:val="none"/>
        </w:rPr>
        <w:t>1、安享收益凭证</w:t>
      </w:r>
      <w:r>
        <w:rPr>
          <w:rFonts w:hint="eastAsia" w:eastAsiaTheme="minorEastAsia"/>
          <w:color w:val="000000"/>
          <w:sz w:val="24"/>
          <w:szCs w:val="24"/>
          <w:highlight w:val="none"/>
          <w:lang w:val="en-US" w:eastAsia="zh-CN"/>
        </w:rPr>
        <w:t>2165</w:t>
      </w:r>
      <w:r>
        <w:rPr>
          <w:rFonts w:hint="eastAsia" w:eastAsiaTheme="minorEastAsia"/>
          <w:color w:val="000000"/>
          <w:sz w:val="24"/>
          <w:szCs w:val="24"/>
          <w:highlight w:val="none"/>
        </w:rPr>
        <w:t>号</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92"/>
        <w:gridCol w:w="5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产品名称</w:t>
            </w:r>
          </w:p>
        </w:tc>
        <w:tc>
          <w:tcPr>
            <w:tcW w:w="5530" w:type="dxa"/>
            <w:vAlign w:val="center"/>
          </w:tcPr>
          <w:p>
            <w:pPr>
              <w:autoSpaceDE w:val="0"/>
              <w:autoSpaceDN w:val="0"/>
              <w:adjustRightInd w:val="0"/>
              <w:jc w:val="center"/>
              <w:rPr>
                <w:rFonts w:eastAsiaTheme="minorEastAsia"/>
                <w:bCs/>
                <w:color w:val="000000"/>
                <w:kern w:val="0"/>
                <w:szCs w:val="21"/>
                <w:highlight w:val="none"/>
              </w:rPr>
            </w:pPr>
            <w:r>
              <w:rPr>
                <w:rFonts w:hint="eastAsia" w:eastAsiaTheme="minorEastAsia"/>
                <w:bCs/>
                <w:color w:val="000000"/>
                <w:kern w:val="0"/>
                <w:szCs w:val="21"/>
                <w:highlight w:val="none"/>
              </w:rPr>
              <w:t>国融证券安享收益凭证21</w:t>
            </w:r>
            <w:r>
              <w:rPr>
                <w:rFonts w:hint="eastAsia" w:eastAsiaTheme="minorEastAsia"/>
                <w:bCs/>
                <w:color w:val="000000"/>
                <w:kern w:val="0"/>
                <w:szCs w:val="21"/>
                <w:highlight w:val="none"/>
                <w:lang w:val="en-US" w:eastAsia="zh-CN"/>
              </w:rPr>
              <w:t>65</w:t>
            </w:r>
            <w:r>
              <w:rPr>
                <w:rFonts w:hint="eastAsia" w:eastAsiaTheme="minorEastAsia"/>
                <w:bCs/>
                <w:color w:val="000000"/>
                <w:kern w:val="0"/>
                <w:szCs w:val="21"/>
                <w:highlight w:val="none"/>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产品代码</w:t>
            </w:r>
          </w:p>
        </w:tc>
        <w:tc>
          <w:tcPr>
            <w:tcW w:w="5530" w:type="dxa"/>
            <w:vAlign w:val="center"/>
          </w:tcPr>
          <w:p>
            <w:pPr>
              <w:autoSpaceDE w:val="0"/>
              <w:autoSpaceDN w:val="0"/>
              <w:adjustRightInd w:val="0"/>
              <w:jc w:val="center"/>
              <w:rPr>
                <w:rFonts w:hint="default" w:eastAsiaTheme="minorEastAsia"/>
                <w:bCs/>
                <w:color w:val="000000"/>
                <w:kern w:val="0"/>
                <w:szCs w:val="21"/>
                <w:highlight w:val="none"/>
                <w:lang w:val="en-US" w:eastAsia="zh-CN"/>
              </w:rPr>
            </w:pPr>
            <w:r>
              <w:rPr>
                <w:rFonts w:hint="default" w:eastAsiaTheme="minorEastAsia"/>
                <w:bCs/>
                <w:color w:val="000000"/>
                <w:kern w:val="0"/>
                <w:szCs w:val="21"/>
                <w:highlight w:val="none"/>
                <w:lang w:val="en-US" w:eastAsia="zh-CN"/>
              </w:rPr>
              <w:t>S</w:t>
            </w:r>
            <w:r>
              <w:rPr>
                <w:rFonts w:hint="eastAsia" w:eastAsiaTheme="minorEastAsia"/>
                <w:bCs/>
                <w:color w:val="000000"/>
                <w:kern w:val="0"/>
                <w:szCs w:val="21"/>
                <w:highlight w:val="none"/>
                <w:lang w:val="en-US" w:eastAsia="zh-CN"/>
              </w:rPr>
              <w:t>RP951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产品类型</w:t>
            </w:r>
          </w:p>
        </w:tc>
        <w:tc>
          <w:tcPr>
            <w:tcW w:w="5530" w:type="dxa"/>
            <w:vAlign w:val="center"/>
          </w:tcPr>
          <w:p>
            <w:pPr>
              <w:autoSpaceDE w:val="0"/>
              <w:autoSpaceDN w:val="0"/>
              <w:adjustRightInd w:val="0"/>
              <w:jc w:val="center"/>
              <w:rPr>
                <w:rFonts w:eastAsiaTheme="minorEastAsia"/>
                <w:bCs/>
                <w:color w:val="000000"/>
                <w:kern w:val="0"/>
                <w:szCs w:val="21"/>
                <w:highlight w:val="none"/>
              </w:rPr>
            </w:pPr>
            <w:r>
              <w:rPr>
                <w:rFonts w:hint="eastAsia" w:eastAsiaTheme="minorEastAsia"/>
                <w:bCs/>
                <w:color w:val="000000"/>
                <w:kern w:val="0"/>
                <w:szCs w:val="21"/>
                <w:highlight w:val="none"/>
              </w:rPr>
              <w:t>券商收益凭证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产品期限</w:t>
            </w:r>
          </w:p>
        </w:tc>
        <w:tc>
          <w:tcPr>
            <w:tcW w:w="5530" w:type="dxa"/>
            <w:vAlign w:val="center"/>
          </w:tcPr>
          <w:p>
            <w:pPr>
              <w:autoSpaceDE w:val="0"/>
              <w:autoSpaceDN w:val="0"/>
              <w:adjustRightInd w:val="0"/>
              <w:jc w:val="center"/>
              <w:rPr>
                <w:rFonts w:eastAsiaTheme="minorEastAsia"/>
                <w:bCs/>
                <w:color w:val="000000"/>
                <w:kern w:val="0"/>
                <w:szCs w:val="21"/>
                <w:highlight w:val="none"/>
              </w:rPr>
            </w:pPr>
            <w:r>
              <w:rPr>
                <w:rFonts w:hint="eastAsia" w:eastAsiaTheme="minorEastAsia"/>
                <w:bCs/>
                <w:color w:val="000000"/>
                <w:kern w:val="0"/>
                <w:szCs w:val="21"/>
                <w:highlight w:val="none"/>
                <w:lang w:val="en-US" w:eastAsia="zh-CN"/>
              </w:rPr>
              <w:t>105</w:t>
            </w:r>
            <w:r>
              <w:rPr>
                <w:rFonts w:hint="eastAsia" w:eastAsiaTheme="minorEastAsia"/>
                <w:bCs/>
                <w:color w:val="000000"/>
                <w:kern w:val="0"/>
                <w:szCs w:val="21"/>
                <w:highlight w:val="none"/>
              </w:rPr>
              <w:t>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本金（万元）</w:t>
            </w:r>
          </w:p>
        </w:tc>
        <w:tc>
          <w:tcPr>
            <w:tcW w:w="5530" w:type="dxa"/>
            <w:vAlign w:val="center"/>
          </w:tcPr>
          <w:p>
            <w:pPr>
              <w:autoSpaceDE w:val="0"/>
              <w:autoSpaceDN w:val="0"/>
              <w:adjustRightInd w:val="0"/>
              <w:jc w:val="center"/>
              <w:rPr>
                <w:rFonts w:hint="default" w:eastAsiaTheme="minorEastAsia"/>
                <w:bCs/>
                <w:color w:val="000000"/>
                <w:kern w:val="0"/>
                <w:szCs w:val="21"/>
                <w:highlight w:val="none"/>
                <w:lang w:val="en-US"/>
              </w:rPr>
            </w:pPr>
            <w:r>
              <w:rPr>
                <w:rFonts w:hint="eastAsia" w:eastAsiaTheme="minorEastAsia"/>
                <w:bCs/>
                <w:color w:val="000000"/>
                <w:kern w:val="0"/>
                <w:szCs w:val="21"/>
                <w:highlight w:val="none"/>
                <w:lang w:val="en-US" w:eastAsia="zh-CN"/>
              </w:rPr>
              <w:t>7,000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收益类型</w:t>
            </w:r>
          </w:p>
        </w:tc>
        <w:tc>
          <w:tcPr>
            <w:tcW w:w="5530" w:type="dxa"/>
            <w:vAlign w:val="center"/>
          </w:tcPr>
          <w:p>
            <w:pPr>
              <w:autoSpaceDE w:val="0"/>
              <w:autoSpaceDN w:val="0"/>
              <w:adjustRightInd w:val="0"/>
              <w:jc w:val="center"/>
              <w:rPr>
                <w:rFonts w:eastAsiaTheme="minorEastAsia"/>
                <w:bCs/>
                <w:color w:val="000000"/>
                <w:kern w:val="0"/>
                <w:szCs w:val="21"/>
                <w:highlight w:val="none"/>
              </w:rPr>
            </w:pPr>
            <w:r>
              <w:rPr>
                <w:rFonts w:hint="eastAsia" w:eastAsiaTheme="minorEastAsia"/>
                <w:bCs/>
                <w:color w:val="000000"/>
                <w:kern w:val="0"/>
                <w:szCs w:val="21"/>
                <w:highlight w:val="none"/>
              </w:rPr>
              <w:t>本金保障固定收益型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产品起息日期</w:t>
            </w:r>
          </w:p>
        </w:tc>
        <w:tc>
          <w:tcPr>
            <w:tcW w:w="5530" w:type="dxa"/>
            <w:vAlign w:val="center"/>
          </w:tcPr>
          <w:p>
            <w:pPr>
              <w:autoSpaceDE w:val="0"/>
              <w:autoSpaceDN w:val="0"/>
              <w:adjustRightInd w:val="0"/>
              <w:jc w:val="center"/>
              <w:rPr>
                <w:rFonts w:eastAsiaTheme="minorEastAsia"/>
                <w:bCs/>
                <w:color w:val="000000"/>
                <w:kern w:val="0"/>
                <w:szCs w:val="21"/>
                <w:highlight w:val="none"/>
              </w:rPr>
            </w:pPr>
            <w:r>
              <w:rPr>
                <w:rFonts w:eastAsiaTheme="minorEastAsia"/>
                <w:bCs/>
                <w:color w:val="000000"/>
                <w:kern w:val="0"/>
                <w:szCs w:val="21"/>
                <w:highlight w:val="none"/>
              </w:rPr>
              <w:t>202</w:t>
            </w:r>
            <w:r>
              <w:rPr>
                <w:rFonts w:hint="eastAsia" w:eastAsiaTheme="minorEastAsia"/>
                <w:bCs/>
                <w:color w:val="000000"/>
                <w:kern w:val="0"/>
                <w:szCs w:val="21"/>
                <w:highlight w:val="none"/>
                <w:lang w:val="en-US" w:eastAsia="zh-CN"/>
              </w:rPr>
              <w:t>1</w:t>
            </w:r>
            <w:r>
              <w:rPr>
                <w:rFonts w:eastAsiaTheme="minorEastAsia"/>
                <w:bCs/>
                <w:color w:val="000000"/>
                <w:kern w:val="0"/>
                <w:szCs w:val="21"/>
                <w:highlight w:val="none"/>
              </w:rPr>
              <w:t>年</w:t>
            </w:r>
            <w:r>
              <w:rPr>
                <w:rFonts w:hint="eastAsia" w:eastAsiaTheme="minorEastAsia"/>
                <w:bCs/>
                <w:color w:val="000000"/>
                <w:kern w:val="0"/>
                <w:szCs w:val="21"/>
                <w:highlight w:val="none"/>
                <w:lang w:val="en-US" w:eastAsia="zh-CN"/>
              </w:rPr>
              <w:t>10</w:t>
            </w:r>
            <w:r>
              <w:rPr>
                <w:rFonts w:eastAsiaTheme="minorEastAsia"/>
                <w:bCs/>
                <w:color w:val="000000"/>
                <w:kern w:val="0"/>
                <w:szCs w:val="21"/>
                <w:highlight w:val="none"/>
              </w:rPr>
              <w:t>月</w:t>
            </w:r>
            <w:r>
              <w:rPr>
                <w:rFonts w:hint="eastAsia" w:eastAsiaTheme="minorEastAsia"/>
                <w:bCs/>
                <w:color w:val="000000"/>
                <w:kern w:val="0"/>
                <w:szCs w:val="21"/>
                <w:highlight w:val="none"/>
                <w:lang w:val="en-US" w:eastAsia="zh-CN"/>
              </w:rPr>
              <w:t>11</w:t>
            </w:r>
            <w:r>
              <w:rPr>
                <w:rFonts w:eastAsiaTheme="minorEastAsia"/>
                <w:bCs/>
                <w:color w:val="000000"/>
                <w:kern w:val="0"/>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产品到期日期</w:t>
            </w:r>
          </w:p>
        </w:tc>
        <w:tc>
          <w:tcPr>
            <w:tcW w:w="5530" w:type="dxa"/>
            <w:vAlign w:val="center"/>
          </w:tcPr>
          <w:p>
            <w:pPr>
              <w:autoSpaceDE w:val="0"/>
              <w:autoSpaceDN w:val="0"/>
              <w:adjustRightInd w:val="0"/>
              <w:jc w:val="center"/>
              <w:rPr>
                <w:rFonts w:eastAsiaTheme="minorEastAsia"/>
                <w:bCs/>
                <w:color w:val="000000"/>
                <w:kern w:val="0"/>
                <w:szCs w:val="21"/>
                <w:highlight w:val="none"/>
              </w:rPr>
            </w:pPr>
            <w:r>
              <w:rPr>
                <w:rFonts w:hint="eastAsia" w:eastAsiaTheme="minorEastAsia"/>
                <w:bCs/>
                <w:color w:val="000000"/>
                <w:kern w:val="0"/>
                <w:szCs w:val="21"/>
                <w:highlight w:val="none"/>
              </w:rPr>
              <w:t>202</w:t>
            </w:r>
            <w:r>
              <w:rPr>
                <w:rFonts w:hint="eastAsia" w:eastAsiaTheme="minorEastAsia"/>
                <w:bCs/>
                <w:color w:val="000000"/>
                <w:kern w:val="0"/>
                <w:szCs w:val="21"/>
                <w:highlight w:val="none"/>
                <w:lang w:val="en-US" w:eastAsia="zh-CN"/>
              </w:rPr>
              <w:t>2</w:t>
            </w:r>
            <w:r>
              <w:rPr>
                <w:rFonts w:hint="eastAsia" w:eastAsiaTheme="minorEastAsia"/>
                <w:bCs/>
                <w:color w:val="000000"/>
                <w:kern w:val="0"/>
                <w:szCs w:val="21"/>
                <w:highlight w:val="none"/>
              </w:rPr>
              <w:t>年</w:t>
            </w:r>
            <w:r>
              <w:rPr>
                <w:rFonts w:hint="eastAsia" w:eastAsiaTheme="minorEastAsia"/>
                <w:bCs/>
                <w:color w:val="000000"/>
                <w:kern w:val="0"/>
                <w:szCs w:val="21"/>
                <w:highlight w:val="none"/>
                <w:lang w:val="en-US" w:eastAsia="zh-CN"/>
              </w:rPr>
              <w:t>1</w:t>
            </w:r>
            <w:r>
              <w:rPr>
                <w:rFonts w:hint="eastAsia" w:eastAsiaTheme="minorEastAsia"/>
                <w:bCs/>
                <w:color w:val="000000"/>
                <w:kern w:val="0"/>
                <w:szCs w:val="21"/>
                <w:highlight w:val="none"/>
              </w:rPr>
              <w:t>月</w:t>
            </w:r>
            <w:r>
              <w:rPr>
                <w:rFonts w:hint="eastAsia" w:eastAsiaTheme="minorEastAsia"/>
                <w:bCs/>
                <w:color w:val="000000"/>
                <w:kern w:val="0"/>
                <w:szCs w:val="21"/>
                <w:highlight w:val="none"/>
                <w:lang w:val="en-US" w:eastAsia="zh-CN"/>
              </w:rPr>
              <w:t>24</w:t>
            </w:r>
            <w:r>
              <w:rPr>
                <w:rFonts w:hint="eastAsia" w:eastAsiaTheme="minorEastAsia"/>
                <w:bCs/>
                <w:color w:val="000000"/>
                <w:kern w:val="0"/>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hint="eastAsia" w:asciiTheme="minorEastAsia" w:hAnsiTheme="minorEastAsia" w:eastAsiaTheme="minorEastAsia" w:cstheme="minorEastAsia"/>
                <w:b/>
                <w:color w:val="000000"/>
                <w:kern w:val="0"/>
                <w:szCs w:val="21"/>
                <w:highlight w:val="none"/>
                <w:lang w:val="en-US" w:eastAsia="zh-CN"/>
              </w:rPr>
            </w:pPr>
            <w:r>
              <w:rPr>
                <w:rFonts w:hint="eastAsia" w:asciiTheme="minorEastAsia" w:hAnsiTheme="minorEastAsia" w:eastAsiaTheme="minorEastAsia" w:cstheme="minorEastAsia"/>
                <w:b/>
                <w:color w:val="000000"/>
                <w:kern w:val="0"/>
                <w:szCs w:val="21"/>
                <w:highlight w:val="none"/>
                <w:lang w:val="en-US" w:eastAsia="zh-CN"/>
              </w:rPr>
              <w:t>兑付日</w:t>
            </w:r>
          </w:p>
        </w:tc>
        <w:tc>
          <w:tcPr>
            <w:tcW w:w="5530" w:type="dxa"/>
            <w:vAlign w:val="center"/>
          </w:tcPr>
          <w:p>
            <w:pPr>
              <w:autoSpaceDE w:val="0"/>
              <w:autoSpaceDN w:val="0"/>
              <w:adjustRightInd w:val="0"/>
              <w:jc w:val="center"/>
              <w:rPr>
                <w:rFonts w:hint="default" w:eastAsiaTheme="minorEastAsia"/>
                <w:bCs/>
                <w:color w:val="000000"/>
                <w:kern w:val="0"/>
                <w:szCs w:val="21"/>
                <w:highlight w:val="none"/>
                <w:lang w:val="en-US" w:eastAsia="zh-CN"/>
              </w:rPr>
            </w:pPr>
            <w:r>
              <w:rPr>
                <w:rFonts w:hint="default" w:eastAsiaTheme="minorEastAsia"/>
                <w:bCs/>
                <w:color w:val="000000"/>
                <w:kern w:val="0"/>
                <w:szCs w:val="21"/>
                <w:highlight w:val="none"/>
                <w:lang w:val="en-US" w:eastAsia="zh-CN"/>
              </w:rPr>
              <w:t>202</w:t>
            </w:r>
            <w:r>
              <w:rPr>
                <w:rFonts w:hint="eastAsia" w:eastAsiaTheme="minorEastAsia"/>
                <w:bCs/>
                <w:color w:val="000000"/>
                <w:kern w:val="0"/>
                <w:szCs w:val="21"/>
                <w:highlight w:val="none"/>
                <w:lang w:val="en-US" w:eastAsia="zh-CN"/>
              </w:rPr>
              <w:t>2</w:t>
            </w:r>
            <w:r>
              <w:rPr>
                <w:rFonts w:hint="default" w:eastAsiaTheme="minorEastAsia"/>
                <w:bCs/>
                <w:color w:val="000000"/>
                <w:kern w:val="0"/>
                <w:szCs w:val="21"/>
                <w:highlight w:val="none"/>
                <w:lang w:val="en-US" w:eastAsia="zh-CN"/>
              </w:rPr>
              <w:t>年</w:t>
            </w:r>
            <w:r>
              <w:rPr>
                <w:rFonts w:hint="eastAsia" w:eastAsiaTheme="minorEastAsia"/>
                <w:bCs/>
                <w:color w:val="000000"/>
                <w:kern w:val="0"/>
                <w:szCs w:val="21"/>
                <w:highlight w:val="none"/>
                <w:lang w:val="en-US" w:eastAsia="zh-CN"/>
              </w:rPr>
              <w:t>1</w:t>
            </w:r>
            <w:r>
              <w:rPr>
                <w:rFonts w:hint="default" w:eastAsiaTheme="minorEastAsia"/>
                <w:bCs/>
                <w:color w:val="000000"/>
                <w:kern w:val="0"/>
                <w:szCs w:val="21"/>
                <w:highlight w:val="none"/>
                <w:lang w:val="en-US" w:eastAsia="zh-CN"/>
              </w:rPr>
              <w:t>月</w:t>
            </w:r>
            <w:r>
              <w:rPr>
                <w:rFonts w:hint="eastAsia" w:eastAsiaTheme="minorEastAsia"/>
                <w:bCs/>
                <w:color w:val="000000"/>
                <w:kern w:val="0"/>
                <w:szCs w:val="21"/>
                <w:highlight w:val="none"/>
                <w:lang w:val="en-US" w:eastAsia="zh-CN"/>
              </w:rPr>
              <w:t>25</w:t>
            </w:r>
            <w:r>
              <w:rPr>
                <w:rFonts w:hint="default" w:eastAsiaTheme="minorEastAsia"/>
                <w:bCs/>
                <w:color w:val="000000"/>
                <w:kern w:val="0"/>
                <w:szCs w:val="21"/>
                <w:highlight w:val="none"/>
                <w:lang w:val="en-US" w:eastAsia="zh-CN"/>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年化收益率</w:t>
            </w:r>
          </w:p>
        </w:tc>
        <w:tc>
          <w:tcPr>
            <w:tcW w:w="5530" w:type="dxa"/>
            <w:vAlign w:val="center"/>
          </w:tcPr>
          <w:p>
            <w:pPr>
              <w:autoSpaceDE w:val="0"/>
              <w:autoSpaceDN w:val="0"/>
              <w:adjustRightInd w:val="0"/>
              <w:jc w:val="center"/>
              <w:rPr>
                <w:rFonts w:eastAsiaTheme="minorEastAsia"/>
                <w:bCs/>
                <w:color w:val="000000"/>
                <w:kern w:val="0"/>
                <w:szCs w:val="21"/>
                <w:highlight w:val="none"/>
              </w:rPr>
            </w:pPr>
            <w:r>
              <w:rPr>
                <w:rFonts w:hint="eastAsia" w:eastAsiaTheme="minorEastAsia"/>
                <w:bCs/>
                <w:color w:val="000000"/>
                <w:kern w:val="0"/>
                <w:szCs w:val="21"/>
                <w:highlight w:val="none"/>
                <w:lang w:val="en-US" w:eastAsia="zh-CN"/>
              </w:rPr>
              <w:t>3.80</w:t>
            </w:r>
            <w:r>
              <w:rPr>
                <w:rFonts w:hint="eastAsia" w:eastAsiaTheme="minorEastAsia"/>
                <w:bCs/>
                <w:color w:val="000000"/>
                <w:kern w:val="0"/>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hint="eastAsia" w:asciiTheme="minorEastAsia" w:hAnsiTheme="minorEastAsia" w:eastAsiaTheme="minorEastAsia" w:cstheme="minorEastAsia"/>
                <w:b/>
                <w:color w:val="000000"/>
                <w:kern w:val="0"/>
                <w:szCs w:val="21"/>
                <w:highlight w:val="none"/>
                <w:lang w:val="en-US" w:eastAsia="zh-CN"/>
              </w:rPr>
            </w:pPr>
            <w:r>
              <w:rPr>
                <w:rFonts w:hint="eastAsia" w:asciiTheme="minorEastAsia" w:hAnsiTheme="minorEastAsia" w:eastAsiaTheme="minorEastAsia" w:cstheme="minorEastAsia"/>
                <w:b/>
                <w:color w:val="000000"/>
                <w:kern w:val="0"/>
                <w:szCs w:val="21"/>
                <w:highlight w:val="none"/>
              </w:rPr>
              <w:t>资金</w:t>
            </w:r>
            <w:r>
              <w:rPr>
                <w:rFonts w:hint="eastAsia" w:asciiTheme="minorEastAsia" w:hAnsiTheme="minorEastAsia" w:eastAsiaTheme="minorEastAsia" w:cstheme="minorEastAsia"/>
                <w:b/>
                <w:color w:val="000000"/>
                <w:kern w:val="0"/>
                <w:szCs w:val="21"/>
                <w:highlight w:val="none"/>
                <w:lang w:val="en-US" w:eastAsia="zh-CN"/>
              </w:rPr>
              <w:t>用途</w:t>
            </w:r>
          </w:p>
        </w:tc>
        <w:tc>
          <w:tcPr>
            <w:tcW w:w="5530" w:type="dxa"/>
            <w:vAlign w:val="center"/>
          </w:tcPr>
          <w:p>
            <w:pPr>
              <w:autoSpaceDE w:val="0"/>
              <w:autoSpaceDN w:val="0"/>
              <w:adjustRightInd w:val="0"/>
              <w:jc w:val="left"/>
              <w:rPr>
                <w:bCs/>
                <w:color w:val="000000"/>
                <w:kern w:val="0"/>
                <w:szCs w:val="21"/>
                <w:highlight w:val="none"/>
              </w:rPr>
            </w:pPr>
            <w:r>
              <w:rPr>
                <w:rFonts w:hint="eastAsia"/>
                <w:bCs/>
                <w:color w:val="000000"/>
                <w:kern w:val="0"/>
                <w:szCs w:val="21"/>
                <w:highlight w:val="none"/>
              </w:rPr>
              <w:t>本期收益凭证募集资金将用于补充</w:t>
            </w:r>
            <w:r>
              <w:rPr>
                <w:rFonts w:hint="eastAsia"/>
                <w:bCs/>
                <w:color w:val="000000"/>
                <w:kern w:val="0"/>
                <w:szCs w:val="21"/>
                <w:highlight w:val="none"/>
                <w:lang w:val="en-US" w:eastAsia="zh-CN"/>
              </w:rPr>
              <w:t>国融证券</w:t>
            </w:r>
            <w:r>
              <w:rPr>
                <w:rFonts w:hint="eastAsia"/>
                <w:bCs/>
                <w:color w:val="000000"/>
                <w:kern w:val="0"/>
                <w:szCs w:val="21"/>
                <w:highlight w:val="none"/>
              </w:rPr>
              <w:t>营运资金，保证经营活动顺利进行。</w:t>
            </w:r>
          </w:p>
        </w:tc>
      </w:tr>
    </w:tbl>
    <w:p>
      <w:pPr>
        <w:keepNext w:val="0"/>
        <w:keepLines w:val="0"/>
        <w:pageBreakBefore w:val="0"/>
        <w:widowControl/>
        <w:kinsoku/>
        <w:wordWrap/>
        <w:overflowPunct/>
        <w:topLinePunct w:val="0"/>
        <w:autoSpaceDE/>
        <w:autoSpaceDN/>
        <w:bidi w:val="0"/>
        <w:adjustRightInd/>
        <w:snapToGrid/>
        <w:spacing w:line="360" w:lineRule="auto"/>
        <w:ind w:firstLine="420" w:firstLineChars="175"/>
        <w:jc w:val="left"/>
        <w:textAlignment w:val="auto"/>
        <w:rPr>
          <w:rFonts w:hint="eastAsia" w:eastAsiaTheme="minorEastAsia"/>
          <w:color w:val="000000"/>
          <w:sz w:val="24"/>
          <w:szCs w:val="24"/>
          <w:highlight w:val="green"/>
          <w:lang w:val="en-US" w:eastAsia="zh-CN"/>
        </w:rPr>
      </w:pPr>
    </w:p>
    <w:p>
      <w:pPr>
        <w:keepNext w:val="0"/>
        <w:keepLines w:val="0"/>
        <w:pageBreakBefore w:val="0"/>
        <w:widowControl/>
        <w:kinsoku/>
        <w:wordWrap/>
        <w:overflowPunct/>
        <w:topLinePunct w:val="0"/>
        <w:autoSpaceDE/>
        <w:autoSpaceDN/>
        <w:bidi w:val="0"/>
        <w:adjustRightInd/>
        <w:snapToGrid/>
        <w:spacing w:before="157" w:beforeLines="50" w:line="360" w:lineRule="auto"/>
        <w:ind w:firstLine="422" w:firstLineChars="175"/>
        <w:jc w:val="left"/>
        <w:textAlignment w:val="auto"/>
        <w:rPr>
          <w:rFonts w:eastAsiaTheme="minorEastAsia"/>
          <w:b/>
          <w:color w:val="000000"/>
          <w:sz w:val="24"/>
          <w:szCs w:val="24"/>
        </w:rPr>
      </w:pPr>
      <w:r>
        <w:rPr>
          <w:rFonts w:hint="eastAsia" w:eastAsiaTheme="minorEastAsia"/>
          <w:b/>
          <w:color w:val="000000"/>
          <w:sz w:val="24"/>
          <w:szCs w:val="24"/>
        </w:rPr>
        <w:t>（二）风险控制分析</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hint="eastAsia" w:eastAsiaTheme="minorEastAsia"/>
          <w:color w:val="000000"/>
          <w:sz w:val="24"/>
          <w:szCs w:val="24"/>
        </w:rPr>
        <w:t>金融市场受宏观经济的影响较大，公司将根据经济形势以及金融市场的变化适时适量的介入，但该项投资仍会受到市场波动的影响。针对可能发生的投资风险，公司拟定如下风险控制措施：</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1、公司财务部门将及时分析和跟踪理财产品投向、项目进展情况，一旦发现或判断有不利因素，将及时采取相应的保全措施，控制投资风险；</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2、公司审计部门负责对低风险投资理财资金使用与保管情况的审计与监督，每个季度末应对所有理财产品投资项目进行全面检查，并根据谨慎性原则，合理的预计各项投资可能发生的收益和损失，并向审计委员会报告；</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3、独立董事、监事会有权对募集资金使用和购买理财产品情况进行监督检查，必要时可以聘请专业机构进行审计</w:t>
      </w:r>
      <w:r>
        <w:rPr>
          <w:rFonts w:hint="eastAsia" w:eastAsiaTheme="minorEastAsia"/>
          <w:color w:val="000000"/>
          <w:sz w:val="24"/>
          <w:szCs w:val="24"/>
        </w:rPr>
        <w:t>；</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hint="eastAsia" w:eastAsiaTheme="minorEastAsia"/>
          <w:color w:val="000000"/>
          <w:sz w:val="24"/>
          <w:szCs w:val="24"/>
        </w:rPr>
        <w:t>4、公司将根据上海证券交易所的有关规定，及时履行信息披露义务</w:t>
      </w:r>
      <w:r>
        <w:rPr>
          <w:rFonts w:eastAsiaTheme="minorEastAsia"/>
          <w:color w:val="000000"/>
          <w:sz w:val="24"/>
          <w:szCs w:val="24"/>
        </w:rPr>
        <w:t>。</w:t>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left"/>
        <w:textAlignment w:val="auto"/>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color w:val="000000"/>
          <w:sz w:val="24"/>
          <w:szCs w:val="24"/>
          <w:lang w:val="en-US" w:eastAsia="zh-CN"/>
        </w:rPr>
        <w:t>四</w:t>
      </w:r>
      <w:r>
        <w:rPr>
          <w:rFonts w:hint="eastAsia" w:asciiTheme="minorEastAsia" w:hAnsiTheme="minorEastAsia" w:eastAsiaTheme="minorEastAsia" w:cstheme="minorEastAsia"/>
          <w:b/>
          <w:color w:val="000000"/>
          <w:sz w:val="24"/>
          <w:szCs w:val="24"/>
        </w:rPr>
        <w:t>、</w:t>
      </w:r>
      <w:r>
        <w:rPr>
          <w:rFonts w:hint="eastAsia" w:asciiTheme="minorEastAsia" w:hAnsiTheme="minorEastAsia" w:eastAsiaTheme="minorEastAsia" w:cstheme="minorEastAsia"/>
          <w:b/>
          <w:bCs/>
          <w:color w:val="000000"/>
          <w:sz w:val="24"/>
          <w:szCs w:val="24"/>
        </w:rPr>
        <w:t>委托理财受托方的情况</w:t>
      </w:r>
    </w:p>
    <w:p>
      <w:pPr>
        <w:keepNext w:val="0"/>
        <w:keepLines w:val="0"/>
        <w:widowControl/>
        <w:numPr>
          <w:ilvl w:val="0"/>
          <w:numId w:val="2"/>
        </w:numPr>
        <w:suppressLineNumbers w:val="0"/>
        <w:spacing w:line="360" w:lineRule="auto"/>
        <w:ind w:leftChars="175"/>
        <w:jc w:val="left"/>
        <w:rPr>
          <w:rFonts w:hint="eastAsia" w:asciiTheme="minorEastAsia" w:hAnsiTheme="minorEastAsia" w:eastAsiaTheme="minorEastAsia" w:cstheme="minorEastAsia"/>
          <w:b w:val="0"/>
          <w:bCs w:val="0"/>
          <w:color w:val="000000"/>
          <w:sz w:val="24"/>
          <w:szCs w:val="24"/>
          <w:lang w:val="en-US" w:eastAsia="zh-CN"/>
        </w:rPr>
      </w:pPr>
      <w:r>
        <w:rPr>
          <w:rFonts w:hint="eastAsia" w:asciiTheme="minorEastAsia" w:hAnsiTheme="minorEastAsia" w:eastAsiaTheme="minorEastAsia" w:cstheme="minorEastAsia"/>
          <w:b w:val="0"/>
          <w:bCs w:val="0"/>
          <w:color w:val="000000"/>
          <w:sz w:val="24"/>
          <w:szCs w:val="24"/>
          <w:lang w:val="en-US" w:eastAsia="zh-CN"/>
        </w:rPr>
        <w:t>受托方的基本情况</w:t>
      </w:r>
    </w:p>
    <w:p>
      <w:pPr>
        <w:keepNext w:val="0"/>
        <w:keepLines w:val="0"/>
        <w:widowControl/>
        <w:numPr>
          <w:ilvl w:val="0"/>
          <w:numId w:val="0"/>
        </w:numPr>
        <w:suppressLineNumbers w:val="0"/>
        <w:spacing w:line="360" w:lineRule="auto"/>
        <w:ind w:left="0" w:leftChars="0" w:firstLine="420" w:firstLineChars="175"/>
        <w:jc w:val="left"/>
        <w:rPr>
          <w:rFonts w:hint="default" w:asciiTheme="minorEastAsia" w:hAnsiTheme="minorEastAsia" w:eastAsiaTheme="minorEastAsia" w:cstheme="minorEastAsia"/>
          <w:b w:val="0"/>
          <w:bCs w:val="0"/>
          <w:color w:val="000000"/>
          <w:sz w:val="24"/>
          <w:szCs w:val="24"/>
          <w:lang w:val="en-US" w:eastAsia="zh-CN"/>
        </w:rPr>
      </w:pPr>
      <w:r>
        <w:rPr>
          <w:rFonts w:hint="default" w:ascii="Times New Roman" w:hAnsi="Times New Roman" w:cs="Times New Roman" w:eastAsiaTheme="minorEastAsia"/>
          <w:b w:val="0"/>
          <w:bCs w:val="0"/>
          <w:color w:val="000000"/>
          <w:sz w:val="24"/>
          <w:szCs w:val="24"/>
          <w:lang w:val="en-US" w:eastAsia="zh-CN"/>
        </w:rPr>
        <w:t>本次购买理财产品的受托方</w:t>
      </w:r>
      <w:r>
        <w:rPr>
          <w:rFonts w:hint="eastAsia" w:asciiTheme="minorEastAsia" w:hAnsiTheme="minorEastAsia" w:eastAsiaTheme="minorEastAsia" w:cstheme="minorEastAsia"/>
          <w:b w:val="0"/>
          <w:bCs w:val="0"/>
          <w:color w:val="000000"/>
          <w:sz w:val="24"/>
          <w:szCs w:val="24"/>
          <w:lang w:val="en-US" w:eastAsia="zh-CN"/>
        </w:rPr>
        <w:t>国融证券为</w:t>
      </w:r>
      <w:r>
        <w:rPr>
          <w:rFonts w:hint="eastAsia" w:asciiTheme="minorEastAsia" w:hAnsiTheme="minorEastAsia" w:eastAsiaTheme="minorEastAsia" w:cstheme="minorEastAsia"/>
          <w:b w:val="0"/>
          <w:bCs w:val="0"/>
          <w:color w:val="000000"/>
          <w:sz w:val="24"/>
          <w:szCs w:val="24"/>
          <w:highlight w:val="none"/>
          <w:lang w:val="en-US" w:eastAsia="zh-CN"/>
        </w:rPr>
        <w:t>非上市金融机构，具体情况如下：</w:t>
      </w:r>
    </w:p>
    <w:p>
      <w:pPr>
        <w:keepNext w:val="0"/>
        <w:keepLines w:val="0"/>
        <w:widowControl/>
        <w:numPr>
          <w:ilvl w:val="0"/>
          <w:numId w:val="0"/>
        </w:numPr>
        <w:suppressLineNumbers w:val="0"/>
        <w:spacing w:line="360" w:lineRule="auto"/>
        <w:ind w:left="0" w:leftChars="0" w:firstLine="420" w:firstLineChars="175"/>
        <w:jc w:val="left"/>
        <w:rPr>
          <w:rFonts w:hint="default" w:ascii="Times New Roman" w:hAnsi="Times New Roman" w:cs="Times New Roman" w:eastAsiaTheme="minorEastAsia"/>
          <w:b w:val="0"/>
          <w:bCs w:val="0"/>
          <w:color w:val="000000"/>
          <w:sz w:val="24"/>
          <w:szCs w:val="24"/>
          <w:lang w:val="en-US" w:eastAsia="zh-CN"/>
        </w:rPr>
      </w:pPr>
      <w:r>
        <w:rPr>
          <w:rFonts w:hint="default" w:ascii="Times New Roman" w:hAnsi="Times New Roman" w:cs="Times New Roman" w:eastAsiaTheme="minorEastAsia"/>
          <w:b w:val="0"/>
          <w:bCs w:val="0"/>
          <w:color w:val="000000"/>
          <w:sz w:val="24"/>
          <w:szCs w:val="24"/>
          <w:lang w:val="en-US" w:eastAsia="zh-CN"/>
        </w:rPr>
        <w:t>1、基本情况</w:t>
      </w:r>
    </w:p>
    <w:tbl>
      <w:tblPr>
        <w:tblStyle w:val="2"/>
        <w:tblW w:w="8314" w:type="dxa"/>
        <w:jc w:val="center"/>
        <w:tblLayout w:type="autofit"/>
        <w:tblCellMar>
          <w:top w:w="0" w:type="dxa"/>
          <w:left w:w="108" w:type="dxa"/>
          <w:bottom w:w="0" w:type="dxa"/>
          <w:right w:w="108" w:type="dxa"/>
        </w:tblCellMar>
      </w:tblPr>
      <w:tblGrid>
        <w:gridCol w:w="1664"/>
        <w:gridCol w:w="1668"/>
        <w:gridCol w:w="960"/>
        <w:gridCol w:w="1380"/>
        <w:gridCol w:w="1560"/>
        <w:gridCol w:w="1082"/>
      </w:tblGrid>
      <w:tr>
        <w:tblPrEx>
          <w:tblCellMar>
            <w:top w:w="0" w:type="dxa"/>
            <w:left w:w="108" w:type="dxa"/>
            <w:bottom w:w="0" w:type="dxa"/>
            <w:right w:w="108" w:type="dxa"/>
          </w:tblCellMar>
        </w:tblPrEx>
        <w:trPr>
          <w:trHeight w:val="576" w:hRule="atLeast"/>
          <w:jc w:val="center"/>
        </w:trPr>
        <w:tc>
          <w:tcPr>
            <w:tcW w:w="1664"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color w:val="000000"/>
                <w:kern w:val="0"/>
                <w:szCs w:val="21"/>
              </w:rPr>
              <w:t>名称</w:t>
            </w:r>
          </w:p>
        </w:tc>
        <w:tc>
          <w:tcPr>
            <w:tcW w:w="166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color w:val="000000"/>
                <w:kern w:val="0"/>
                <w:szCs w:val="21"/>
              </w:rPr>
              <w:t>成立时间</w:t>
            </w:r>
          </w:p>
        </w:tc>
        <w:tc>
          <w:tcPr>
            <w:tcW w:w="960" w:type="dxa"/>
            <w:tcBorders>
              <w:top w:val="single" w:color="auto" w:sz="4" w:space="0"/>
              <w:left w:val="nil"/>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color w:val="000000"/>
                <w:kern w:val="0"/>
                <w:szCs w:val="21"/>
              </w:rPr>
              <w:t>法定代表人</w:t>
            </w:r>
          </w:p>
        </w:tc>
        <w:tc>
          <w:tcPr>
            <w:tcW w:w="1380" w:type="dxa"/>
            <w:tcBorders>
              <w:top w:val="single" w:color="auto" w:sz="4" w:space="0"/>
              <w:left w:val="nil"/>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color w:val="000000"/>
                <w:kern w:val="0"/>
                <w:szCs w:val="21"/>
              </w:rPr>
              <w:t>注册资本</w:t>
            </w:r>
          </w:p>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color w:val="000000"/>
                <w:kern w:val="0"/>
                <w:szCs w:val="21"/>
              </w:rPr>
              <w:t>（万元）</w:t>
            </w:r>
          </w:p>
        </w:tc>
        <w:tc>
          <w:tcPr>
            <w:tcW w:w="1560" w:type="dxa"/>
            <w:tcBorders>
              <w:top w:val="single" w:color="auto" w:sz="4" w:space="0"/>
              <w:left w:val="nil"/>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color w:val="000000"/>
                <w:kern w:val="0"/>
                <w:szCs w:val="21"/>
              </w:rPr>
              <w:t>主营业务</w:t>
            </w:r>
          </w:p>
        </w:tc>
        <w:tc>
          <w:tcPr>
            <w:tcW w:w="1082" w:type="dxa"/>
            <w:tcBorders>
              <w:top w:val="single" w:color="auto" w:sz="4" w:space="0"/>
              <w:left w:val="nil"/>
              <w:bottom w:val="single" w:color="auto" w:sz="4" w:space="0"/>
              <w:right w:val="single" w:color="auto" w:sz="4" w:space="0"/>
            </w:tcBorders>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color w:val="000000"/>
                <w:kern w:val="0"/>
                <w:szCs w:val="21"/>
              </w:rPr>
              <w:t>是否为本次交易专设</w:t>
            </w:r>
          </w:p>
        </w:tc>
      </w:tr>
      <w:tr>
        <w:tblPrEx>
          <w:tblCellMar>
            <w:top w:w="0" w:type="dxa"/>
            <w:left w:w="108" w:type="dxa"/>
            <w:bottom w:w="0" w:type="dxa"/>
            <w:right w:w="108" w:type="dxa"/>
          </w:tblCellMar>
        </w:tblPrEx>
        <w:trPr>
          <w:trHeight w:val="936" w:hRule="atLeast"/>
          <w:jc w:val="center"/>
        </w:trPr>
        <w:tc>
          <w:tcPr>
            <w:tcW w:w="1664"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eastAsia="zh-CN"/>
              </w:rPr>
            </w:pPr>
            <w:r>
              <w:rPr>
                <w:rFonts w:hint="default" w:ascii="Times New Roman" w:hAnsi="Times New Roman" w:cs="Times New Roman" w:eastAsiaTheme="minorEastAsia"/>
                <w:color w:val="000000"/>
                <w:kern w:val="0"/>
                <w:szCs w:val="21"/>
                <w:lang w:val="en-US" w:eastAsia="zh-CN"/>
              </w:rPr>
              <w:t>国融证券股份有限公司</w:t>
            </w:r>
          </w:p>
        </w:tc>
        <w:tc>
          <w:tcPr>
            <w:tcW w:w="166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2002年4月24日</w:t>
            </w:r>
          </w:p>
        </w:tc>
        <w:tc>
          <w:tcPr>
            <w:tcW w:w="960" w:type="dxa"/>
            <w:tcBorders>
              <w:top w:val="single" w:color="auto" w:sz="4" w:space="0"/>
              <w:left w:val="nil"/>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eastAsia="zh-CN"/>
              </w:rPr>
            </w:pPr>
            <w:r>
              <w:rPr>
                <w:rFonts w:hint="default" w:ascii="Times New Roman" w:hAnsi="Times New Roman" w:cs="Times New Roman" w:eastAsiaTheme="minorEastAsia"/>
                <w:color w:val="000000"/>
                <w:kern w:val="0"/>
                <w:szCs w:val="21"/>
                <w:lang w:val="en-US" w:eastAsia="zh-CN"/>
              </w:rPr>
              <w:t>张智河</w:t>
            </w:r>
          </w:p>
        </w:tc>
        <w:tc>
          <w:tcPr>
            <w:tcW w:w="1380" w:type="dxa"/>
            <w:tcBorders>
              <w:top w:val="single" w:color="auto" w:sz="4" w:space="0"/>
              <w:left w:val="nil"/>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178,251.1536</w:t>
            </w:r>
          </w:p>
        </w:tc>
        <w:tc>
          <w:tcPr>
            <w:tcW w:w="1560" w:type="dxa"/>
            <w:tcBorders>
              <w:top w:val="single" w:color="auto" w:sz="4" w:space="0"/>
              <w:left w:val="nil"/>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eastAsia="zh-CN"/>
              </w:rPr>
            </w:pPr>
            <w:r>
              <w:rPr>
                <w:rFonts w:hint="default" w:ascii="Times New Roman" w:hAnsi="Times New Roman" w:cs="Times New Roman" w:eastAsiaTheme="minorEastAsia"/>
                <w:color w:val="000000"/>
                <w:kern w:val="0"/>
                <w:szCs w:val="21"/>
                <w:lang w:eastAsia="zh-CN"/>
              </w:rPr>
              <w:t>金融服务业务</w:t>
            </w:r>
          </w:p>
        </w:tc>
        <w:tc>
          <w:tcPr>
            <w:tcW w:w="1082" w:type="dxa"/>
            <w:tcBorders>
              <w:top w:val="single" w:color="auto" w:sz="4" w:space="0"/>
              <w:left w:val="nil"/>
              <w:bottom w:val="single" w:color="auto" w:sz="4" w:space="0"/>
              <w:right w:val="single" w:color="auto" w:sz="4" w:space="0"/>
            </w:tcBorders>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否</w:t>
            </w:r>
          </w:p>
        </w:tc>
      </w:tr>
    </w:tbl>
    <w:p>
      <w:pPr>
        <w:keepNext w:val="0"/>
        <w:keepLines w:val="0"/>
        <w:widowControl/>
        <w:numPr>
          <w:ilvl w:val="0"/>
          <w:numId w:val="3"/>
        </w:numPr>
        <w:suppressLineNumbers w:val="0"/>
        <w:spacing w:line="360" w:lineRule="auto"/>
        <w:ind w:left="0" w:leftChars="0" w:firstLine="420" w:firstLineChars="175"/>
        <w:jc w:val="left"/>
        <w:rPr>
          <w:rFonts w:hint="default" w:ascii="Times New Roman" w:hAnsi="Times New Roman" w:cs="Times New Roman" w:eastAsiaTheme="minorEastAsia"/>
          <w:color w:val="000000"/>
          <w:sz w:val="24"/>
          <w:szCs w:val="24"/>
          <w:highlight w:val="none"/>
          <w:lang w:val="en-US" w:eastAsia="zh-CN"/>
        </w:rPr>
      </w:pPr>
      <w:r>
        <w:rPr>
          <w:rFonts w:hint="default" w:ascii="Times New Roman" w:hAnsi="Times New Roman" w:cs="Times New Roman" w:eastAsiaTheme="minorEastAsia"/>
          <w:color w:val="000000"/>
          <w:sz w:val="24"/>
          <w:szCs w:val="24"/>
          <w:highlight w:val="none"/>
          <w:lang w:val="en-US" w:eastAsia="zh-CN"/>
        </w:rPr>
        <w:t>主要股东持股情况</w:t>
      </w:r>
    </w:p>
    <w:tbl>
      <w:tblPr>
        <w:tblStyle w:val="2"/>
        <w:tblW w:w="8306" w:type="dxa"/>
        <w:jc w:val="center"/>
        <w:tblLayout w:type="autofit"/>
        <w:tblCellMar>
          <w:top w:w="0" w:type="dxa"/>
          <w:left w:w="108" w:type="dxa"/>
          <w:bottom w:w="0" w:type="dxa"/>
          <w:right w:w="108" w:type="dxa"/>
        </w:tblCellMar>
      </w:tblPr>
      <w:tblGrid>
        <w:gridCol w:w="863"/>
        <w:gridCol w:w="4650"/>
        <w:gridCol w:w="2793"/>
      </w:tblGrid>
      <w:tr>
        <w:trPr>
          <w:trHeight w:val="476" w:hRule="atLeast"/>
          <w:jc w:val="center"/>
        </w:trPr>
        <w:tc>
          <w:tcPr>
            <w:tcW w:w="86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eastAsia"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lang w:eastAsia="zh-CN"/>
              </w:rPr>
              <w:t>序号</w:t>
            </w:r>
          </w:p>
        </w:tc>
        <w:tc>
          <w:tcPr>
            <w:tcW w:w="465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eastAsia" w:asciiTheme="minorEastAsia" w:hAnsiTheme="minorEastAsia" w:eastAsiaTheme="minorEastAsia" w:cstheme="minorEastAsia"/>
                <w:b/>
                <w:color w:val="000000"/>
                <w:kern w:val="0"/>
                <w:szCs w:val="21"/>
                <w:lang w:eastAsia="zh-CN"/>
              </w:rPr>
            </w:pPr>
            <w:r>
              <w:rPr>
                <w:rFonts w:hint="eastAsia" w:asciiTheme="minorEastAsia" w:hAnsiTheme="minorEastAsia" w:eastAsiaTheme="minorEastAsia" w:cstheme="minorEastAsia"/>
                <w:b/>
                <w:color w:val="000000"/>
                <w:kern w:val="0"/>
                <w:szCs w:val="21"/>
                <w:lang w:eastAsia="zh-CN"/>
              </w:rPr>
              <w:t>股东</w:t>
            </w:r>
            <w:r>
              <w:rPr>
                <w:rFonts w:hint="eastAsia" w:asciiTheme="minorEastAsia" w:hAnsiTheme="minorEastAsia" w:eastAsiaTheme="minorEastAsia" w:cstheme="minorEastAsia"/>
                <w:b/>
                <w:color w:val="000000"/>
                <w:kern w:val="0"/>
                <w:szCs w:val="21"/>
              </w:rPr>
              <w:t>名称</w:t>
            </w:r>
          </w:p>
        </w:tc>
        <w:tc>
          <w:tcPr>
            <w:tcW w:w="279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eastAsia" w:asciiTheme="minorEastAsia" w:hAnsiTheme="minorEastAsia" w:eastAsiaTheme="minorEastAsia" w:cstheme="minorEastAsia"/>
                <w:b/>
                <w:color w:val="000000"/>
                <w:kern w:val="0"/>
                <w:szCs w:val="21"/>
                <w:lang w:eastAsia="zh-CN"/>
              </w:rPr>
            </w:pPr>
            <w:r>
              <w:rPr>
                <w:rFonts w:hint="eastAsia" w:asciiTheme="minorEastAsia" w:hAnsiTheme="minorEastAsia" w:eastAsiaTheme="minorEastAsia" w:cstheme="minorEastAsia"/>
                <w:b/>
                <w:color w:val="000000"/>
                <w:kern w:val="0"/>
                <w:szCs w:val="21"/>
                <w:lang w:eastAsia="zh-CN"/>
              </w:rPr>
              <w:t>持股比例</w:t>
            </w:r>
          </w:p>
        </w:tc>
      </w:tr>
      <w:tr>
        <w:tblPrEx>
          <w:tblCellMar>
            <w:top w:w="0" w:type="dxa"/>
            <w:left w:w="108" w:type="dxa"/>
            <w:bottom w:w="0" w:type="dxa"/>
            <w:right w:w="108" w:type="dxa"/>
          </w:tblCellMar>
        </w:tblPrEx>
        <w:trPr>
          <w:trHeight w:val="90" w:hRule="atLeast"/>
          <w:jc w:val="center"/>
        </w:trPr>
        <w:tc>
          <w:tcPr>
            <w:tcW w:w="86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1</w:t>
            </w:r>
          </w:p>
        </w:tc>
        <w:tc>
          <w:tcPr>
            <w:tcW w:w="465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eastAsia" w:asciiTheme="minorEastAsia" w:hAnsiTheme="minorEastAsia" w:eastAsiaTheme="minorEastAsia" w:cstheme="minorEastAsia"/>
                <w:color w:val="000000"/>
                <w:kern w:val="0"/>
                <w:szCs w:val="21"/>
                <w:lang w:eastAsia="zh-CN"/>
              </w:rPr>
            </w:pPr>
            <w:r>
              <w:rPr>
                <w:rFonts w:hint="eastAsia" w:asciiTheme="minorEastAsia" w:hAnsiTheme="minorEastAsia" w:eastAsiaTheme="minorEastAsia" w:cstheme="minorEastAsia"/>
                <w:color w:val="000000"/>
                <w:kern w:val="0"/>
                <w:szCs w:val="21"/>
                <w:lang w:val="en-US" w:eastAsia="zh-CN"/>
              </w:rPr>
              <w:t>北京长安投资集团有限公司</w:t>
            </w:r>
          </w:p>
        </w:tc>
        <w:tc>
          <w:tcPr>
            <w:tcW w:w="279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70.61%</w:t>
            </w:r>
          </w:p>
        </w:tc>
      </w:tr>
      <w:tr>
        <w:tblPrEx>
          <w:tblCellMar>
            <w:top w:w="0" w:type="dxa"/>
            <w:left w:w="108" w:type="dxa"/>
            <w:bottom w:w="0" w:type="dxa"/>
            <w:right w:w="108" w:type="dxa"/>
          </w:tblCellMar>
        </w:tblPrEx>
        <w:trPr>
          <w:trHeight w:val="309" w:hRule="atLeast"/>
          <w:jc w:val="center"/>
        </w:trPr>
        <w:tc>
          <w:tcPr>
            <w:tcW w:w="86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2</w:t>
            </w:r>
          </w:p>
        </w:tc>
        <w:tc>
          <w:tcPr>
            <w:tcW w:w="465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eastAsia" w:asciiTheme="minorEastAsia" w:hAnsiTheme="minorEastAsia" w:eastAsiaTheme="minorEastAsia" w:cstheme="minorEastAsia"/>
                <w:color w:val="000000"/>
                <w:kern w:val="0"/>
                <w:szCs w:val="21"/>
                <w:lang w:eastAsia="zh-CN"/>
              </w:rPr>
            </w:pPr>
            <w:r>
              <w:rPr>
                <w:rFonts w:hint="eastAsia" w:asciiTheme="minorEastAsia" w:hAnsiTheme="minorEastAsia" w:eastAsiaTheme="minorEastAsia" w:cstheme="minorEastAsia"/>
                <w:color w:val="000000"/>
                <w:kern w:val="0"/>
                <w:szCs w:val="21"/>
                <w:lang w:val="en-US" w:eastAsia="zh-CN"/>
              </w:rPr>
              <w:t>杭州普润星融股权投资合伙企业（有限合伙）</w:t>
            </w:r>
          </w:p>
        </w:tc>
        <w:tc>
          <w:tcPr>
            <w:tcW w:w="279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14.03%</w:t>
            </w:r>
          </w:p>
        </w:tc>
      </w:tr>
      <w:tr>
        <w:tblPrEx>
          <w:tblCellMar>
            <w:top w:w="0" w:type="dxa"/>
            <w:left w:w="108" w:type="dxa"/>
            <w:bottom w:w="0" w:type="dxa"/>
            <w:right w:w="108" w:type="dxa"/>
          </w:tblCellMar>
        </w:tblPrEx>
        <w:trPr>
          <w:trHeight w:val="90" w:hRule="atLeast"/>
          <w:jc w:val="center"/>
        </w:trPr>
        <w:tc>
          <w:tcPr>
            <w:tcW w:w="86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3</w:t>
            </w:r>
          </w:p>
        </w:tc>
        <w:tc>
          <w:tcPr>
            <w:tcW w:w="465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eastAsia" w:asciiTheme="minorEastAsia" w:hAnsiTheme="minorEastAsia" w:eastAsiaTheme="minorEastAsia" w:cstheme="minorEastAsia"/>
                <w:color w:val="000000"/>
                <w:kern w:val="0"/>
                <w:szCs w:val="21"/>
                <w:lang w:eastAsia="zh-CN"/>
              </w:rPr>
            </w:pPr>
            <w:r>
              <w:rPr>
                <w:rFonts w:hint="eastAsia" w:asciiTheme="minorEastAsia" w:hAnsiTheme="minorEastAsia" w:eastAsiaTheme="minorEastAsia" w:cstheme="minorEastAsia"/>
                <w:color w:val="000000"/>
                <w:kern w:val="0"/>
                <w:szCs w:val="21"/>
                <w:lang w:val="en-US" w:eastAsia="zh-CN"/>
              </w:rPr>
              <w:t>内蒙古日信担保投资（集团）有限责任公司</w:t>
            </w:r>
          </w:p>
        </w:tc>
        <w:tc>
          <w:tcPr>
            <w:tcW w:w="279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4.13%</w:t>
            </w:r>
          </w:p>
        </w:tc>
      </w:tr>
    </w:tbl>
    <w:p>
      <w:pPr>
        <w:keepNext w:val="0"/>
        <w:keepLines w:val="0"/>
        <w:widowControl/>
        <w:numPr>
          <w:ilvl w:val="0"/>
          <w:numId w:val="2"/>
        </w:numPr>
        <w:suppressLineNumbers w:val="0"/>
        <w:spacing w:line="360" w:lineRule="auto"/>
        <w:ind w:leftChars="175"/>
        <w:jc w:val="left"/>
        <w:rPr>
          <w:rFonts w:hint="default" w:ascii="Times New Roman" w:hAnsi="Times New Roman" w:cs="Times New Roman" w:eastAsiaTheme="minorEastAsia"/>
          <w:b w:val="0"/>
          <w:bCs w:val="0"/>
          <w:color w:val="000000"/>
          <w:sz w:val="24"/>
          <w:szCs w:val="24"/>
          <w:lang w:val="en-US" w:eastAsia="zh-CN"/>
        </w:rPr>
      </w:pPr>
      <w:r>
        <w:rPr>
          <w:rFonts w:hint="default" w:ascii="Times New Roman" w:hAnsi="Times New Roman" w:cs="Times New Roman" w:eastAsiaTheme="minorEastAsia"/>
          <w:b w:val="0"/>
          <w:bCs w:val="0"/>
          <w:color w:val="000000"/>
          <w:sz w:val="24"/>
          <w:szCs w:val="24"/>
          <w:lang w:val="en-US" w:eastAsia="zh-CN"/>
        </w:rPr>
        <w:t>主要财务指标</w:t>
      </w:r>
    </w:p>
    <w:p>
      <w:pPr>
        <w:keepNext w:val="0"/>
        <w:keepLines w:val="0"/>
        <w:widowControl/>
        <w:numPr>
          <w:ilvl w:val="0"/>
          <w:numId w:val="0"/>
        </w:numPr>
        <w:suppressLineNumbers w:val="0"/>
        <w:spacing w:line="360" w:lineRule="auto"/>
        <w:jc w:val="right"/>
        <w:rPr>
          <w:rFonts w:hint="default" w:ascii="Times New Roman" w:hAnsi="Times New Roman" w:cs="Times New Roman" w:eastAsiaTheme="minorEastAsia"/>
          <w:b w:val="0"/>
          <w:bCs w:val="0"/>
          <w:color w:val="000000"/>
          <w:sz w:val="21"/>
          <w:szCs w:val="21"/>
          <w:lang w:val="en-US" w:eastAsia="zh-CN"/>
        </w:rPr>
      </w:pPr>
      <w:r>
        <w:rPr>
          <w:rFonts w:hint="default" w:ascii="Times New Roman" w:hAnsi="Times New Roman" w:cs="Times New Roman" w:eastAsiaTheme="minorEastAsia"/>
          <w:b w:val="0"/>
          <w:bCs w:val="0"/>
          <w:color w:val="000000"/>
          <w:sz w:val="21"/>
          <w:szCs w:val="21"/>
          <w:lang w:val="en-US" w:eastAsia="zh-CN"/>
        </w:rPr>
        <w:t>单位：元</w:t>
      </w:r>
    </w:p>
    <w:tbl>
      <w:tblPr>
        <w:tblStyle w:val="2"/>
        <w:tblW w:w="8281" w:type="dxa"/>
        <w:jc w:val="center"/>
        <w:tblLayout w:type="autofit"/>
        <w:tblCellMar>
          <w:top w:w="0" w:type="dxa"/>
          <w:left w:w="108" w:type="dxa"/>
          <w:bottom w:w="0" w:type="dxa"/>
          <w:right w:w="108" w:type="dxa"/>
        </w:tblCellMar>
      </w:tblPr>
      <w:tblGrid>
        <w:gridCol w:w="4003"/>
        <w:gridCol w:w="4278"/>
      </w:tblGrid>
      <w:tr>
        <w:tblPrEx>
          <w:tblCellMar>
            <w:top w:w="0" w:type="dxa"/>
            <w:left w:w="108" w:type="dxa"/>
            <w:bottom w:w="0" w:type="dxa"/>
            <w:right w:w="108" w:type="dxa"/>
          </w:tblCellMar>
        </w:tblPrEx>
        <w:trPr>
          <w:trHeight w:val="308" w:hRule="atLeast"/>
          <w:jc w:val="center"/>
        </w:trPr>
        <w:tc>
          <w:tcPr>
            <w:tcW w:w="400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bCs w:val="0"/>
                <w:color w:val="000000"/>
                <w:kern w:val="0"/>
                <w:szCs w:val="21"/>
                <w:lang w:eastAsia="zh-CN"/>
              </w:rPr>
            </w:pPr>
            <w:r>
              <w:rPr>
                <w:rFonts w:hint="default" w:ascii="Times New Roman" w:hAnsi="Times New Roman" w:cs="Times New Roman" w:eastAsiaTheme="minorEastAsia"/>
                <w:b/>
                <w:bCs w:val="0"/>
                <w:color w:val="000000"/>
                <w:kern w:val="0"/>
                <w:szCs w:val="21"/>
                <w:lang w:eastAsia="zh-CN"/>
              </w:rPr>
              <w:t>项目</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bCs w:val="0"/>
                <w:color w:val="000000"/>
                <w:kern w:val="0"/>
                <w:szCs w:val="21"/>
                <w:lang w:val="en-US" w:eastAsia="zh-CN"/>
              </w:rPr>
            </w:pPr>
            <w:r>
              <w:rPr>
                <w:rFonts w:hint="eastAsia" w:cs="Times New Roman" w:eastAsiaTheme="minorEastAsia"/>
                <w:b/>
                <w:bCs w:val="0"/>
                <w:color w:val="000000"/>
                <w:kern w:val="0"/>
                <w:szCs w:val="21"/>
                <w:lang w:val="en-US" w:eastAsia="zh-CN"/>
              </w:rPr>
              <w:t>2020</w:t>
            </w:r>
            <w:r>
              <w:rPr>
                <w:rFonts w:hint="default" w:ascii="Times New Roman" w:hAnsi="Times New Roman" w:cs="Times New Roman" w:eastAsiaTheme="minorEastAsia"/>
                <w:b/>
                <w:bCs w:val="0"/>
                <w:color w:val="000000"/>
                <w:kern w:val="0"/>
                <w:szCs w:val="21"/>
                <w:lang w:val="en-US" w:eastAsia="zh-CN"/>
              </w:rPr>
              <w:t>年度</w:t>
            </w:r>
          </w:p>
        </w:tc>
      </w:tr>
      <w:tr>
        <w:tblPrEx>
          <w:tblCellMar>
            <w:top w:w="0" w:type="dxa"/>
            <w:left w:w="108" w:type="dxa"/>
            <w:bottom w:w="0" w:type="dxa"/>
            <w:right w:w="108" w:type="dxa"/>
          </w:tblCellMar>
        </w:tblPrEx>
        <w:trPr>
          <w:trHeight w:val="90" w:hRule="atLeast"/>
          <w:jc w:val="center"/>
        </w:trPr>
        <w:tc>
          <w:tcPr>
            <w:tcW w:w="400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val="0"/>
                <w:bCs/>
                <w:color w:val="000000"/>
                <w:kern w:val="0"/>
                <w:szCs w:val="21"/>
                <w:lang w:eastAsia="zh-CN"/>
              </w:rPr>
            </w:pPr>
            <w:r>
              <w:rPr>
                <w:rFonts w:hint="default" w:ascii="Times New Roman" w:hAnsi="Times New Roman" w:cs="Times New Roman" w:eastAsiaTheme="minorEastAsia"/>
                <w:b w:val="0"/>
                <w:bCs/>
                <w:color w:val="000000"/>
                <w:kern w:val="0"/>
                <w:szCs w:val="21"/>
                <w:lang w:eastAsia="zh-CN"/>
              </w:rPr>
              <w:t>资产总额</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val="0"/>
                <w:bCs/>
                <w:color w:val="000000"/>
                <w:kern w:val="0"/>
                <w:sz w:val="21"/>
                <w:szCs w:val="21"/>
                <w:lang w:val="en-US" w:eastAsia="zh-CN" w:bidi="ar-SA"/>
              </w:rPr>
            </w:pPr>
            <w:r>
              <w:rPr>
                <w:rFonts w:hint="eastAsia" w:cs="Times New Roman" w:eastAsiaTheme="minorEastAsia"/>
                <w:b w:val="0"/>
                <w:bCs/>
                <w:color w:val="000000"/>
                <w:kern w:val="0"/>
                <w:szCs w:val="21"/>
                <w:lang w:val="en-US" w:eastAsia="zh-CN"/>
              </w:rPr>
              <w:t>15,078,934,087.90</w:t>
            </w:r>
          </w:p>
        </w:tc>
      </w:tr>
      <w:tr>
        <w:tblPrEx>
          <w:tblCellMar>
            <w:top w:w="0" w:type="dxa"/>
            <w:left w:w="108" w:type="dxa"/>
            <w:bottom w:w="0" w:type="dxa"/>
            <w:right w:w="108" w:type="dxa"/>
          </w:tblCellMar>
        </w:tblPrEx>
        <w:trPr>
          <w:trHeight w:val="90" w:hRule="atLeast"/>
          <w:jc w:val="center"/>
        </w:trPr>
        <w:tc>
          <w:tcPr>
            <w:tcW w:w="400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val="0"/>
                <w:bCs/>
                <w:color w:val="000000"/>
                <w:kern w:val="0"/>
                <w:szCs w:val="21"/>
                <w:lang w:eastAsia="zh-CN"/>
              </w:rPr>
            </w:pPr>
            <w:r>
              <w:rPr>
                <w:rFonts w:hint="default" w:ascii="Times New Roman" w:hAnsi="Times New Roman" w:cs="Times New Roman" w:eastAsiaTheme="minorEastAsia"/>
                <w:b w:val="0"/>
                <w:bCs/>
                <w:color w:val="000000"/>
                <w:kern w:val="0"/>
                <w:szCs w:val="21"/>
                <w:lang w:eastAsia="zh-CN"/>
              </w:rPr>
              <w:t>资产净额</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val="0"/>
                <w:bCs/>
                <w:color w:val="000000"/>
                <w:kern w:val="0"/>
                <w:sz w:val="21"/>
                <w:szCs w:val="21"/>
                <w:lang w:val="en-US" w:eastAsia="zh-CN" w:bidi="ar-SA"/>
              </w:rPr>
            </w:pPr>
            <w:r>
              <w:rPr>
                <w:rFonts w:hint="eastAsia" w:cs="Times New Roman" w:eastAsiaTheme="minorEastAsia"/>
                <w:b w:val="0"/>
                <w:bCs/>
                <w:color w:val="000000"/>
                <w:kern w:val="0"/>
                <w:szCs w:val="21"/>
                <w:lang w:val="en-US" w:eastAsia="zh-CN"/>
              </w:rPr>
              <w:t>4,080,854,233.27</w:t>
            </w:r>
          </w:p>
        </w:tc>
      </w:tr>
      <w:tr>
        <w:tblPrEx>
          <w:tblCellMar>
            <w:top w:w="0" w:type="dxa"/>
            <w:left w:w="108" w:type="dxa"/>
            <w:bottom w:w="0" w:type="dxa"/>
            <w:right w:w="108" w:type="dxa"/>
          </w:tblCellMar>
        </w:tblPrEx>
        <w:trPr>
          <w:trHeight w:val="90" w:hRule="atLeast"/>
          <w:jc w:val="center"/>
        </w:trPr>
        <w:tc>
          <w:tcPr>
            <w:tcW w:w="400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val="0"/>
                <w:bCs/>
                <w:color w:val="000000"/>
                <w:kern w:val="0"/>
                <w:szCs w:val="21"/>
                <w:lang w:eastAsia="zh-CN"/>
              </w:rPr>
            </w:pPr>
            <w:r>
              <w:rPr>
                <w:rFonts w:hint="default" w:ascii="Times New Roman" w:hAnsi="Times New Roman" w:cs="Times New Roman" w:eastAsiaTheme="minorEastAsia"/>
                <w:b w:val="0"/>
                <w:bCs/>
                <w:color w:val="000000"/>
                <w:kern w:val="0"/>
                <w:szCs w:val="21"/>
                <w:lang w:eastAsia="zh-CN"/>
              </w:rPr>
              <w:t>营业收入</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val="0"/>
                <w:bCs/>
                <w:color w:val="000000"/>
                <w:kern w:val="0"/>
                <w:sz w:val="21"/>
                <w:szCs w:val="21"/>
                <w:lang w:val="en-US" w:eastAsia="zh-CN" w:bidi="ar-SA"/>
              </w:rPr>
            </w:pPr>
            <w:r>
              <w:rPr>
                <w:rFonts w:hint="eastAsia" w:cs="Times New Roman" w:eastAsiaTheme="minorEastAsia"/>
                <w:b w:val="0"/>
                <w:bCs/>
                <w:color w:val="000000"/>
                <w:kern w:val="0"/>
                <w:szCs w:val="21"/>
                <w:lang w:val="en-US" w:eastAsia="zh-CN"/>
              </w:rPr>
              <w:t>1,045,895,451.01</w:t>
            </w:r>
          </w:p>
        </w:tc>
      </w:tr>
      <w:tr>
        <w:tblPrEx>
          <w:tblCellMar>
            <w:top w:w="0" w:type="dxa"/>
            <w:left w:w="108" w:type="dxa"/>
            <w:bottom w:w="0" w:type="dxa"/>
            <w:right w:w="108" w:type="dxa"/>
          </w:tblCellMar>
        </w:tblPrEx>
        <w:trPr>
          <w:trHeight w:val="90" w:hRule="atLeast"/>
          <w:jc w:val="center"/>
        </w:trPr>
        <w:tc>
          <w:tcPr>
            <w:tcW w:w="400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lang w:eastAsia="zh-CN"/>
              </w:rPr>
            </w:pPr>
            <w:r>
              <w:rPr>
                <w:rFonts w:hint="default" w:ascii="Times New Roman" w:hAnsi="Times New Roman" w:cs="Times New Roman" w:eastAsiaTheme="minorEastAsia"/>
                <w:b w:val="0"/>
                <w:bCs/>
                <w:color w:val="000000"/>
                <w:kern w:val="0"/>
                <w:szCs w:val="21"/>
                <w:lang w:eastAsia="zh-CN"/>
              </w:rPr>
              <w:t>净利润</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 w:val="21"/>
                <w:szCs w:val="21"/>
                <w:lang w:val="en-US" w:eastAsia="zh-CN" w:bidi="ar-SA"/>
              </w:rPr>
            </w:pPr>
            <w:r>
              <w:rPr>
                <w:rFonts w:hint="eastAsia" w:cs="Times New Roman" w:eastAsiaTheme="minorEastAsia"/>
                <w:b w:val="0"/>
                <w:bCs/>
                <w:color w:val="000000"/>
                <w:kern w:val="0"/>
                <w:szCs w:val="21"/>
                <w:lang w:val="en-US" w:eastAsia="zh-CN"/>
              </w:rPr>
              <w:t>100,427,140.73</w:t>
            </w:r>
          </w:p>
        </w:tc>
      </w:tr>
    </w:tbl>
    <w:p>
      <w:pPr>
        <w:keepNext w:val="0"/>
        <w:keepLines w:val="0"/>
        <w:widowControl/>
        <w:numPr>
          <w:ilvl w:val="0"/>
          <w:numId w:val="0"/>
        </w:numPr>
        <w:suppressLineNumbers w:val="0"/>
        <w:spacing w:line="360" w:lineRule="auto"/>
        <w:jc w:val="left"/>
        <w:rPr>
          <w:rFonts w:hint="default" w:ascii="Times New Roman" w:hAnsi="Times New Roman" w:cs="Times New Roman" w:eastAsiaTheme="minorEastAsia"/>
          <w:b w:val="0"/>
          <w:bCs w:val="0"/>
          <w:color w:val="000000"/>
          <w:sz w:val="24"/>
          <w:szCs w:val="24"/>
          <w:lang w:val="en-US" w:eastAsia="zh-CN"/>
        </w:rPr>
      </w:pPr>
      <w:r>
        <w:rPr>
          <w:rFonts w:hint="default" w:ascii="Times New Roman" w:hAnsi="Times New Roman" w:cs="Times New Roman" w:eastAsiaTheme="minorEastAsia"/>
          <w:b w:val="0"/>
          <w:bCs w:val="0"/>
          <w:color w:val="000000"/>
          <w:sz w:val="24"/>
          <w:szCs w:val="24"/>
          <w:lang w:val="en-US" w:eastAsia="zh-CN"/>
        </w:rPr>
        <w:t>（注：国融证券基本情况、主要股东持股情况及主要财务指标相关数据摘自《国融证券20</w:t>
      </w:r>
      <w:r>
        <w:rPr>
          <w:rFonts w:hint="eastAsia" w:cs="Times New Roman" w:eastAsiaTheme="minorEastAsia"/>
          <w:b w:val="0"/>
          <w:bCs w:val="0"/>
          <w:color w:val="000000"/>
          <w:sz w:val="24"/>
          <w:szCs w:val="24"/>
          <w:lang w:val="en-US" w:eastAsia="zh-CN"/>
        </w:rPr>
        <w:t>20</w:t>
      </w:r>
      <w:r>
        <w:rPr>
          <w:rFonts w:hint="default" w:ascii="Times New Roman" w:hAnsi="Times New Roman" w:cs="Times New Roman" w:eastAsiaTheme="minorEastAsia"/>
          <w:b w:val="0"/>
          <w:bCs w:val="0"/>
          <w:color w:val="000000"/>
          <w:sz w:val="24"/>
          <w:szCs w:val="24"/>
          <w:lang w:val="en-US" w:eastAsia="zh-CN"/>
        </w:rPr>
        <w:t>年度财务报告披露》）</w:t>
      </w:r>
    </w:p>
    <w:p>
      <w:pPr>
        <w:keepNext w:val="0"/>
        <w:keepLines w:val="0"/>
        <w:widowControl/>
        <w:numPr>
          <w:ilvl w:val="0"/>
          <w:numId w:val="2"/>
        </w:numPr>
        <w:suppressLineNumbers w:val="0"/>
        <w:spacing w:line="360" w:lineRule="auto"/>
        <w:ind w:leftChars="175"/>
        <w:jc w:val="left"/>
        <w:rPr>
          <w:rFonts w:hint="eastAsia" w:asciiTheme="minorEastAsia" w:hAnsiTheme="minorEastAsia" w:eastAsiaTheme="minorEastAsia" w:cstheme="minorEastAsia"/>
          <w:b w:val="0"/>
          <w:bCs w:val="0"/>
          <w:color w:val="000000"/>
          <w:sz w:val="24"/>
          <w:szCs w:val="24"/>
          <w:lang w:val="en-US" w:eastAsia="zh-CN"/>
        </w:rPr>
      </w:pPr>
      <w:r>
        <w:rPr>
          <w:rFonts w:hint="eastAsia" w:asciiTheme="minorEastAsia" w:hAnsiTheme="minorEastAsia" w:eastAsiaTheme="minorEastAsia" w:cstheme="minorEastAsia"/>
          <w:b w:val="0"/>
          <w:bCs w:val="0"/>
          <w:color w:val="000000"/>
          <w:sz w:val="24"/>
          <w:szCs w:val="24"/>
          <w:lang w:val="en-US" w:eastAsia="zh-CN"/>
        </w:rPr>
        <w:t>与公司的关系</w:t>
      </w:r>
    </w:p>
    <w:p>
      <w:pPr>
        <w:keepNext w:val="0"/>
        <w:keepLines w:val="0"/>
        <w:widowControl/>
        <w:numPr>
          <w:ilvl w:val="0"/>
          <w:numId w:val="0"/>
        </w:numPr>
        <w:suppressLineNumbers w:val="0"/>
        <w:spacing w:line="360" w:lineRule="auto"/>
        <w:ind w:firstLine="420" w:firstLineChar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受托方</w:t>
      </w:r>
      <w:r>
        <w:rPr>
          <w:rFonts w:hint="default" w:asciiTheme="minorEastAsia" w:hAnsiTheme="minorEastAsia" w:eastAsiaTheme="minorEastAsia" w:cstheme="minorEastAsia"/>
          <w:color w:val="000000"/>
          <w:sz w:val="24"/>
          <w:szCs w:val="24"/>
          <w:lang w:val="en-US" w:eastAsia="zh-CN"/>
        </w:rPr>
        <w:t>与公司、公司控股股东及其一致行动人、实际控制人之间不存在产权、业务、资产、债权债务、人员等关联关系。</w:t>
      </w:r>
    </w:p>
    <w:p>
      <w:pPr>
        <w:keepNext w:val="0"/>
        <w:keepLines w:val="0"/>
        <w:widowControl/>
        <w:numPr>
          <w:ilvl w:val="0"/>
          <w:numId w:val="2"/>
        </w:numPr>
        <w:suppressLineNumbers w:val="0"/>
        <w:spacing w:line="360" w:lineRule="auto"/>
        <w:ind w:left="368" w:leftChars="175" w:firstLine="0" w:firstLineChars="0"/>
        <w:jc w:val="left"/>
        <w:rPr>
          <w:rFonts w:hint="default" w:asciiTheme="minorEastAsia" w:hAnsiTheme="minorEastAsia" w:eastAsiaTheme="minorEastAsia" w:cstheme="minorEastAsia"/>
          <w:color w:val="000000"/>
          <w:sz w:val="24"/>
          <w:szCs w:val="24"/>
          <w:lang w:val="en-US" w:eastAsia="zh-CN"/>
        </w:rPr>
      </w:pPr>
      <w:r>
        <w:rPr>
          <w:rFonts w:hint="default" w:asciiTheme="minorEastAsia" w:hAnsiTheme="minorEastAsia" w:eastAsiaTheme="minorEastAsia" w:cstheme="minorEastAsia"/>
          <w:color w:val="000000"/>
          <w:sz w:val="24"/>
          <w:szCs w:val="24"/>
          <w:lang w:val="en-US" w:eastAsia="zh-CN"/>
        </w:rPr>
        <w:t>公司董事会尽职调查情况</w:t>
      </w:r>
    </w:p>
    <w:p>
      <w:pPr>
        <w:keepNext w:val="0"/>
        <w:keepLines w:val="0"/>
        <w:widowControl/>
        <w:numPr>
          <w:ilvl w:val="0"/>
          <w:numId w:val="0"/>
        </w:numPr>
        <w:suppressLineNumbers w:val="0"/>
        <w:spacing w:line="360" w:lineRule="auto"/>
        <w:ind w:left="0" w:leftChars="0" w:firstLine="420" w:firstLineChars="175"/>
        <w:jc w:val="left"/>
        <w:rPr>
          <w:rFonts w:hint="default" w:asciiTheme="minorEastAsia" w:hAnsiTheme="minorEastAsia" w:eastAsiaTheme="minorEastAsia" w:cstheme="minorEastAsia"/>
          <w:b w:val="0"/>
          <w:bCs w:val="0"/>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公司股东大会授权公司董事长在额度范围和时效内行使该项投资决策权并签署相关合同文件，并由公司管理层组织相关部门实施。公司</w:t>
      </w:r>
      <w:r>
        <w:rPr>
          <w:rFonts w:hint="default" w:asciiTheme="minorEastAsia" w:hAnsiTheme="minorEastAsia" w:eastAsiaTheme="minorEastAsia" w:cstheme="minorEastAsia"/>
          <w:color w:val="000000"/>
          <w:sz w:val="24"/>
          <w:szCs w:val="24"/>
          <w:lang w:val="en-US" w:eastAsia="zh-CN"/>
        </w:rPr>
        <w:t>管理层对受托方、资金使用方等交易各方当事人的基本情况、信用情况及其交易履约能力等进行了必要的尽职调查，未发现存在损害公司理财业务开展的具体情况。</w:t>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left"/>
        <w:textAlignment w:val="auto"/>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color w:val="000000"/>
          <w:sz w:val="24"/>
          <w:szCs w:val="24"/>
          <w:lang w:val="en-US" w:eastAsia="zh-CN"/>
        </w:rPr>
        <w:t>五</w:t>
      </w:r>
      <w:r>
        <w:rPr>
          <w:rFonts w:hint="eastAsia" w:asciiTheme="minorEastAsia" w:hAnsiTheme="minorEastAsia" w:eastAsiaTheme="minorEastAsia" w:cstheme="minorEastAsia"/>
          <w:b/>
          <w:color w:val="000000"/>
          <w:sz w:val="24"/>
          <w:szCs w:val="24"/>
        </w:rPr>
        <w:t>、</w:t>
      </w:r>
      <w:r>
        <w:rPr>
          <w:rFonts w:hint="eastAsia" w:asciiTheme="minorEastAsia" w:hAnsiTheme="minorEastAsia" w:eastAsiaTheme="minorEastAsia" w:cstheme="minorEastAsia"/>
          <w:b/>
          <w:bCs/>
          <w:color w:val="000000"/>
          <w:sz w:val="24"/>
          <w:szCs w:val="24"/>
        </w:rPr>
        <w:t>对公司的影响</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hint="eastAsia" w:eastAsiaTheme="minorEastAsia"/>
          <w:color w:val="000000"/>
          <w:sz w:val="24"/>
          <w:szCs w:val="24"/>
        </w:rPr>
        <w:t>公司最近一年一期的主要财务指标如下：</w:t>
      </w:r>
    </w:p>
    <w:p>
      <w:pPr>
        <w:widowControl/>
        <w:ind w:left="368" w:leftChars="175"/>
        <w:jc w:val="right"/>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单位：元</w:t>
      </w:r>
    </w:p>
    <w:tbl>
      <w:tblPr>
        <w:tblStyle w:val="2"/>
        <w:tblW w:w="8281" w:type="dxa"/>
        <w:jc w:val="center"/>
        <w:tblLayout w:type="autofit"/>
        <w:tblCellMar>
          <w:top w:w="0" w:type="dxa"/>
          <w:left w:w="108" w:type="dxa"/>
          <w:bottom w:w="0" w:type="dxa"/>
          <w:right w:w="108" w:type="dxa"/>
        </w:tblCellMar>
      </w:tblPr>
      <w:tblGrid>
        <w:gridCol w:w="2990"/>
        <w:gridCol w:w="2716"/>
        <w:gridCol w:w="2575"/>
      </w:tblGrid>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ascii="仿宋_GB2312" w:hAnsi="宋体" w:eastAsia="仿宋_GB2312" w:cs="宋体"/>
                <w:b/>
                <w:color w:val="000000"/>
                <w:kern w:val="0"/>
                <w:szCs w:val="21"/>
              </w:rPr>
            </w:pPr>
            <w:r>
              <w:rPr>
                <w:rFonts w:eastAsiaTheme="minorEastAsia"/>
                <w:b/>
                <w:color w:val="000000"/>
                <w:kern w:val="0"/>
                <w:szCs w:val="21"/>
              </w:rPr>
              <w:t>项</w:t>
            </w:r>
            <w:r>
              <w:rPr>
                <w:rFonts w:hint="eastAsia" w:eastAsiaTheme="minorEastAsia"/>
                <w:b/>
                <w:color w:val="000000"/>
                <w:kern w:val="0"/>
                <w:szCs w:val="21"/>
              </w:rPr>
              <w:t xml:space="preserve"> </w:t>
            </w:r>
            <w:r>
              <w:rPr>
                <w:rFonts w:eastAsiaTheme="minorEastAsia"/>
                <w:b/>
                <w:color w:val="000000"/>
                <w:kern w:val="0"/>
                <w:szCs w:val="21"/>
              </w:rPr>
              <w:t xml:space="preserve"> 目</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ascii="仿宋_GB2312" w:hAnsi="宋体" w:eastAsia="仿宋_GB2312" w:cs="宋体"/>
                <w:b/>
                <w:color w:val="000000"/>
                <w:kern w:val="0"/>
                <w:szCs w:val="21"/>
              </w:rPr>
            </w:pPr>
            <w:r>
              <w:rPr>
                <w:rFonts w:eastAsiaTheme="minorEastAsia"/>
                <w:b/>
                <w:color w:val="000000"/>
                <w:kern w:val="0"/>
                <w:szCs w:val="21"/>
              </w:rPr>
              <w:t>20</w:t>
            </w:r>
            <w:r>
              <w:rPr>
                <w:rFonts w:hint="eastAsia" w:eastAsiaTheme="minorEastAsia"/>
                <w:b/>
                <w:color w:val="000000"/>
                <w:kern w:val="0"/>
                <w:szCs w:val="21"/>
                <w:lang w:val="en-US" w:eastAsia="zh-CN"/>
              </w:rPr>
              <w:t>20</w:t>
            </w:r>
            <w:r>
              <w:rPr>
                <w:rFonts w:eastAsiaTheme="minorEastAsia"/>
                <w:b/>
                <w:color w:val="000000"/>
                <w:kern w:val="0"/>
                <w:szCs w:val="21"/>
              </w:rPr>
              <w:t>年12月31日</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center"/>
              <w:rPr>
                <w:rFonts w:ascii="仿宋_GB2312" w:hAnsi="宋体" w:eastAsia="仿宋_GB2312" w:cs="宋体"/>
                <w:b/>
                <w:color w:val="000000"/>
                <w:kern w:val="0"/>
                <w:szCs w:val="21"/>
              </w:rPr>
            </w:pPr>
            <w:r>
              <w:rPr>
                <w:rFonts w:eastAsiaTheme="minorEastAsia"/>
                <w:b/>
                <w:color w:val="000000"/>
                <w:kern w:val="0"/>
                <w:szCs w:val="21"/>
              </w:rPr>
              <w:t>202</w:t>
            </w:r>
            <w:r>
              <w:rPr>
                <w:rFonts w:hint="eastAsia" w:eastAsiaTheme="minorEastAsia"/>
                <w:b/>
                <w:color w:val="000000"/>
                <w:kern w:val="0"/>
                <w:szCs w:val="21"/>
                <w:lang w:val="en-US" w:eastAsia="zh-CN"/>
              </w:rPr>
              <w:t>1</w:t>
            </w:r>
            <w:r>
              <w:rPr>
                <w:rFonts w:eastAsiaTheme="minorEastAsia"/>
                <w:b/>
                <w:color w:val="000000"/>
                <w:kern w:val="0"/>
                <w:szCs w:val="21"/>
              </w:rPr>
              <w:t>年</w:t>
            </w:r>
            <w:r>
              <w:rPr>
                <w:rFonts w:hint="eastAsia" w:eastAsiaTheme="minorEastAsia"/>
                <w:b/>
                <w:color w:val="000000"/>
                <w:kern w:val="0"/>
                <w:szCs w:val="21"/>
                <w:lang w:val="en-US" w:eastAsia="zh-CN"/>
              </w:rPr>
              <w:t>6</w:t>
            </w:r>
            <w:r>
              <w:rPr>
                <w:rFonts w:eastAsiaTheme="minorEastAsia"/>
                <w:b/>
                <w:color w:val="000000"/>
                <w:kern w:val="0"/>
                <w:szCs w:val="21"/>
              </w:rPr>
              <w:t>月3</w:t>
            </w:r>
            <w:r>
              <w:rPr>
                <w:rFonts w:hint="eastAsia" w:eastAsiaTheme="minorEastAsia"/>
                <w:b/>
                <w:color w:val="000000"/>
                <w:kern w:val="0"/>
                <w:szCs w:val="21"/>
                <w:lang w:val="en-US" w:eastAsia="zh-CN"/>
              </w:rPr>
              <w:t>0</w:t>
            </w:r>
            <w:r>
              <w:rPr>
                <w:rFonts w:eastAsiaTheme="minorEastAsia"/>
                <w:b/>
                <w:color w:val="000000"/>
                <w:kern w:val="0"/>
                <w:szCs w:val="21"/>
              </w:rPr>
              <w:t>日</w:t>
            </w:r>
          </w:p>
        </w:tc>
      </w:tr>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bCs/>
                <w:color w:val="000000"/>
                <w:kern w:val="0"/>
                <w:szCs w:val="21"/>
              </w:rPr>
            </w:pPr>
            <w:r>
              <w:rPr>
                <w:rFonts w:eastAsiaTheme="minorEastAsia"/>
                <w:bCs/>
                <w:color w:val="000000"/>
                <w:kern w:val="0"/>
                <w:szCs w:val="21"/>
              </w:rPr>
              <w:t>资产总额</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right"/>
              <w:rPr>
                <w:rFonts w:eastAsiaTheme="minorEastAsia"/>
                <w:bCs/>
                <w:color w:val="000000"/>
                <w:kern w:val="0"/>
                <w:szCs w:val="21"/>
              </w:rPr>
            </w:pPr>
            <w:r>
              <w:rPr>
                <w:rFonts w:eastAsiaTheme="minorEastAsia"/>
                <w:bCs/>
                <w:color w:val="000000"/>
                <w:kern w:val="0"/>
                <w:szCs w:val="21"/>
              </w:rPr>
              <w:t>1,624,238,738.80</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right"/>
              <w:rPr>
                <w:rFonts w:eastAsiaTheme="minorEastAsia"/>
                <w:bCs/>
                <w:color w:val="000000"/>
                <w:kern w:val="0"/>
                <w:szCs w:val="21"/>
              </w:rPr>
            </w:pPr>
            <w:r>
              <w:rPr>
                <w:rFonts w:hint="eastAsia" w:eastAsiaTheme="minorEastAsia"/>
                <w:bCs/>
                <w:color w:val="000000"/>
                <w:kern w:val="0"/>
                <w:szCs w:val="21"/>
              </w:rPr>
              <w:t>1,648,319,818.93</w:t>
            </w:r>
          </w:p>
        </w:tc>
      </w:tr>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bCs/>
                <w:color w:val="000000"/>
                <w:kern w:val="0"/>
                <w:szCs w:val="21"/>
              </w:rPr>
            </w:pPr>
            <w:r>
              <w:rPr>
                <w:rFonts w:eastAsiaTheme="minorEastAsia"/>
                <w:bCs/>
                <w:color w:val="000000"/>
                <w:kern w:val="0"/>
                <w:szCs w:val="21"/>
              </w:rPr>
              <w:t>负债总额</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right"/>
              <w:rPr>
                <w:rFonts w:eastAsiaTheme="minorEastAsia"/>
                <w:bCs/>
                <w:color w:val="000000"/>
                <w:kern w:val="0"/>
                <w:szCs w:val="21"/>
              </w:rPr>
            </w:pPr>
            <w:r>
              <w:rPr>
                <w:rFonts w:hint="eastAsia" w:eastAsiaTheme="minorEastAsia"/>
                <w:bCs/>
                <w:color w:val="000000"/>
                <w:kern w:val="0"/>
                <w:szCs w:val="21"/>
              </w:rPr>
              <w:t>294,316,496.83</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right"/>
              <w:rPr>
                <w:rFonts w:eastAsiaTheme="minorEastAsia"/>
                <w:bCs/>
                <w:color w:val="000000"/>
                <w:kern w:val="0"/>
                <w:szCs w:val="21"/>
              </w:rPr>
            </w:pPr>
            <w:r>
              <w:rPr>
                <w:rFonts w:hint="eastAsia" w:eastAsiaTheme="minorEastAsia"/>
                <w:bCs/>
                <w:color w:val="000000"/>
                <w:kern w:val="0"/>
                <w:szCs w:val="21"/>
              </w:rPr>
              <w:t>370,180,254.86</w:t>
            </w:r>
          </w:p>
        </w:tc>
      </w:tr>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bCs/>
                <w:color w:val="000000"/>
                <w:kern w:val="0"/>
                <w:szCs w:val="21"/>
              </w:rPr>
            </w:pPr>
            <w:r>
              <w:rPr>
                <w:rFonts w:hint="eastAsia" w:eastAsiaTheme="minorEastAsia"/>
                <w:bCs/>
                <w:color w:val="000000"/>
                <w:kern w:val="0"/>
                <w:szCs w:val="21"/>
              </w:rPr>
              <w:t>所有者权益合计</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right"/>
              <w:rPr>
                <w:rFonts w:eastAsiaTheme="minorEastAsia"/>
                <w:bCs/>
                <w:color w:val="000000"/>
                <w:kern w:val="0"/>
                <w:szCs w:val="21"/>
              </w:rPr>
            </w:pPr>
            <w:r>
              <w:rPr>
                <w:rFonts w:eastAsiaTheme="minorEastAsia"/>
                <w:bCs/>
                <w:color w:val="000000"/>
                <w:kern w:val="0"/>
                <w:szCs w:val="21"/>
              </w:rPr>
              <w:t>1,329,922,241.97</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right"/>
              <w:rPr>
                <w:rFonts w:eastAsiaTheme="minorEastAsia"/>
                <w:bCs/>
                <w:color w:val="000000"/>
                <w:kern w:val="0"/>
                <w:szCs w:val="21"/>
              </w:rPr>
            </w:pPr>
            <w:r>
              <w:rPr>
                <w:rFonts w:hint="eastAsia" w:eastAsiaTheme="minorEastAsia"/>
                <w:bCs/>
                <w:color w:val="000000"/>
                <w:kern w:val="0"/>
                <w:szCs w:val="21"/>
              </w:rPr>
              <w:t>1,278,139,564.07</w:t>
            </w:r>
          </w:p>
        </w:tc>
      </w:tr>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b/>
                <w:color w:val="000000"/>
                <w:kern w:val="0"/>
                <w:szCs w:val="21"/>
              </w:rPr>
            </w:pPr>
            <w:r>
              <w:rPr>
                <w:rFonts w:eastAsiaTheme="minorEastAsia"/>
                <w:bCs/>
                <w:color w:val="000000"/>
                <w:kern w:val="0"/>
                <w:szCs w:val="21"/>
              </w:rPr>
              <w:t>经营活动产生的现金</w:t>
            </w:r>
            <w:r>
              <w:rPr>
                <w:rFonts w:hint="eastAsia" w:eastAsiaTheme="minorEastAsia"/>
                <w:bCs/>
                <w:color w:val="000000"/>
                <w:kern w:val="0"/>
                <w:szCs w:val="21"/>
                <w:lang w:val="en-US" w:eastAsia="zh-CN"/>
              </w:rPr>
              <w:t>流量</w:t>
            </w:r>
            <w:r>
              <w:rPr>
                <w:rFonts w:eastAsiaTheme="minorEastAsia"/>
                <w:bCs/>
                <w:color w:val="000000"/>
                <w:kern w:val="0"/>
                <w:szCs w:val="21"/>
              </w:rPr>
              <w:t>净额</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right"/>
              <w:rPr>
                <w:rFonts w:eastAsiaTheme="minorEastAsia"/>
                <w:b/>
                <w:color w:val="000000"/>
                <w:kern w:val="0"/>
                <w:szCs w:val="21"/>
              </w:rPr>
            </w:pPr>
            <w:r>
              <w:rPr>
                <w:rFonts w:eastAsiaTheme="minorEastAsia"/>
                <w:bCs/>
                <w:color w:val="000000"/>
                <w:kern w:val="0"/>
                <w:szCs w:val="21"/>
              </w:rPr>
              <w:t>145,981,400.36</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right"/>
              <w:rPr>
                <w:rFonts w:eastAsiaTheme="minorEastAsia"/>
                <w:b/>
                <w:color w:val="000000"/>
                <w:kern w:val="0"/>
                <w:szCs w:val="21"/>
              </w:rPr>
            </w:pPr>
            <w:r>
              <w:rPr>
                <w:rFonts w:hint="eastAsia" w:eastAsiaTheme="minorEastAsia"/>
                <w:bCs/>
                <w:color w:val="000000"/>
                <w:kern w:val="0"/>
                <w:szCs w:val="21"/>
              </w:rPr>
              <w:t>-117,160,820.87</w:t>
            </w:r>
          </w:p>
        </w:tc>
      </w:tr>
    </w:tbl>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在符合国家法律法规，确保不影响公司正常运营、公司募集资金投资计划正常进行和募集资金安全的前提下，公司使用部分闲置募集资金进行现金管理购买期限不超过一年的保本型理财产品，可以提高公司资金使用效率，增加存储收益，符合公司和全体股东的利益。</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截止202</w:t>
      </w:r>
      <w:r>
        <w:rPr>
          <w:rFonts w:hint="eastAsia" w:eastAsiaTheme="minorEastAsia"/>
          <w:color w:val="000000"/>
          <w:sz w:val="24"/>
          <w:szCs w:val="24"/>
          <w:lang w:val="en-US" w:eastAsia="zh-CN"/>
        </w:rPr>
        <w:t>1</w:t>
      </w:r>
      <w:r>
        <w:rPr>
          <w:rFonts w:eastAsiaTheme="minorEastAsia"/>
          <w:color w:val="000000"/>
          <w:sz w:val="24"/>
          <w:szCs w:val="24"/>
        </w:rPr>
        <w:t>年</w:t>
      </w:r>
      <w:r>
        <w:rPr>
          <w:rFonts w:hint="eastAsia" w:eastAsiaTheme="minorEastAsia"/>
          <w:color w:val="000000"/>
          <w:sz w:val="24"/>
          <w:szCs w:val="24"/>
          <w:lang w:val="en-US" w:eastAsia="zh-CN"/>
        </w:rPr>
        <w:t>6</w:t>
      </w:r>
      <w:r>
        <w:rPr>
          <w:rFonts w:eastAsiaTheme="minorEastAsia"/>
          <w:color w:val="000000"/>
          <w:sz w:val="24"/>
          <w:szCs w:val="24"/>
        </w:rPr>
        <w:t>月3</w:t>
      </w:r>
      <w:r>
        <w:rPr>
          <w:rFonts w:hint="eastAsia" w:eastAsiaTheme="minorEastAsia"/>
          <w:color w:val="000000"/>
          <w:sz w:val="24"/>
          <w:szCs w:val="24"/>
          <w:lang w:val="en-US" w:eastAsia="zh-CN"/>
        </w:rPr>
        <w:t>0</w:t>
      </w:r>
      <w:r>
        <w:rPr>
          <w:rFonts w:eastAsiaTheme="minorEastAsia"/>
          <w:color w:val="000000"/>
          <w:sz w:val="24"/>
          <w:szCs w:val="24"/>
        </w:rPr>
        <w:t>日，公司资产负债率为</w:t>
      </w:r>
      <w:r>
        <w:rPr>
          <w:rFonts w:hint="eastAsia" w:eastAsiaTheme="minorEastAsia"/>
          <w:color w:val="000000"/>
          <w:sz w:val="24"/>
          <w:szCs w:val="24"/>
          <w:lang w:val="en-US" w:eastAsia="zh-CN"/>
        </w:rPr>
        <w:t>22.46</w:t>
      </w:r>
      <w:r>
        <w:rPr>
          <w:rFonts w:eastAsiaTheme="minorEastAsia"/>
          <w:color w:val="000000"/>
          <w:sz w:val="24"/>
          <w:szCs w:val="24"/>
        </w:rPr>
        <w:t>%，不存在负有大额负债的同时购买大额理财产品的情形，不会对公司未来主营业务、财务状况、经营成果和现金流量造成较大影响。本次购买的理财产品计入资产负债表中</w:t>
      </w:r>
      <w:r>
        <w:rPr>
          <w:rFonts w:hint="eastAsia" w:eastAsiaTheme="minorEastAsia"/>
          <w:color w:val="000000"/>
          <w:sz w:val="24"/>
          <w:szCs w:val="24"/>
        </w:rPr>
        <w:t>“</w:t>
      </w:r>
      <w:r>
        <w:rPr>
          <w:rFonts w:eastAsiaTheme="minorEastAsia"/>
          <w:color w:val="000000"/>
          <w:sz w:val="24"/>
          <w:szCs w:val="24"/>
        </w:rPr>
        <w:t>交易性金融资产</w:t>
      </w:r>
      <w:r>
        <w:rPr>
          <w:rFonts w:hint="eastAsia" w:eastAsiaTheme="minorEastAsia"/>
          <w:color w:val="000000"/>
          <w:sz w:val="24"/>
          <w:szCs w:val="24"/>
        </w:rPr>
        <w:t>”</w:t>
      </w:r>
      <w:r>
        <w:rPr>
          <w:rFonts w:eastAsiaTheme="minorEastAsia"/>
          <w:color w:val="000000"/>
          <w:sz w:val="24"/>
          <w:szCs w:val="24"/>
        </w:rPr>
        <w:t>，将产生的利息收益计入利润表中</w:t>
      </w:r>
      <w:r>
        <w:rPr>
          <w:rFonts w:hint="eastAsia" w:eastAsiaTheme="minorEastAsia"/>
          <w:color w:val="000000"/>
          <w:sz w:val="24"/>
          <w:szCs w:val="24"/>
        </w:rPr>
        <w:t>“</w:t>
      </w:r>
      <w:r>
        <w:rPr>
          <w:rFonts w:eastAsiaTheme="minorEastAsia"/>
          <w:color w:val="000000"/>
          <w:sz w:val="24"/>
          <w:szCs w:val="24"/>
        </w:rPr>
        <w:t>投资收益</w:t>
      </w:r>
      <w:r>
        <w:rPr>
          <w:rFonts w:hint="eastAsia" w:eastAsiaTheme="minorEastAsia"/>
          <w:color w:val="000000"/>
          <w:sz w:val="24"/>
          <w:szCs w:val="24"/>
        </w:rPr>
        <w:t>”</w:t>
      </w:r>
      <w:r>
        <w:rPr>
          <w:rFonts w:eastAsiaTheme="minorEastAsia"/>
          <w:color w:val="000000"/>
          <w:sz w:val="24"/>
          <w:szCs w:val="24"/>
        </w:rPr>
        <w:t>。</w:t>
      </w:r>
    </w:p>
    <w:p>
      <w:pPr>
        <w:keepNext w:val="0"/>
        <w:keepLines w:val="0"/>
        <w:pageBreakBefore w:val="0"/>
        <w:widowControl/>
        <w:kinsoku/>
        <w:wordWrap/>
        <w:overflowPunct/>
        <w:topLinePunct w:val="0"/>
        <w:autoSpaceDE/>
        <w:autoSpaceDN/>
        <w:bidi w:val="0"/>
        <w:adjustRightInd/>
        <w:snapToGrid/>
        <w:spacing w:before="156" w:beforeLines="50" w:after="156" w:afterLines="50" w:line="360" w:lineRule="auto"/>
        <w:textAlignment w:val="auto"/>
        <w:rPr>
          <w:rFonts w:eastAsiaTheme="minorEastAsia"/>
          <w:b/>
          <w:bCs/>
          <w:color w:val="000000"/>
          <w:sz w:val="24"/>
          <w:szCs w:val="24"/>
        </w:rPr>
      </w:pPr>
      <w:r>
        <w:rPr>
          <w:rFonts w:hint="eastAsia" w:eastAsiaTheme="minorEastAsia"/>
          <w:b/>
          <w:bCs/>
          <w:color w:val="000000"/>
          <w:sz w:val="24"/>
          <w:szCs w:val="24"/>
          <w:lang w:val="en-US" w:eastAsia="zh-CN"/>
        </w:rPr>
        <w:t>六</w:t>
      </w:r>
      <w:r>
        <w:rPr>
          <w:rFonts w:hint="eastAsia" w:eastAsiaTheme="minorEastAsia"/>
          <w:b/>
          <w:bCs/>
          <w:color w:val="000000"/>
          <w:sz w:val="24"/>
          <w:szCs w:val="24"/>
        </w:rPr>
        <w:t>、风险提示</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尽管本次公司进行现金管理，</w:t>
      </w:r>
      <w:r>
        <w:rPr>
          <w:rFonts w:hint="eastAsia" w:eastAsiaTheme="minorEastAsia"/>
          <w:color w:val="000000"/>
          <w:sz w:val="24"/>
          <w:szCs w:val="24"/>
        </w:rPr>
        <w:t>投资购买的理财品种为安全性高、流动性好、低风险、短期（不超过1年）的理财产品</w:t>
      </w:r>
      <w:r>
        <w:rPr>
          <w:rFonts w:eastAsiaTheme="minorEastAsia"/>
          <w:color w:val="000000"/>
          <w:sz w:val="24"/>
          <w:szCs w:val="24"/>
        </w:rPr>
        <w:t>，但金融市场受宏观经济、财政及货币政策的影响较大，该项投资仍会受到市场波动的影响。</w:t>
      </w:r>
      <w:r>
        <w:rPr>
          <w:rFonts w:hint="eastAsia" w:eastAsiaTheme="minorEastAsia"/>
          <w:color w:val="000000"/>
          <w:sz w:val="24"/>
          <w:szCs w:val="24"/>
        </w:rPr>
        <w:t>敬请广大投资者谨慎决策，注意防范投资风险。</w:t>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left"/>
        <w:textAlignment w:val="auto"/>
        <w:rPr>
          <w:rFonts w:asciiTheme="minorEastAsia" w:hAnsiTheme="minorEastAsia" w:eastAsiaTheme="minorEastAsia" w:cstheme="minorEastAsia"/>
          <w:b/>
          <w:bCs/>
          <w:color w:val="000000"/>
          <w:sz w:val="24"/>
          <w:szCs w:val="24"/>
        </w:rPr>
      </w:pPr>
      <w:r>
        <w:rPr>
          <w:rFonts w:hint="eastAsia" w:eastAsiaTheme="minorEastAsia"/>
          <w:b/>
          <w:color w:val="000000"/>
          <w:sz w:val="24"/>
          <w:szCs w:val="24"/>
          <w:lang w:val="en-US" w:eastAsia="zh-CN"/>
        </w:rPr>
        <w:t>七</w:t>
      </w:r>
      <w:r>
        <w:rPr>
          <w:rFonts w:hint="eastAsia" w:eastAsiaTheme="minorEastAsia"/>
          <w:b/>
          <w:color w:val="000000"/>
          <w:sz w:val="24"/>
          <w:szCs w:val="24"/>
        </w:rPr>
        <w:t>、</w:t>
      </w:r>
      <w:r>
        <w:rPr>
          <w:rFonts w:asciiTheme="minorEastAsia" w:hAnsiTheme="minorEastAsia" w:eastAsiaTheme="minorEastAsia" w:cstheme="minorEastAsia"/>
          <w:b/>
          <w:bCs/>
          <w:color w:val="000000"/>
          <w:sz w:val="24"/>
          <w:szCs w:val="24"/>
        </w:rPr>
        <w:t>决策程序的履行及监事会、独立董事、保荐机构意见</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公司分别于2020年9月11日、2020年9月28日召开了公司第七届董事会第十二次会议、第七届监事会第九次会议及公司2020年第四次临时股东大会，审议通过了《关于使用部分闲置募集资金进行现金管理的议案》。同意公司使用总额不超过人民币7亿元（含7亿元）的闲置募集资金进行现金管理，同时在二年内（含二年）该项资金额度可滚动使用（该滚动使用以保证募集资金项目建设和使用为前提），并授权公司董事长在上述额度范围和时效内行使该项投资决策权并签署相关合同文件，并由公司管理层组织相关部门实施。自获得公司2020年第四次临时股东大会审议通过之日起二年内有效。公司独立董事、监事会及保荐机构已分别对此发表了同意的意见。具体详情详见公司分别于2020年9月12日、2020年9月29日刊登在上海证券交易所网站（www.sse.com.cn）的《格尔软件股份有限公司关于使用部分闲置募集资金进行现金管理的公告》（公告编号：2020-065）、《格尔软件股份有限公司2020年第四次临时股东大会决议公告》（公告编号：2020-069）。</w:t>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left"/>
        <w:textAlignment w:val="auto"/>
        <w:rPr>
          <w:rFonts w:asciiTheme="minorEastAsia" w:hAnsiTheme="minorEastAsia" w:eastAsiaTheme="minorEastAsia" w:cstheme="minorEastAsia"/>
          <w:b/>
          <w:bCs/>
          <w:color w:val="000000"/>
          <w:sz w:val="24"/>
          <w:szCs w:val="24"/>
          <w:highlight w:val="none"/>
        </w:rPr>
      </w:pPr>
      <w:r>
        <w:rPr>
          <w:rFonts w:hint="eastAsia" w:asciiTheme="minorEastAsia" w:hAnsiTheme="minorEastAsia" w:eastAsiaTheme="minorEastAsia" w:cstheme="minorEastAsia"/>
          <w:b/>
          <w:bCs/>
          <w:color w:val="000000"/>
          <w:sz w:val="24"/>
          <w:szCs w:val="24"/>
          <w:highlight w:val="none"/>
          <w:lang w:val="en-US" w:eastAsia="zh-CN"/>
        </w:rPr>
        <w:t>八</w:t>
      </w:r>
      <w:r>
        <w:rPr>
          <w:rFonts w:hint="eastAsia" w:asciiTheme="minorEastAsia" w:hAnsiTheme="minorEastAsia" w:eastAsiaTheme="minorEastAsia" w:cstheme="minorEastAsia"/>
          <w:b/>
          <w:bCs/>
          <w:color w:val="000000"/>
          <w:sz w:val="24"/>
          <w:szCs w:val="24"/>
          <w:highlight w:val="none"/>
        </w:rPr>
        <w:t>、</w:t>
      </w:r>
      <w:r>
        <w:rPr>
          <w:rFonts w:asciiTheme="minorEastAsia" w:hAnsiTheme="minorEastAsia" w:eastAsiaTheme="minorEastAsia" w:cstheme="minorEastAsia"/>
          <w:b/>
          <w:bCs/>
          <w:color w:val="000000"/>
          <w:sz w:val="24"/>
          <w:szCs w:val="24"/>
          <w:highlight w:val="none"/>
        </w:rPr>
        <w:t>截至本公告日，公司最近十二个月使用募集资金委托理财的情况</w:t>
      </w:r>
    </w:p>
    <w:p>
      <w:pPr>
        <w:widowControl/>
        <w:ind w:left="368" w:leftChars="175"/>
        <w:jc w:val="right"/>
        <w:rPr>
          <w:rFonts w:asciiTheme="minorEastAsia" w:hAnsiTheme="minorEastAsia" w:eastAsiaTheme="minorEastAsia" w:cstheme="minorEastAsia"/>
          <w:b/>
          <w:bCs/>
          <w:color w:val="000000"/>
          <w:sz w:val="24"/>
          <w:szCs w:val="24"/>
        </w:rPr>
      </w:pPr>
      <w:r>
        <w:rPr>
          <w:rFonts w:hint="eastAsia" w:ascii="宋体" w:hAnsi="宋体"/>
          <w:bCs/>
          <w:szCs w:val="21"/>
        </w:rPr>
        <w:t>单位：万元</w:t>
      </w:r>
    </w:p>
    <w:tbl>
      <w:tblPr>
        <w:tblStyle w:val="2"/>
        <w:tblW w:w="8407" w:type="dxa"/>
        <w:jc w:val="center"/>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1559"/>
        <w:gridCol w:w="1560"/>
        <w:gridCol w:w="1701"/>
        <w:gridCol w:w="1378"/>
        <w:gridCol w:w="1449"/>
      </w:tblGrid>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60"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序号</w:t>
            </w:r>
          </w:p>
        </w:tc>
        <w:tc>
          <w:tcPr>
            <w:tcW w:w="1559"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理财产品类型</w:t>
            </w:r>
          </w:p>
        </w:tc>
        <w:tc>
          <w:tcPr>
            <w:tcW w:w="1560"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实际投入金额</w:t>
            </w:r>
          </w:p>
        </w:tc>
        <w:tc>
          <w:tcPr>
            <w:tcW w:w="1701"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实际收回本金</w:t>
            </w:r>
          </w:p>
        </w:tc>
        <w:tc>
          <w:tcPr>
            <w:tcW w:w="1378"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实际收益</w:t>
            </w:r>
          </w:p>
        </w:tc>
        <w:tc>
          <w:tcPr>
            <w:tcW w:w="1449" w:type="dxa"/>
            <w:vAlign w:val="top"/>
          </w:tcPr>
          <w:p>
            <w:pPr>
              <w:widowControl/>
              <w:jc w:val="center"/>
              <w:textAlignment w:val="center"/>
              <w:rPr>
                <w:color w:val="000000"/>
                <w:kern w:val="0"/>
                <w:szCs w:val="21"/>
                <w:highlight w:val="none"/>
                <w:lang w:bidi="ar"/>
              </w:rPr>
            </w:pPr>
            <w:r>
              <w:rPr>
                <w:color w:val="000000"/>
                <w:kern w:val="0"/>
                <w:szCs w:val="21"/>
                <w:highlight w:val="none"/>
                <w:lang w:bidi="ar"/>
              </w:rPr>
              <w:t>尚未收回</w:t>
            </w:r>
          </w:p>
          <w:p>
            <w:pPr>
              <w:widowControl/>
              <w:jc w:val="center"/>
              <w:textAlignment w:val="center"/>
              <w:rPr>
                <w:color w:val="000000"/>
                <w:kern w:val="0"/>
                <w:szCs w:val="21"/>
                <w:highlight w:val="none"/>
                <w:lang w:bidi="ar"/>
              </w:rPr>
            </w:pPr>
            <w:r>
              <w:rPr>
                <w:color w:val="000000"/>
                <w:kern w:val="0"/>
                <w:szCs w:val="21"/>
                <w:highlight w:val="none"/>
                <w:lang w:bidi="ar"/>
              </w:rPr>
              <w:t>本金金额</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color w:val="000000"/>
                <w:kern w:val="0"/>
                <w:szCs w:val="21"/>
                <w:highlight w:val="none"/>
                <w:lang w:bidi="ar"/>
              </w:rPr>
            </w:pPr>
            <w:r>
              <w:rPr>
                <w:rFonts w:hint="eastAsia"/>
                <w:color w:val="000000"/>
                <w:kern w:val="0"/>
                <w:szCs w:val="21"/>
                <w:highlight w:val="none"/>
                <w:lang w:val="en-US" w:eastAsia="zh-CN" w:bidi="ar"/>
              </w:rPr>
              <w:t>1</w:t>
            </w:r>
          </w:p>
        </w:tc>
        <w:tc>
          <w:tcPr>
            <w:tcW w:w="1559" w:type="dxa"/>
            <w:shd w:val="clear" w:color="auto" w:fill="auto"/>
            <w:vAlign w:val="center"/>
          </w:tcPr>
          <w:p>
            <w:pPr>
              <w:widowControl/>
              <w:jc w:val="center"/>
              <w:textAlignment w:val="center"/>
              <w:rPr>
                <w:color w:val="000000"/>
                <w:kern w:val="0"/>
                <w:szCs w:val="21"/>
                <w:highlight w:val="none"/>
                <w:lang w:bidi="ar"/>
              </w:rPr>
            </w:pPr>
            <w:r>
              <w:rPr>
                <w:rFonts w:hint="eastAsia"/>
                <w:color w:val="000000"/>
                <w:kern w:val="0"/>
                <w:szCs w:val="21"/>
                <w:highlight w:val="none"/>
                <w:lang w:val="en-US" w:eastAsia="zh-CN" w:bidi="ar"/>
              </w:rPr>
              <w:t>银行理财产品</w:t>
            </w:r>
          </w:p>
        </w:tc>
        <w:tc>
          <w:tcPr>
            <w:tcW w:w="1560" w:type="dxa"/>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300.00</w:t>
            </w:r>
          </w:p>
        </w:tc>
        <w:tc>
          <w:tcPr>
            <w:tcW w:w="1701" w:type="dxa"/>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300.00</w:t>
            </w:r>
          </w:p>
        </w:tc>
        <w:tc>
          <w:tcPr>
            <w:tcW w:w="1378" w:type="dxa"/>
            <w:shd w:val="clear" w:color="auto" w:fill="auto"/>
            <w:vAlign w:val="center"/>
          </w:tcPr>
          <w:p>
            <w:pPr>
              <w:widowControl/>
              <w:jc w:val="right"/>
              <w:textAlignment w:val="center"/>
              <w:rPr>
                <w:rFonts w:hint="eastAsia"/>
                <w:color w:val="000000"/>
                <w:kern w:val="0"/>
                <w:szCs w:val="21"/>
                <w:highlight w:val="none"/>
                <w:lang w:bidi="ar"/>
              </w:rPr>
            </w:pPr>
            <w:r>
              <w:rPr>
                <w:rFonts w:hint="eastAsia"/>
                <w:color w:val="000000"/>
                <w:kern w:val="0"/>
                <w:szCs w:val="21"/>
                <w:highlight w:val="none"/>
                <w:lang w:val="en-US" w:eastAsia="zh-CN" w:bidi="ar"/>
              </w:rPr>
              <w:t>22.79</w:t>
            </w:r>
          </w:p>
        </w:tc>
        <w:tc>
          <w:tcPr>
            <w:tcW w:w="1449" w:type="dxa"/>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000000"/>
                <w:kern w:val="0"/>
                <w:sz w:val="21"/>
                <w:szCs w:val="21"/>
                <w:highlight w:val="none"/>
                <w:lang w:val="en-US" w:eastAsia="zh-CN" w:bidi="ar"/>
              </w:rPr>
            </w:pPr>
            <w:r>
              <w:rPr>
                <w:rFonts w:hint="eastAsia" w:cs="Times New Roman"/>
                <w:color w:val="000000"/>
                <w:kern w:val="0"/>
                <w:sz w:val="21"/>
                <w:szCs w:val="21"/>
                <w:highlight w:val="none"/>
                <w:lang w:val="en-US" w:eastAsia="zh-CN" w:bidi="ar"/>
              </w:rPr>
              <w:t>2</w:t>
            </w:r>
          </w:p>
        </w:tc>
        <w:tc>
          <w:tcPr>
            <w:tcW w:w="1559" w:type="dxa"/>
            <w:shd w:val="clear" w:color="auto" w:fill="auto"/>
            <w:vAlign w:val="center"/>
          </w:tcPr>
          <w:p>
            <w:pPr>
              <w:widowControl/>
              <w:jc w:val="center"/>
              <w:textAlignment w:val="center"/>
              <w:rPr>
                <w:rFonts w:hint="eastAsia"/>
                <w:color w:val="000000"/>
                <w:kern w:val="0"/>
                <w:szCs w:val="21"/>
                <w:highlight w:val="none"/>
                <w:lang w:val="en-US" w:eastAsia="zh-CN" w:bidi="ar"/>
              </w:rPr>
            </w:pPr>
            <w:r>
              <w:rPr>
                <w:rFonts w:hint="eastAsia"/>
                <w:color w:val="000000"/>
                <w:kern w:val="0"/>
                <w:szCs w:val="21"/>
                <w:highlight w:val="none"/>
                <w:lang w:val="en-US" w:eastAsia="zh-CN" w:bidi="ar"/>
              </w:rPr>
              <w:t>银行理财产品</w:t>
            </w:r>
          </w:p>
        </w:tc>
        <w:tc>
          <w:tcPr>
            <w:tcW w:w="1560" w:type="dxa"/>
            <w:shd w:val="clear" w:color="auto" w:fill="auto"/>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4,000.00</w:t>
            </w:r>
          </w:p>
        </w:tc>
        <w:tc>
          <w:tcPr>
            <w:tcW w:w="1701" w:type="dxa"/>
            <w:shd w:val="clear" w:color="auto" w:fill="auto"/>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4,000.00</w:t>
            </w:r>
          </w:p>
        </w:tc>
        <w:tc>
          <w:tcPr>
            <w:tcW w:w="1378" w:type="dxa"/>
            <w:shd w:val="clear" w:color="auto" w:fill="auto"/>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9.85</w:t>
            </w:r>
          </w:p>
        </w:tc>
        <w:tc>
          <w:tcPr>
            <w:tcW w:w="1449" w:type="dxa"/>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760" w:type="dxa"/>
            <w:shd w:val="clear" w:color="auto" w:fill="auto"/>
            <w:vAlign w:val="center"/>
          </w:tcPr>
          <w:p>
            <w:pPr>
              <w:widowControl/>
              <w:jc w:val="center"/>
              <w:textAlignment w:val="center"/>
              <w:rPr>
                <w:rFonts w:hint="eastAsia" w:eastAsia="宋体"/>
                <w:color w:val="000000"/>
                <w:kern w:val="0"/>
                <w:szCs w:val="21"/>
                <w:highlight w:val="none"/>
                <w:lang w:eastAsia="zh-CN" w:bidi="ar"/>
              </w:rPr>
            </w:pPr>
            <w:r>
              <w:rPr>
                <w:rFonts w:hint="eastAsia"/>
                <w:color w:val="000000"/>
                <w:kern w:val="0"/>
                <w:szCs w:val="21"/>
                <w:highlight w:val="none"/>
                <w:lang w:val="en-US" w:eastAsia="zh-CN" w:bidi="ar"/>
              </w:rPr>
              <w:t>3</w:t>
            </w:r>
          </w:p>
        </w:tc>
        <w:tc>
          <w:tcPr>
            <w:tcW w:w="1559"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券商收益凭证</w:t>
            </w:r>
          </w:p>
        </w:tc>
        <w:tc>
          <w:tcPr>
            <w:tcW w:w="1560" w:type="dxa"/>
            <w:shd w:val="clear" w:color="auto" w:fill="auto"/>
            <w:vAlign w:val="center"/>
          </w:tcPr>
          <w:p>
            <w:pPr>
              <w:widowControl/>
              <w:jc w:val="right"/>
              <w:textAlignment w:val="center"/>
              <w:rPr>
                <w:color w:val="000000"/>
                <w:kern w:val="0"/>
                <w:szCs w:val="21"/>
                <w:highlight w:val="none"/>
                <w:lang w:bidi="ar"/>
              </w:rPr>
            </w:pPr>
            <w:r>
              <w:rPr>
                <w:color w:val="000000"/>
                <w:kern w:val="0"/>
                <w:szCs w:val="21"/>
                <w:highlight w:val="none"/>
                <w:lang w:bidi="ar"/>
              </w:rPr>
              <w:t>7,000</w:t>
            </w:r>
            <w:r>
              <w:rPr>
                <w:rFonts w:hint="eastAsia"/>
                <w:color w:val="000000"/>
                <w:kern w:val="0"/>
                <w:szCs w:val="21"/>
                <w:highlight w:val="none"/>
                <w:lang w:bidi="ar"/>
              </w:rPr>
              <w:t>.00</w:t>
            </w:r>
          </w:p>
        </w:tc>
        <w:tc>
          <w:tcPr>
            <w:tcW w:w="1701" w:type="dxa"/>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7,00</w:t>
            </w:r>
            <w:r>
              <w:rPr>
                <w:color w:val="000000"/>
                <w:kern w:val="0"/>
                <w:szCs w:val="21"/>
                <w:highlight w:val="none"/>
                <w:lang w:bidi="ar"/>
              </w:rPr>
              <w:t>0</w:t>
            </w:r>
            <w:r>
              <w:rPr>
                <w:rFonts w:hint="eastAsia"/>
                <w:color w:val="000000"/>
                <w:kern w:val="0"/>
                <w:szCs w:val="21"/>
                <w:highlight w:val="none"/>
                <w:lang w:bidi="ar"/>
              </w:rPr>
              <w:t>.00</w:t>
            </w:r>
          </w:p>
        </w:tc>
        <w:tc>
          <w:tcPr>
            <w:tcW w:w="1378" w:type="dxa"/>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bidi="ar"/>
              </w:rPr>
              <w:t>54.62</w:t>
            </w:r>
          </w:p>
        </w:tc>
        <w:tc>
          <w:tcPr>
            <w:tcW w:w="1449" w:type="dxa"/>
            <w:vAlign w:val="center"/>
          </w:tcPr>
          <w:p>
            <w:pPr>
              <w:widowControl/>
              <w:jc w:val="right"/>
              <w:textAlignment w:val="center"/>
              <w:rPr>
                <w:color w:val="000000"/>
                <w:kern w:val="0"/>
                <w:szCs w:val="21"/>
                <w:highlight w:val="none"/>
                <w:lang w:bidi="ar"/>
              </w:rPr>
            </w:pPr>
            <w:r>
              <w:rPr>
                <w:color w:val="000000"/>
                <w:kern w:val="0"/>
                <w:szCs w:val="21"/>
                <w:highlight w:val="none"/>
                <w:lang w:bidi="ar"/>
              </w:rPr>
              <w:t>0</w:t>
            </w:r>
            <w:r>
              <w:rPr>
                <w:rFonts w:hint="eastAsia"/>
                <w:color w:val="000000"/>
                <w:kern w:val="0"/>
                <w:szCs w:val="21"/>
                <w:highlight w:val="none"/>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eastAsia" w:eastAsia="宋体"/>
                <w:color w:val="000000"/>
                <w:kern w:val="0"/>
                <w:szCs w:val="21"/>
                <w:highlight w:val="none"/>
                <w:lang w:eastAsia="zh-CN" w:bidi="ar"/>
              </w:rPr>
            </w:pPr>
            <w:r>
              <w:rPr>
                <w:rFonts w:hint="eastAsia"/>
                <w:color w:val="000000"/>
                <w:kern w:val="0"/>
                <w:szCs w:val="21"/>
                <w:highlight w:val="none"/>
                <w:lang w:val="en-US" w:eastAsia="zh-CN" w:bidi="ar"/>
              </w:rPr>
              <w:t>4</w:t>
            </w:r>
          </w:p>
        </w:tc>
        <w:tc>
          <w:tcPr>
            <w:tcW w:w="1559"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券商收益凭证</w:t>
            </w:r>
          </w:p>
        </w:tc>
        <w:tc>
          <w:tcPr>
            <w:tcW w:w="1560" w:type="dxa"/>
            <w:shd w:val="clear" w:color="auto" w:fill="auto"/>
            <w:vAlign w:val="center"/>
          </w:tcPr>
          <w:p>
            <w:pPr>
              <w:widowControl/>
              <w:jc w:val="right"/>
              <w:textAlignment w:val="center"/>
              <w:rPr>
                <w:color w:val="000000"/>
                <w:kern w:val="0"/>
                <w:szCs w:val="21"/>
                <w:highlight w:val="none"/>
                <w:lang w:bidi="ar"/>
              </w:rPr>
            </w:pPr>
            <w:r>
              <w:rPr>
                <w:color w:val="000000"/>
                <w:kern w:val="0"/>
                <w:szCs w:val="21"/>
                <w:highlight w:val="none"/>
                <w:lang w:bidi="ar"/>
              </w:rPr>
              <w:t>20,000</w:t>
            </w:r>
            <w:r>
              <w:rPr>
                <w:rFonts w:hint="eastAsia"/>
                <w:color w:val="000000"/>
                <w:kern w:val="0"/>
                <w:szCs w:val="21"/>
                <w:highlight w:val="none"/>
                <w:lang w:bidi="ar"/>
              </w:rPr>
              <w:t>.00</w:t>
            </w:r>
          </w:p>
        </w:tc>
        <w:tc>
          <w:tcPr>
            <w:tcW w:w="1701" w:type="dxa"/>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20,000.00</w:t>
            </w:r>
          </w:p>
        </w:tc>
        <w:tc>
          <w:tcPr>
            <w:tcW w:w="1378" w:type="dxa"/>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892.63</w:t>
            </w:r>
          </w:p>
        </w:tc>
        <w:tc>
          <w:tcPr>
            <w:tcW w:w="1449" w:type="dxa"/>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eastAsia" w:eastAsia="宋体"/>
                <w:color w:val="000000"/>
                <w:kern w:val="0"/>
                <w:szCs w:val="21"/>
                <w:highlight w:val="none"/>
                <w:lang w:eastAsia="zh-CN" w:bidi="ar"/>
              </w:rPr>
            </w:pPr>
            <w:r>
              <w:rPr>
                <w:rFonts w:hint="eastAsia"/>
                <w:color w:val="000000"/>
                <w:kern w:val="0"/>
                <w:szCs w:val="21"/>
                <w:highlight w:val="none"/>
                <w:lang w:val="en-US" w:eastAsia="zh-CN" w:bidi="ar"/>
              </w:rPr>
              <w:t>5</w:t>
            </w:r>
          </w:p>
        </w:tc>
        <w:tc>
          <w:tcPr>
            <w:tcW w:w="1559"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券商收益凭证</w:t>
            </w:r>
          </w:p>
        </w:tc>
        <w:tc>
          <w:tcPr>
            <w:tcW w:w="1560" w:type="dxa"/>
            <w:shd w:val="clear" w:color="auto" w:fill="auto"/>
            <w:vAlign w:val="center"/>
          </w:tcPr>
          <w:p>
            <w:pPr>
              <w:widowControl/>
              <w:jc w:val="right"/>
              <w:textAlignment w:val="center"/>
              <w:rPr>
                <w:color w:val="000000"/>
                <w:kern w:val="0"/>
                <w:szCs w:val="21"/>
                <w:highlight w:val="none"/>
                <w:lang w:bidi="ar"/>
              </w:rPr>
            </w:pPr>
            <w:r>
              <w:rPr>
                <w:color w:val="000000"/>
                <w:kern w:val="0"/>
                <w:szCs w:val="21"/>
                <w:highlight w:val="none"/>
                <w:lang w:bidi="ar"/>
              </w:rPr>
              <w:t>8,000</w:t>
            </w:r>
            <w:r>
              <w:rPr>
                <w:rFonts w:hint="eastAsia"/>
                <w:color w:val="000000"/>
                <w:kern w:val="0"/>
                <w:szCs w:val="21"/>
                <w:highlight w:val="none"/>
                <w:lang w:bidi="ar"/>
              </w:rPr>
              <w:t>.00</w:t>
            </w:r>
          </w:p>
        </w:tc>
        <w:tc>
          <w:tcPr>
            <w:tcW w:w="1701" w:type="dxa"/>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8,000</w:t>
            </w:r>
            <w:r>
              <w:rPr>
                <w:rFonts w:hint="eastAsia"/>
                <w:color w:val="000000"/>
                <w:kern w:val="0"/>
                <w:szCs w:val="21"/>
                <w:highlight w:val="none"/>
                <w:lang w:bidi="ar"/>
              </w:rPr>
              <w:t>.00</w:t>
            </w:r>
          </w:p>
        </w:tc>
        <w:tc>
          <w:tcPr>
            <w:tcW w:w="1378" w:type="dxa"/>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160</w:t>
            </w:r>
            <w:r>
              <w:rPr>
                <w:rFonts w:hint="eastAsia"/>
                <w:color w:val="000000"/>
                <w:kern w:val="0"/>
                <w:szCs w:val="21"/>
                <w:highlight w:val="none"/>
                <w:lang w:bidi="ar"/>
              </w:rPr>
              <w:t>.</w:t>
            </w:r>
            <w:r>
              <w:rPr>
                <w:rFonts w:hint="eastAsia"/>
                <w:color w:val="000000"/>
                <w:kern w:val="0"/>
                <w:szCs w:val="21"/>
                <w:highlight w:val="none"/>
                <w:lang w:val="en-US" w:eastAsia="zh-CN" w:bidi="ar"/>
              </w:rPr>
              <w:t>43</w:t>
            </w:r>
          </w:p>
        </w:tc>
        <w:tc>
          <w:tcPr>
            <w:tcW w:w="1449" w:type="dxa"/>
            <w:vAlign w:val="center"/>
          </w:tcPr>
          <w:p>
            <w:pPr>
              <w:widowControl/>
              <w:jc w:val="right"/>
              <w:textAlignment w:val="center"/>
              <w:rPr>
                <w:color w:val="000000"/>
                <w:kern w:val="0"/>
                <w:szCs w:val="21"/>
                <w:highlight w:val="none"/>
                <w:lang w:bidi="ar"/>
              </w:rPr>
            </w:pPr>
            <w:r>
              <w:rPr>
                <w:color w:val="000000"/>
                <w:kern w:val="0"/>
                <w:szCs w:val="21"/>
                <w:highlight w:val="none"/>
                <w:lang w:bidi="ar"/>
              </w:rPr>
              <w:t>0</w:t>
            </w:r>
            <w:r>
              <w:rPr>
                <w:rFonts w:hint="eastAsia"/>
                <w:color w:val="000000"/>
                <w:kern w:val="0"/>
                <w:szCs w:val="21"/>
                <w:highlight w:val="none"/>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eastAsia" w:eastAsia="宋体"/>
                <w:color w:val="000000"/>
                <w:kern w:val="0"/>
                <w:szCs w:val="21"/>
                <w:highlight w:val="none"/>
                <w:lang w:eastAsia="zh-CN" w:bidi="ar"/>
              </w:rPr>
            </w:pPr>
            <w:r>
              <w:rPr>
                <w:rFonts w:hint="eastAsia"/>
                <w:color w:val="000000"/>
                <w:kern w:val="0"/>
                <w:szCs w:val="21"/>
                <w:highlight w:val="none"/>
                <w:lang w:val="en-US" w:eastAsia="zh-CN" w:bidi="ar"/>
              </w:rPr>
              <w:t>6</w:t>
            </w:r>
          </w:p>
        </w:tc>
        <w:tc>
          <w:tcPr>
            <w:tcW w:w="1559"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券商收益凭证</w:t>
            </w:r>
          </w:p>
        </w:tc>
        <w:tc>
          <w:tcPr>
            <w:tcW w:w="1560" w:type="dxa"/>
            <w:shd w:val="clear" w:color="auto" w:fill="auto"/>
            <w:vAlign w:val="center"/>
          </w:tcPr>
          <w:p>
            <w:pPr>
              <w:widowControl/>
              <w:jc w:val="right"/>
              <w:textAlignment w:val="center"/>
              <w:rPr>
                <w:color w:val="000000"/>
                <w:kern w:val="0"/>
                <w:szCs w:val="21"/>
                <w:highlight w:val="none"/>
                <w:lang w:bidi="ar"/>
              </w:rPr>
            </w:pPr>
            <w:r>
              <w:rPr>
                <w:color w:val="000000"/>
                <w:kern w:val="0"/>
                <w:szCs w:val="21"/>
                <w:highlight w:val="none"/>
                <w:lang w:bidi="ar"/>
              </w:rPr>
              <w:t>3,500</w:t>
            </w:r>
            <w:r>
              <w:rPr>
                <w:rFonts w:hint="eastAsia"/>
                <w:color w:val="000000"/>
                <w:kern w:val="0"/>
                <w:szCs w:val="21"/>
                <w:highlight w:val="none"/>
                <w:lang w:bidi="ar"/>
              </w:rPr>
              <w:t>.00</w:t>
            </w:r>
          </w:p>
        </w:tc>
        <w:tc>
          <w:tcPr>
            <w:tcW w:w="1701" w:type="dxa"/>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3,500</w:t>
            </w:r>
            <w:r>
              <w:rPr>
                <w:rFonts w:hint="eastAsia"/>
                <w:color w:val="000000"/>
                <w:kern w:val="0"/>
                <w:szCs w:val="21"/>
                <w:highlight w:val="none"/>
                <w:lang w:bidi="ar"/>
              </w:rPr>
              <w:t>.00</w:t>
            </w:r>
          </w:p>
        </w:tc>
        <w:tc>
          <w:tcPr>
            <w:tcW w:w="1378" w:type="dxa"/>
            <w:shd w:val="clear" w:color="auto" w:fill="auto"/>
            <w:vAlign w:val="top"/>
          </w:tcPr>
          <w:p>
            <w:pPr>
              <w:widowControl/>
              <w:jc w:val="right"/>
              <w:textAlignment w:val="center"/>
              <w:rPr>
                <w:rFonts w:hint="default"/>
                <w:color w:val="000000"/>
                <w:kern w:val="0"/>
                <w:szCs w:val="21"/>
                <w:highlight w:val="none"/>
                <w:lang w:val="en-US" w:bidi="ar"/>
              </w:rPr>
            </w:pPr>
            <w:r>
              <w:rPr>
                <w:rFonts w:hint="eastAsia"/>
                <w:color w:val="000000"/>
                <w:kern w:val="0"/>
                <w:szCs w:val="21"/>
                <w:highlight w:val="none"/>
                <w:lang w:val="en-US" w:eastAsia="zh-CN" w:bidi="ar"/>
              </w:rPr>
              <w:t>31.96</w:t>
            </w:r>
          </w:p>
        </w:tc>
        <w:tc>
          <w:tcPr>
            <w:tcW w:w="1449" w:type="dxa"/>
            <w:vAlign w:val="center"/>
          </w:tcPr>
          <w:p>
            <w:pPr>
              <w:widowControl/>
              <w:jc w:val="right"/>
              <w:textAlignment w:val="center"/>
              <w:rPr>
                <w:color w:val="000000"/>
                <w:kern w:val="0"/>
                <w:szCs w:val="21"/>
                <w:highlight w:val="none"/>
                <w:lang w:bidi="ar"/>
              </w:rPr>
            </w:pPr>
            <w:r>
              <w:rPr>
                <w:color w:val="000000"/>
                <w:kern w:val="0"/>
                <w:szCs w:val="21"/>
                <w:highlight w:val="none"/>
                <w:lang w:bidi="ar"/>
              </w:rPr>
              <w:t>0</w:t>
            </w:r>
            <w:r>
              <w:rPr>
                <w:rFonts w:hint="eastAsia"/>
                <w:color w:val="000000"/>
                <w:kern w:val="0"/>
                <w:szCs w:val="21"/>
                <w:highlight w:val="none"/>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eastAsia" w:eastAsia="宋体"/>
                <w:color w:val="000000"/>
                <w:kern w:val="0"/>
                <w:szCs w:val="21"/>
                <w:highlight w:val="none"/>
                <w:lang w:eastAsia="zh-CN" w:bidi="ar"/>
              </w:rPr>
            </w:pPr>
            <w:r>
              <w:rPr>
                <w:rFonts w:hint="eastAsia"/>
                <w:color w:val="000000"/>
                <w:kern w:val="0"/>
                <w:szCs w:val="21"/>
                <w:highlight w:val="none"/>
                <w:lang w:val="en-US" w:eastAsia="zh-CN" w:bidi="ar"/>
              </w:rPr>
              <w:t>7</w:t>
            </w:r>
          </w:p>
        </w:tc>
        <w:tc>
          <w:tcPr>
            <w:tcW w:w="1559" w:type="dxa"/>
            <w:shd w:val="clear" w:color="auto" w:fill="auto"/>
            <w:vAlign w:val="center"/>
          </w:tcPr>
          <w:p>
            <w:pPr>
              <w:widowControl/>
              <w:jc w:val="center"/>
              <w:textAlignment w:val="center"/>
              <w:rPr>
                <w:color w:val="000000"/>
                <w:kern w:val="0"/>
                <w:szCs w:val="21"/>
                <w:highlight w:val="none"/>
                <w:lang w:bidi="ar"/>
              </w:rPr>
            </w:pPr>
            <w:r>
              <w:rPr>
                <w:rFonts w:hint="eastAsia"/>
                <w:color w:val="000000"/>
                <w:kern w:val="0"/>
                <w:szCs w:val="21"/>
                <w:highlight w:val="none"/>
                <w:lang w:bidi="ar"/>
              </w:rPr>
              <w:t>券商收益凭证</w:t>
            </w:r>
          </w:p>
        </w:tc>
        <w:tc>
          <w:tcPr>
            <w:tcW w:w="1560" w:type="dxa"/>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bidi="ar"/>
              </w:rPr>
              <w:t>4,000.00</w:t>
            </w:r>
          </w:p>
        </w:tc>
        <w:tc>
          <w:tcPr>
            <w:tcW w:w="1701" w:type="dxa"/>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4,00</w:t>
            </w:r>
            <w:r>
              <w:rPr>
                <w:rFonts w:hint="eastAsia"/>
                <w:color w:val="000000"/>
                <w:kern w:val="0"/>
                <w:szCs w:val="21"/>
                <w:highlight w:val="none"/>
                <w:lang w:bidi="ar"/>
              </w:rPr>
              <w:t>0.00</w:t>
            </w:r>
          </w:p>
        </w:tc>
        <w:tc>
          <w:tcPr>
            <w:tcW w:w="1378" w:type="dxa"/>
            <w:shd w:val="clear" w:color="auto" w:fill="auto"/>
            <w:vAlign w:val="top"/>
          </w:tcPr>
          <w:p>
            <w:pPr>
              <w:widowControl/>
              <w:jc w:val="right"/>
              <w:textAlignment w:val="center"/>
              <w:rPr>
                <w:rFonts w:hint="default"/>
                <w:color w:val="000000"/>
                <w:kern w:val="0"/>
                <w:szCs w:val="21"/>
                <w:highlight w:val="none"/>
                <w:lang w:val="en-US" w:bidi="ar"/>
              </w:rPr>
            </w:pPr>
            <w:r>
              <w:rPr>
                <w:rFonts w:hint="eastAsia" w:eastAsiaTheme="minorEastAsia"/>
                <w:color w:val="000000"/>
                <w:szCs w:val="21"/>
                <w:highlight w:val="none"/>
              </w:rPr>
              <w:t>32.55</w:t>
            </w:r>
          </w:p>
        </w:tc>
        <w:tc>
          <w:tcPr>
            <w:tcW w:w="1449" w:type="dxa"/>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eastAsia" w:eastAsia="宋体"/>
                <w:color w:val="000000"/>
                <w:kern w:val="0"/>
                <w:szCs w:val="21"/>
                <w:highlight w:val="none"/>
                <w:lang w:val="en-US" w:eastAsia="zh-CN" w:bidi="ar"/>
              </w:rPr>
            </w:pPr>
            <w:r>
              <w:rPr>
                <w:rFonts w:hint="eastAsia"/>
                <w:color w:val="000000"/>
                <w:kern w:val="0"/>
                <w:szCs w:val="21"/>
                <w:highlight w:val="none"/>
                <w:lang w:val="en-US" w:eastAsia="zh-CN" w:bidi="ar"/>
              </w:rPr>
              <w:t>8</w:t>
            </w:r>
          </w:p>
        </w:tc>
        <w:tc>
          <w:tcPr>
            <w:tcW w:w="1559" w:type="dxa"/>
            <w:shd w:val="clear" w:color="auto" w:fill="auto"/>
            <w:vAlign w:val="center"/>
          </w:tcPr>
          <w:p>
            <w:pPr>
              <w:widowControl/>
              <w:jc w:val="center"/>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default" w:eastAsia="宋体"/>
                <w:color w:val="000000"/>
                <w:kern w:val="0"/>
                <w:szCs w:val="21"/>
                <w:highlight w:val="none"/>
                <w:lang w:val="en-US" w:eastAsia="zh-CN" w:bidi="ar"/>
              </w:rPr>
            </w:pPr>
            <w:r>
              <w:rPr>
                <w:color w:val="000000"/>
                <w:kern w:val="0"/>
                <w:szCs w:val="21"/>
                <w:highlight w:val="none"/>
                <w:lang w:bidi="ar"/>
              </w:rPr>
              <w:t>7,000</w:t>
            </w:r>
            <w:r>
              <w:rPr>
                <w:rFonts w:hint="eastAsia"/>
                <w:color w:val="000000"/>
                <w:kern w:val="0"/>
                <w:szCs w:val="21"/>
                <w:highlight w:val="none"/>
                <w:lang w:bidi="ar"/>
              </w:rPr>
              <w:t>.00</w:t>
            </w:r>
          </w:p>
        </w:tc>
        <w:tc>
          <w:tcPr>
            <w:tcW w:w="1701" w:type="dxa"/>
            <w:shd w:val="clear" w:color="auto" w:fill="auto"/>
            <w:vAlign w:val="center"/>
          </w:tcPr>
          <w:p>
            <w:pPr>
              <w:widowControl/>
              <w:jc w:val="right"/>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7,00</w:t>
            </w:r>
            <w:r>
              <w:rPr>
                <w:rFonts w:hint="eastAsia"/>
                <w:color w:val="000000"/>
                <w:kern w:val="0"/>
                <w:szCs w:val="21"/>
                <w:highlight w:val="none"/>
                <w:lang w:bidi="ar"/>
              </w:rPr>
              <w:t>0.00</w:t>
            </w:r>
          </w:p>
        </w:tc>
        <w:tc>
          <w:tcPr>
            <w:tcW w:w="1378" w:type="dxa"/>
            <w:shd w:val="clear" w:color="auto" w:fill="auto"/>
            <w:vAlign w:val="center"/>
          </w:tcPr>
          <w:p>
            <w:pPr>
              <w:widowControl/>
              <w:jc w:val="right"/>
              <w:textAlignment w:val="center"/>
              <w:rPr>
                <w:rFonts w:hint="default" w:eastAsia="宋体"/>
                <w:color w:val="000000"/>
                <w:kern w:val="0"/>
                <w:szCs w:val="21"/>
                <w:highlight w:val="none"/>
                <w:lang w:val="en-US" w:eastAsia="zh-CN" w:bidi="ar"/>
              </w:rPr>
            </w:pPr>
            <w:r>
              <w:rPr>
                <w:rFonts w:hint="eastAsia" w:eastAsiaTheme="minorEastAsia"/>
                <w:color w:val="000000"/>
                <w:sz w:val="21"/>
                <w:szCs w:val="21"/>
                <w:highlight w:val="none"/>
                <w:vertAlign w:val="baseline"/>
                <w:lang w:val="en-US" w:eastAsia="zh-CN"/>
              </w:rPr>
              <w:t>56.47</w:t>
            </w:r>
          </w:p>
        </w:tc>
        <w:tc>
          <w:tcPr>
            <w:tcW w:w="1449" w:type="dxa"/>
            <w:vAlign w:val="center"/>
          </w:tcPr>
          <w:p>
            <w:pPr>
              <w:widowControl/>
              <w:jc w:val="right"/>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9</w:t>
            </w:r>
          </w:p>
        </w:tc>
        <w:tc>
          <w:tcPr>
            <w:tcW w:w="1559" w:type="dxa"/>
            <w:shd w:val="clear" w:color="auto" w:fill="auto"/>
            <w:vAlign w:val="center"/>
          </w:tcPr>
          <w:p>
            <w:pPr>
              <w:widowControl/>
              <w:jc w:val="center"/>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eastAsia"/>
                <w:color w:val="000000"/>
                <w:kern w:val="0"/>
                <w:szCs w:val="21"/>
                <w:highlight w:val="none"/>
                <w:lang w:bidi="ar"/>
              </w:rPr>
            </w:pPr>
            <w:r>
              <w:rPr>
                <w:rFonts w:hint="eastAsia"/>
                <w:color w:val="000000"/>
                <w:kern w:val="0"/>
                <w:szCs w:val="21"/>
                <w:highlight w:val="none"/>
                <w:lang w:val="en-US" w:eastAsia="zh-CN" w:bidi="ar"/>
              </w:rPr>
              <w:t>7,500.00</w:t>
            </w:r>
          </w:p>
        </w:tc>
        <w:tc>
          <w:tcPr>
            <w:tcW w:w="1701" w:type="dxa"/>
            <w:shd w:val="clear" w:color="auto" w:fill="auto"/>
            <w:vAlign w:val="center"/>
          </w:tcPr>
          <w:p>
            <w:pPr>
              <w:widowControl/>
              <w:jc w:val="right"/>
              <w:textAlignment w:val="center"/>
              <w:rPr>
                <w:rFonts w:hint="eastAsia"/>
                <w:color w:val="000000"/>
                <w:kern w:val="0"/>
                <w:szCs w:val="21"/>
                <w:highlight w:val="none"/>
                <w:lang w:bidi="ar"/>
              </w:rPr>
            </w:pPr>
            <w:r>
              <w:rPr>
                <w:rFonts w:hint="eastAsia"/>
                <w:color w:val="000000"/>
                <w:kern w:val="0"/>
                <w:szCs w:val="21"/>
                <w:highlight w:val="none"/>
                <w:lang w:val="en-US" w:eastAsia="zh-CN" w:bidi="ar"/>
              </w:rPr>
              <w:t>7,500.00</w:t>
            </w:r>
          </w:p>
        </w:tc>
        <w:tc>
          <w:tcPr>
            <w:tcW w:w="1378" w:type="dxa"/>
            <w:shd w:val="clear" w:color="auto" w:fill="auto"/>
            <w:vAlign w:val="center"/>
          </w:tcPr>
          <w:p>
            <w:pPr>
              <w:widowControl/>
              <w:jc w:val="right"/>
              <w:textAlignment w:val="center"/>
              <w:rPr>
                <w:rFonts w:hint="default"/>
                <w:color w:val="000000"/>
                <w:kern w:val="0"/>
                <w:szCs w:val="21"/>
                <w:highlight w:val="none"/>
                <w:lang w:val="en-US" w:bidi="ar"/>
              </w:rPr>
            </w:pPr>
            <w:r>
              <w:rPr>
                <w:rFonts w:hint="eastAsia"/>
                <w:color w:val="000000"/>
                <w:kern w:val="0"/>
                <w:szCs w:val="21"/>
                <w:highlight w:val="none"/>
                <w:lang w:val="en-US" w:eastAsia="zh-CN" w:bidi="ar"/>
              </w:rPr>
              <w:t>61.15</w:t>
            </w:r>
          </w:p>
        </w:tc>
        <w:tc>
          <w:tcPr>
            <w:tcW w:w="1449" w:type="dxa"/>
            <w:vAlign w:val="center"/>
          </w:tcPr>
          <w:p>
            <w:pPr>
              <w:widowControl/>
              <w:jc w:val="right"/>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olor w:val="000000"/>
                <w:kern w:val="0"/>
                <w:szCs w:val="21"/>
                <w:highlight w:val="none"/>
                <w:lang w:val="en-US" w:eastAsia="zh-CN" w:bidi="ar"/>
              </w:rPr>
            </w:pPr>
            <w:r>
              <w:rPr>
                <w:rFonts w:hint="eastAsia" w:cs="Times New Roman"/>
                <w:color w:val="000000"/>
                <w:kern w:val="0"/>
                <w:sz w:val="21"/>
                <w:szCs w:val="21"/>
                <w:highlight w:val="none"/>
                <w:lang w:val="en-US" w:eastAsia="zh-CN" w:bidi="ar"/>
              </w:rPr>
              <w:t>10</w:t>
            </w:r>
          </w:p>
        </w:tc>
        <w:tc>
          <w:tcPr>
            <w:tcW w:w="1559" w:type="dxa"/>
            <w:shd w:val="clear" w:color="auto" w:fill="auto"/>
            <w:vAlign w:val="center"/>
          </w:tcPr>
          <w:p>
            <w:pPr>
              <w:widowControl/>
              <w:jc w:val="center"/>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7,000.00</w:t>
            </w:r>
          </w:p>
        </w:tc>
        <w:tc>
          <w:tcPr>
            <w:tcW w:w="1701" w:type="dxa"/>
            <w:shd w:val="clear" w:color="auto" w:fill="auto"/>
            <w:vAlign w:val="center"/>
          </w:tcPr>
          <w:p>
            <w:pPr>
              <w:widowControl/>
              <w:jc w:val="right"/>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7,000.00</w:t>
            </w:r>
          </w:p>
        </w:tc>
        <w:tc>
          <w:tcPr>
            <w:tcW w:w="1378" w:type="dxa"/>
            <w:shd w:val="clear" w:color="auto" w:fill="auto"/>
            <w:vAlign w:val="center"/>
          </w:tcPr>
          <w:p>
            <w:pPr>
              <w:widowControl/>
              <w:jc w:val="right"/>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69.21</w:t>
            </w:r>
          </w:p>
        </w:tc>
        <w:tc>
          <w:tcPr>
            <w:tcW w:w="1449" w:type="dxa"/>
            <w:vAlign w:val="center"/>
          </w:tcPr>
          <w:p>
            <w:pPr>
              <w:widowControl/>
              <w:jc w:val="right"/>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102"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s="Times New Roman"/>
                <w:color w:val="000000"/>
                <w:kern w:val="0"/>
                <w:sz w:val="21"/>
                <w:szCs w:val="21"/>
                <w:highlight w:val="none"/>
                <w:lang w:val="en-US" w:eastAsia="zh-CN" w:bidi="ar"/>
              </w:rPr>
              <w:t>11</w:t>
            </w:r>
          </w:p>
        </w:tc>
        <w:tc>
          <w:tcPr>
            <w:tcW w:w="1559" w:type="dxa"/>
            <w:shd w:val="clear" w:color="auto" w:fill="auto"/>
            <w:vAlign w:val="center"/>
          </w:tcPr>
          <w:p>
            <w:pPr>
              <w:widowControl/>
              <w:jc w:val="center"/>
              <w:textAlignment w:val="center"/>
              <w:rPr>
                <w:rFonts w:hint="eastAsia"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eastAsia"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8,000.00</w:t>
            </w:r>
          </w:p>
        </w:tc>
        <w:tc>
          <w:tcPr>
            <w:tcW w:w="1701" w:type="dxa"/>
            <w:shd w:val="clear" w:color="auto" w:fill="auto"/>
            <w:vAlign w:val="center"/>
          </w:tcPr>
          <w:p>
            <w:pPr>
              <w:widowControl/>
              <w:jc w:val="right"/>
              <w:textAlignment w:val="center"/>
              <w:rPr>
                <w:rFonts w:hint="eastAsia"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0.00</w:t>
            </w:r>
          </w:p>
        </w:tc>
        <w:tc>
          <w:tcPr>
            <w:tcW w:w="1378" w:type="dxa"/>
            <w:shd w:val="clear" w:color="auto" w:fill="auto"/>
            <w:vAlign w:val="center"/>
          </w:tcPr>
          <w:p>
            <w:pPr>
              <w:widowControl/>
              <w:jc w:val="right"/>
              <w:textAlignment w:val="center"/>
              <w:rPr>
                <w:rFonts w:hint="eastAsia"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0.00</w:t>
            </w:r>
          </w:p>
        </w:tc>
        <w:tc>
          <w:tcPr>
            <w:tcW w:w="1449" w:type="dxa"/>
            <w:vAlign w:val="center"/>
          </w:tcPr>
          <w:p>
            <w:pPr>
              <w:widowControl/>
              <w:jc w:val="right"/>
              <w:textAlignment w:val="center"/>
              <w:rPr>
                <w:rFonts w:hint="eastAsia"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8,000.00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000000"/>
                <w:kern w:val="0"/>
                <w:sz w:val="21"/>
                <w:szCs w:val="21"/>
                <w:highlight w:val="none"/>
                <w:lang w:val="en-US" w:eastAsia="zh-CN" w:bidi="ar"/>
              </w:rPr>
            </w:pPr>
            <w:r>
              <w:rPr>
                <w:rFonts w:hint="eastAsia" w:cs="Times New Roman"/>
                <w:color w:val="000000"/>
                <w:kern w:val="0"/>
                <w:sz w:val="21"/>
                <w:szCs w:val="21"/>
                <w:highlight w:val="none"/>
                <w:lang w:val="en-US" w:eastAsia="zh-CN" w:bidi="ar"/>
              </w:rPr>
              <w:t>12</w:t>
            </w:r>
          </w:p>
        </w:tc>
        <w:tc>
          <w:tcPr>
            <w:tcW w:w="1559" w:type="dxa"/>
            <w:shd w:val="clear" w:color="auto" w:fill="auto"/>
            <w:vAlign w:val="center"/>
          </w:tcPr>
          <w:p>
            <w:pPr>
              <w:widowControl/>
              <w:jc w:val="center"/>
              <w:textAlignment w:val="center"/>
              <w:rPr>
                <w:rFonts w:hint="eastAsia"/>
                <w:color w:val="000000"/>
                <w:kern w:val="0"/>
                <w:szCs w:val="21"/>
                <w:highlight w:val="none"/>
                <w:lang w:val="en-US" w:eastAsia="zh-CN" w:bidi="ar"/>
              </w:rPr>
            </w:pPr>
            <w:r>
              <w:rPr>
                <w:rFonts w:hint="eastAsia"/>
                <w:color w:val="000000"/>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7,500.00</w:t>
            </w:r>
          </w:p>
        </w:tc>
        <w:tc>
          <w:tcPr>
            <w:tcW w:w="1701" w:type="dxa"/>
            <w:shd w:val="clear" w:color="auto" w:fill="auto"/>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7,500.00</w:t>
            </w:r>
          </w:p>
        </w:tc>
        <w:tc>
          <w:tcPr>
            <w:tcW w:w="1378" w:type="dxa"/>
            <w:shd w:val="clear" w:color="auto" w:fill="auto"/>
            <w:vAlign w:val="center"/>
          </w:tcPr>
          <w:p>
            <w:pPr>
              <w:widowControl/>
              <w:jc w:val="right"/>
              <w:textAlignment w:val="center"/>
              <w:rPr>
                <w:rFonts w:hint="default"/>
                <w:color w:val="000000"/>
                <w:kern w:val="0"/>
                <w:szCs w:val="21"/>
                <w:highlight w:val="cyan"/>
                <w:lang w:val="en-US" w:eastAsia="zh-CN" w:bidi="ar"/>
              </w:rPr>
            </w:pPr>
            <w:r>
              <w:rPr>
                <w:rFonts w:hint="eastAsia"/>
                <w:color w:val="auto"/>
                <w:kern w:val="0"/>
                <w:szCs w:val="21"/>
                <w:highlight w:val="none"/>
                <w:lang w:val="en-US" w:eastAsia="zh-CN" w:bidi="ar"/>
              </w:rPr>
              <w:t>73.97</w:t>
            </w:r>
          </w:p>
        </w:tc>
        <w:tc>
          <w:tcPr>
            <w:tcW w:w="1449" w:type="dxa"/>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000000"/>
                <w:kern w:val="0"/>
                <w:sz w:val="21"/>
                <w:szCs w:val="21"/>
                <w:highlight w:val="none"/>
                <w:lang w:val="en-US" w:eastAsia="zh-CN" w:bidi="ar"/>
              </w:rPr>
            </w:pPr>
            <w:r>
              <w:rPr>
                <w:rFonts w:hint="eastAsia" w:cs="Times New Roman"/>
                <w:color w:val="000000"/>
                <w:kern w:val="0"/>
                <w:sz w:val="21"/>
                <w:szCs w:val="21"/>
                <w:highlight w:val="none"/>
                <w:lang w:val="en-US" w:eastAsia="zh-CN" w:bidi="ar"/>
              </w:rPr>
              <w:t>13</w:t>
            </w:r>
          </w:p>
        </w:tc>
        <w:tc>
          <w:tcPr>
            <w:tcW w:w="1559" w:type="dxa"/>
            <w:shd w:val="clear" w:color="auto" w:fill="auto"/>
            <w:vAlign w:val="center"/>
          </w:tcPr>
          <w:p>
            <w:pPr>
              <w:widowControl/>
              <w:jc w:val="center"/>
              <w:textAlignment w:val="center"/>
              <w:rPr>
                <w:rFonts w:hint="eastAsia"/>
                <w:color w:val="000000"/>
                <w:kern w:val="0"/>
                <w:szCs w:val="21"/>
                <w:highlight w:val="yellow"/>
                <w:lang w:val="en-US" w:eastAsia="zh-CN" w:bidi="ar"/>
              </w:rPr>
            </w:pPr>
            <w:r>
              <w:rPr>
                <w:rFonts w:hint="eastAsia" w:cs="Times New Roman"/>
                <w:color w:val="000000"/>
                <w:kern w:val="0"/>
                <w:sz w:val="21"/>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default"/>
                <w:color w:val="000000"/>
                <w:kern w:val="0"/>
                <w:szCs w:val="21"/>
                <w:highlight w:val="yellow"/>
                <w:lang w:val="en-US" w:eastAsia="zh-CN" w:bidi="ar"/>
              </w:rPr>
            </w:pPr>
            <w:r>
              <w:rPr>
                <w:rFonts w:hint="eastAsia"/>
                <w:color w:val="000000"/>
                <w:kern w:val="0"/>
                <w:szCs w:val="21"/>
                <w:highlight w:val="none"/>
                <w:lang w:val="en-US" w:eastAsia="zh-CN" w:bidi="ar"/>
              </w:rPr>
              <w:t>3,000.00</w:t>
            </w:r>
          </w:p>
        </w:tc>
        <w:tc>
          <w:tcPr>
            <w:tcW w:w="1701" w:type="dxa"/>
            <w:shd w:val="clear" w:color="auto" w:fill="auto"/>
            <w:vAlign w:val="center"/>
          </w:tcPr>
          <w:p>
            <w:pPr>
              <w:widowControl/>
              <w:jc w:val="right"/>
              <w:textAlignment w:val="center"/>
              <w:rPr>
                <w:rFonts w:hint="default"/>
                <w:color w:val="000000"/>
                <w:kern w:val="0"/>
                <w:szCs w:val="21"/>
                <w:highlight w:val="yellow"/>
                <w:lang w:val="en-US" w:eastAsia="zh-CN" w:bidi="ar"/>
              </w:rPr>
            </w:pPr>
            <w:r>
              <w:rPr>
                <w:rFonts w:hint="eastAsia"/>
                <w:color w:val="000000"/>
                <w:kern w:val="0"/>
                <w:szCs w:val="21"/>
                <w:highlight w:val="none"/>
                <w:lang w:val="en-US" w:eastAsia="zh-CN" w:bidi="ar"/>
              </w:rPr>
              <w:t>3,000.00</w:t>
            </w:r>
          </w:p>
        </w:tc>
        <w:tc>
          <w:tcPr>
            <w:tcW w:w="1378" w:type="dxa"/>
            <w:shd w:val="clear" w:color="auto" w:fill="auto"/>
            <w:vAlign w:val="center"/>
          </w:tcPr>
          <w:p>
            <w:pPr>
              <w:widowControl/>
              <w:jc w:val="right"/>
              <w:textAlignment w:val="center"/>
              <w:rPr>
                <w:rFonts w:hint="default"/>
                <w:color w:val="000000"/>
                <w:kern w:val="0"/>
                <w:szCs w:val="21"/>
                <w:highlight w:val="yellow"/>
                <w:lang w:val="en-US" w:eastAsia="zh-CN" w:bidi="ar"/>
              </w:rPr>
            </w:pPr>
            <w:r>
              <w:rPr>
                <w:rFonts w:hint="eastAsia"/>
                <w:color w:val="000000"/>
                <w:kern w:val="0"/>
                <w:szCs w:val="21"/>
                <w:highlight w:val="none"/>
                <w:lang w:val="en-US" w:eastAsia="zh-CN" w:bidi="ar"/>
              </w:rPr>
              <w:t>21.80</w:t>
            </w:r>
          </w:p>
        </w:tc>
        <w:tc>
          <w:tcPr>
            <w:tcW w:w="1449" w:type="dxa"/>
            <w:vAlign w:val="center"/>
          </w:tcPr>
          <w:p>
            <w:pPr>
              <w:widowControl/>
              <w:jc w:val="right"/>
              <w:textAlignment w:val="center"/>
              <w:rPr>
                <w:rFonts w:hint="default"/>
                <w:color w:val="000000"/>
                <w:kern w:val="0"/>
                <w:szCs w:val="21"/>
                <w:highlight w:val="yellow"/>
                <w:lang w:val="en-US" w:eastAsia="zh-CN"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000000"/>
                <w:kern w:val="0"/>
                <w:sz w:val="21"/>
                <w:szCs w:val="21"/>
                <w:highlight w:val="none"/>
                <w:lang w:val="en-US" w:eastAsia="zh-CN" w:bidi="ar"/>
              </w:rPr>
            </w:pPr>
            <w:r>
              <w:rPr>
                <w:rFonts w:hint="eastAsia" w:cs="Times New Roman"/>
                <w:color w:val="000000"/>
                <w:kern w:val="0"/>
                <w:sz w:val="21"/>
                <w:szCs w:val="21"/>
                <w:highlight w:val="none"/>
                <w:lang w:val="en-US" w:eastAsia="zh-CN" w:bidi="ar"/>
              </w:rPr>
              <w:t>14</w:t>
            </w:r>
          </w:p>
        </w:tc>
        <w:tc>
          <w:tcPr>
            <w:tcW w:w="1559" w:type="dxa"/>
            <w:shd w:val="clear" w:color="auto" w:fill="auto"/>
            <w:vAlign w:val="center"/>
          </w:tcPr>
          <w:p>
            <w:pPr>
              <w:widowControl/>
              <w:jc w:val="center"/>
              <w:textAlignment w:val="center"/>
              <w:rPr>
                <w:rFonts w:hint="eastAsia"/>
                <w:color w:val="000000"/>
                <w:kern w:val="0"/>
                <w:szCs w:val="21"/>
                <w:highlight w:val="yellow"/>
                <w:lang w:val="en-US" w:eastAsia="zh-CN" w:bidi="ar"/>
              </w:rPr>
            </w:pPr>
            <w:r>
              <w:rPr>
                <w:rFonts w:hint="eastAsia"/>
                <w:color w:val="000000"/>
                <w:kern w:val="0"/>
                <w:szCs w:val="21"/>
                <w:highlight w:val="none"/>
                <w:lang w:val="en-US" w:eastAsia="zh-CN" w:bidi="ar"/>
              </w:rPr>
              <w:t>银行理财产品</w:t>
            </w:r>
          </w:p>
        </w:tc>
        <w:tc>
          <w:tcPr>
            <w:tcW w:w="1560" w:type="dxa"/>
            <w:shd w:val="clear" w:color="auto" w:fill="auto"/>
            <w:vAlign w:val="center"/>
          </w:tcPr>
          <w:p>
            <w:pPr>
              <w:widowControl/>
              <w:jc w:val="right"/>
              <w:textAlignment w:val="center"/>
              <w:rPr>
                <w:rFonts w:hint="default"/>
                <w:color w:val="000000"/>
                <w:kern w:val="0"/>
                <w:szCs w:val="21"/>
                <w:highlight w:val="yellow"/>
                <w:lang w:val="en-US" w:eastAsia="zh-CN" w:bidi="ar"/>
              </w:rPr>
            </w:pPr>
            <w:r>
              <w:rPr>
                <w:rFonts w:hint="eastAsia"/>
                <w:color w:val="000000"/>
                <w:kern w:val="0"/>
                <w:szCs w:val="21"/>
                <w:highlight w:val="none"/>
                <w:lang w:val="en-US" w:eastAsia="zh-CN" w:bidi="ar"/>
              </w:rPr>
              <w:t>4,000.00</w:t>
            </w:r>
          </w:p>
        </w:tc>
        <w:tc>
          <w:tcPr>
            <w:tcW w:w="1701" w:type="dxa"/>
            <w:shd w:val="clear" w:color="auto" w:fill="auto"/>
            <w:vAlign w:val="center"/>
          </w:tcPr>
          <w:p>
            <w:pPr>
              <w:widowControl/>
              <w:jc w:val="right"/>
              <w:textAlignment w:val="center"/>
              <w:rPr>
                <w:rFonts w:hint="default"/>
                <w:color w:val="000000"/>
                <w:kern w:val="0"/>
                <w:szCs w:val="21"/>
                <w:highlight w:val="yellow"/>
                <w:lang w:val="en-US" w:eastAsia="zh-CN" w:bidi="ar"/>
              </w:rPr>
            </w:pPr>
            <w:r>
              <w:rPr>
                <w:rFonts w:hint="eastAsia"/>
                <w:color w:val="000000"/>
                <w:kern w:val="0"/>
                <w:szCs w:val="21"/>
                <w:highlight w:val="none"/>
                <w:lang w:val="en-US" w:eastAsia="zh-CN" w:bidi="ar"/>
              </w:rPr>
              <w:t>4,000.00</w:t>
            </w:r>
          </w:p>
        </w:tc>
        <w:tc>
          <w:tcPr>
            <w:tcW w:w="1378" w:type="dxa"/>
            <w:shd w:val="clear" w:color="auto" w:fill="auto"/>
            <w:vAlign w:val="center"/>
          </w:tcPr>
          <w:p>
            <w:pPr>
              <w:widowControl/>
              <w:jc w:val="right"/>
              <w:textAlignment w:val="center"/>
              <w:rPr>
                <w:rFonts w:hint="default"/>
                <w:color w:val="000000"/>
                <w:kern w:val="0"/>
                <w:szCs w:val="21"/>
                <w:highlight w:val="yellow"/>
                <w:lang w:val="en-US" w:eastAsia="zh-CN" w:bidi="ar"/>
              </w:rPr>
            </w:pPr>
            <w:r>
              <w:rPr>
                <w:rFonts w:hint="eastAsia"/>
                <w:color w:val="000000"/>
                <w:kern w:val="0"/>
                <w:szCs w:val="21"/>
                <w:highlight w:val="none"/>
                <w:lang w:val="en-US" w:eastAsia="zh-CN" w:bidi="ar"/>
              </w:rPr>
              <w:t>32.79</w:t>
            </w:r>
          </w:p>
        </w:tc>
        <w:tc>
          <w:tcPr>
            <w:tcW w:w="1449" w:type="dxa"/>
            <w:vAlign w:val="center"/>
          </w:tcPr>
          <w:p>
            <w:pPr>
              <w:widowControl/>
              <w:jc w:val="right"/>
              <w:textAlignment w:val="center"/>
              <w:rPr>
                <w:rFonts w:hint="default"/>
                <w:color w:val="000000"/>
                <w:kern w:val="0"/>
                <w:szCs w:val="21"/>
                <w:highlight w:val="yellow"/>
                <w:lang w:val="en-US" w:eastAsia="zh-CN"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15</w:t>
            </w:r>
          </w:p>
        </w:tc>
        <w:tc>
          <w:tcPr>
            <w:tcW w:w="1559" w:type="dxa"/>
            <w:shd w:val="clear" w:color="auto" w:fill="auto"/>
            <w:vAlign w:val="center"/>
          </w:tcPr>
          <w:p>
            <w:pPr>
              <w:widowControl/>
              <w:jc w:val="center"/>
              <w:textAlignment w:val="center"/>
              <w:rPr>
                <w:rFonts w:hint="eastAsia" w:eastAsia="宋体"/>
                <w:color w:val="auto"/>
                <w:kern w:val="0"/>
                <w:szCs w:val="21"/>
                <w:highlight w:val="none"/>
                <w:lang w:val="en-US" w:eastAsia="zh-CN" w:bidi="ar"/>
              </w:rPr>
            </w:pPr>
            <w:r>
              <w:rPr>
                <w:rFonts w:hint="eastAsia"/>
                <w:color w:val="auto"/>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7,000.00</w:t>
            </w:r>
          </w:p>
        </w:tc>
        <w:tc>
          <w:tcPr>
            <w:tcW w:w="1701" w:type="dxa"/>
            <w:shd w:val="clear" w:color="auto" w:fill="auto"/>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0.00</w:t>
            </w:r>
          </w:p>
        </w:tc>
        <w:tc>
          <w:tcPr>
            <w:tcW w:w="1378" w:type="dxa"/>
            <w:shd w:val="clear" w:color="auto" w:fill="auto"/>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0.00</w:t>
            </w:r>
          </w:p>
        </w:tc>
        <w:tc>
          <w:tcPr>
            <w:tcW w:w="1449" w:type="dxa"/>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7,000.00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16</w:t>
            </w:r>
          </w:p>
        </w:tc>
        <w:tc>
          <w:tcPr>
            <w:tcW w:w="1559" w:type="dxa"/>
            <w:shd w:val="clear" w:color="auto" w:fill="auto"/>
            <w:vAlign w:val="center"/>
          </w:tcPr>
          <w:p>
            <w:pPr>
              <w:widowControl/>
              <w:jc w:val="center"/>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20,000.00</w:t>
            </w:r>
          </w:p>
        </w:tc>
        <w:tc>
          <w:tcPr>
            <w:tcW w:w="1701" w:type="dxa"/>
            <w:shd w:val="clear" w:color="auto" w:fill="auto"/>
            <w:vAlign w:val="center"/>
          </w:tcPr>
          <w:p>
            <w:pPr>
              <w:widowControl/>
              <w:jc w:val="right"/>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0.00</w:t>
            </w:r>
          </w:p>
        </w:tc>
        <w:tc>
          <w:tcPr>
            <w:tcW w:w="1378" w:type="dxa"/>
            <w:shd w:val="clear" w:color="auto" w:fill="auto"/>
            <w:vAlign w:val="center"/>
          </w:tcPr>
          <w:p>
            <w:pPr>
              <w:widowControl/>
              <w:jc w:val="right"/>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0.00</w:t>
            </w:r>
          </w:p>
        </w:tc>
        <w:tc>
          <w:tcPr>
            <w:tcW w:w="1449" w:type="dxa"/>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20,000.00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17</w:t>
            </w:r>
          </w:p>
        </w:tc>
        <w:tc>
          <w:tcPr>
            <w:tcW w:w="1559" w:type="dxa"/>
            <w:shd w:val="clear" w:color="auto" w:fill="auto"/>
            <w:vAlign w:val="center"/>
          </w:tcPr>
          <w:p>
            <w:pPr>
              <w:widowControl/>
              <w:jc w:val="center"/>
              <w:textAlignment w:val="center"/>
              <w:rPr>
                <w:rFonts w:hint="eastAsia"/>
                <w:color w:val="auto"/>
                <w:kern w:val="0"/>
                <w:szCs w:val="21"/>
                <w:highlight w:val="none"/>
                <w:lang w:val="en-US" w:eastAsia="zh-CN" w:bidi="ar"/>
              </w:rPr>
            </w:pPr>
            <w:r>
              <w:rPr>
                <w:rFonts w:hint="eastAsia"/>
                <w:color w:val="auto"/>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7,000.00</w:t>
            </w:r>
          </w:p>
        </w:tc>
        <w:tc>
          <w:tcPr>
            <w:tcW w:w="1701" w:type="dxa"/>
            <w:shd w:val="clear" w:color="auto" w:fill="auto"/>
            <w:vAlign w:val="center"/>
          </w:tcPr>
          <w:p>
            <w:pPr>
              <w:widowControl/>
              <w:jc w:val="right"/>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0.00</w:t>
            </w:r>
          </w:p>
        </w:tc>
        <w:tc>
          <w:tcPr>
            <w:tcW w:w="1378" w:type="dxa"/>
            <w:shd w:val="clear" w:color="auto" w:fill="auto"/>
            <w:vAlign w:val="center"/>
          </w:tcPr>
          <w:p>
            <w:pPr>
              <w:widowControl/>
              <w:jc w:val="right"/>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0.00</w:t>
            </w:r>
          </w:p>
        </w:tc>
        <w:tc>
          <w:tcPr>
            <w:tcW w:w="1449" w:type="dxa"/>
            <w:vAlign w:val="center"/>
          </w:tcPr>
          <w:p>
            <w:pPr>
              <w:widowControl/>
              <w:jc w:val="right"/>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7,000.00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19" w:type="dxa"/>
            <w:gridSpan w:val="2"/>
            <w:tcBorders>
              <w:bottom w:val="thinThickSmallGap" w:color="auto" w:sz="24" w:space="0"/>
            </w:tcBorders>
            <w:shd w:val="clear" w:color="auto" w:fill="auto"/>
            <w:noWrap/>
            <w:vAlign w:val="center"/>
          </w:tcPr>
          <w:p>
            <w:pPr>
              <w:widowControl/>
              <w:jc w:val="center"/>
              <w:textAlignment w:val="center"/>
              <w:rPr>
                <w:b/>
                <w:bCs/>
                <w:color w:val="000000"/>
                <w:kern w:val="0"/>
                <w:szCs w:val="21"/>
                <w:highlight w:val="none"/>
                <w:lang w:bidi="ar"/>
              </w:rPr>
            </w:pPr>
            <w:r>
              <w:rPr>
                <w:b/>
                <w:bCs/>
                <w:color w:val="000000"/>
                <w:kern w:val="0"/>
                <w:szCs w:val="21"/>
                <w:highlight w:val="none"/>
                <w:lang w:bidi="ar"/>
              </w:rPr>
              <w:t>合计</w:t>
            </w:r>
          </w:p>
        </w:tc>
        <w:tc>
          <w:tcPr>
            <w:tcW w:w="1560" w:type="dxa"/>
            <w:tcBorders>
              <w:bottom w:val="thinThickSmallGap" w:color="auto" w:sz="24" w:space="0"/>
            </w:tcBorders>
            <w:shd w:val="clear" w:color="auto" w:fill="auto"/>
            <w:vAlign w:val="center"/>
          </w:tcPr>
          <w:p>
            <w:pPr>
              <w:widowControl/>
              <w:jc w:val="right"/>
              <w:textAlignment w:val="center"/>
              <w:rPr>
                <w:b/>
                <w:bCs/>
                <w:color w:val="000000"/>
                <w:kern w:val="0"/>
                <w:szCs w:val="21"/>
                <w:highlight w:val="none"/>
                <w:lang w:bidi="ar"/>
              </w:rPr>
            </w:pPr>
            <w:r>
              <w:rPr>
                <w:rFonts w:hint="eastAsia"/>
                <w:b/>
                <w:bCs/>
                <w:color w:val="000000"/>
                <w:kern w:val="0"/>
                <w:sz w:val="21"/>
                <w:szCs w:val="21"/>
                <w:highlight w:val="none"/>
                <w:lang w:val="en-US" w:eastAsia="zh-CN" w:bidi="ar"/>
              </w:rPr>
              <w:t>124,800.0</w:t>
            </w:r>
            <w:r>
              <w:rPr>
                <w:rFonts w:hint="eastAsia"/>
                <w:b/>
                <w:bCs/>
                <w:color w:val="000000"/>
                <w:kern w:val="0"/>
                <w:szCs w:val="21"/>
                <w:highlight w:val="none"/>
                <w:lang w:bidi="ar"/>
              </w:rPr>
              <w:t>0</w:t>
            </w:r>
          </w:p>
        </w:tc>
        <w:tc>
          <w:tcPr>
            <w:tcW w:w="1701" w:type="dxa"/>
            <w:tcBorders>
              <w:bottom w:val="thinThickSmallGap" w:color="auto" w:sz="24" w:space="0"/>
            </w:tcBorders>
            <w:shd w:val="clear" w:color="auto" w:fill="auto"/>
            <w:vAlign w:val="center"/>
          </w:tcPr>
          <w:p>
            <w:pPr>
              <w:widowControl/>
              <w:jc w:val="right"/>
              <w:textAlignment w:val="center"/>
              <w:rPr>
                <w:rFonts w:hint="default"/>
                <w:b/>
                <w:bCs/>
                <w:color w:val="000000"/>
                <w:kern w:val="0"/>
                <w:szCs w:val="21"/>
                <w:highlight w:val="none"/>
                <w:lang w:val="en-US" w:bidi="ar"/>
              </w:rPr>
            </w:pPr>
            <w:r>
              <w:rPr>
                <w:rFonts w:hint="eastAsia"/>
                <w:b/>
                <w:bCs/>
                <w:color w:val="000000"/>
                <w:kern w:val="0"/>
                <w:sz w:val="21"/>
                <w:szCs w:val="21"/>
                <w:highlight w:val="none"/>
                <w:lang w:val="en-US" w:eastAsia="zh-CN" w:bidi="ar"/>
              </w:rPr>
              <w:t>82,800.00</w:t>
            </w:r>
          </w:p>
        </w:tc>
        <w:tc>
          <w:tcPr>
            <w:tcW w:w="1378" w:type="dxa"/>
            <w:tcBorders>
              <w:bottom w:val="thinThickSmallGap" w:color="auto" w:sz="24" w:space="0"/>
            </w:tcBorders>
            <w:shd w:val="clear" w:color="auto" w:fill="auto"/>
            <w:vAlign w:val="center"/>
          </w:tcPr>
          <w:p>
            <w:pPr>
              <w:widowControl/>
              <w:jc w:val="right"/>
              <w:textAlignment w:val="center"/>
              <w:rPr>
                <w:rFonts w:hint="default"/>
                <w:b/>
                <w:bCs/>
                <w:color w:val="000000"/>
                <w:kern w:val="0"/>
                <w:szCs w:val="21"/>
                <w:highlight w:val="none"/>
                <w:lang w:val="en-US" w:bidi="ar"/>
              </w:rPr>
            </w:pPr>
            <w:r>
              <w:rPr>
                <w:rFonts w:hint="eastAsia"/>
                <w:b/>
                <w:bCs/>
                <w:color w:val="000000"/>
                <w:kern w:val="0"/>
                <w:sz w:val="21"/>
                <w:szCs w:val="21"/>
                <w:highlight w:val="none"/>
                <w:lang w:val="en-US" w:eastAsia="zh-CN" w:bidi="ar"/>
              </w:rPr>
              <w:t>1,520.22</w:t>
            </w:r>
          </w:p>
        </w:tc>
        <w:tc>
          <w:tcPr>
            <w:tcW w:w="1449" w:type="dxa"/>
            <w:tcBorders>
              <w:bottom w:val="thinThickSmallGap" w:color="auto" w:sz="24" w:space="0"/>
            </w:tcBorders>
            <w:vAlign w:val="top"/>
          </w:tcPr>
          <w:p>
            <w:pPr>
              <w:widowControl/>
              <w:jc w:val="right"/>
              <w:textAlignment w:val="center"/>
              <w:rPr>
                <w:b/>
                <w:bCs/>
                <w:color w:val="000000"/>
                <w:kern w:val="0"/>
                <w:szCs w:val="21"/>
                <w:highlight w:val="none"/>
                <w:lang w:bidi="ar"/>
              </w:rPr>
            </w:pPr>
            <w:r>
              <w:rPr>
                <w:rFonts w:hint="eastAsia"/>
                <w:b/>
                <w:bCs/>
                <w:color w:val="000000"/>
                <w:kern w:val="0"/>
                <w:sz w:val="21"/>
                <w:szCs w:val="21"/>
                <w:highlight w:val="none"/>
                <w:lang w:val="en-US" w:eastAsia="zh-CN" w:bidi="ar"/>
              </w:rPr>
              <w:t>42</w:t>
            </w:r>
            <w:r>
              <w:rPr>
                <w:b/>
                <w:bCs/>
                <w:color w:val="000000"/>
                <w:kern w:val="0"/>
                <w:sz w:val="21"/>
                <w:szCs w:val="21"/>
                <w:highlight w:val="none"/>
                <w:lang w:bidi="ar"/>
              </w:rPr>
              <w:t>,</w:t>
            </w:r>
            <w:r>
              <w:rPr>
                <w:rFonts w:hint="eastAsia"/>
                <w:b/>
                <w:bCs/>
                <w:color w:val="000000"/>
                <w:kern w:val="0"/>
                <w:sz w:val="21"/>
                <w:szCs w:val="21"/>
                <w:highlight w:val="none"/>
                <w:lang w:val="en-US" w:eastAsia="zh-CN" w:bidi="ar"/>
              </w:rPr>
              <w:t>00</w:t>
            </w:r>
            <w:r>
              <w:rPr>
                <w:b/>
                <w:bCs/>
                <w:color w:val="000000"/>
                <w:kern w:val="0"/>
                <w:sz w:val="21"/>
                <w:szCs w:val="21"/>
                <w:highlight w:val="none"/>
                <w:lang w:bidi="ar"/>
              </w:rPr>
              <w:t>0</w:t>
            </w:r>
            <w:r>
              <w:rPr>
                <w:rFonts w:hint="eastAsia"/>
                <w:b/>
                <w:bCs/>
                <w:color w:val="000000"/>
                <w:kern w:val="0"/>
                <w:szCs w:val="21"/>
                <w:highlight w:val="none"/>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tcBorders>
              <w:top w:val="thinThickSmallGap" w:color="auto" w:sz="24" w:space="0"/>
              <w:bottom w:val="single" w:color="auto" w:sz="4" w:space="0"/>
            </w:tcBorders>
            <w:shd w:val="clear" w:color="auto" w:fill="auto"/>
            <w:vAlign w:val="center"/>
          </w:tcPr>
          <w:p>
            <w:pPr>
              <w:widowControl/>
              <w:jc w:val="center"/>
              <w:textAlignment w:val="center"/>
              <w:rPr>
                <w:color w:val="000000"/>
                <w:kern w:val="0"/>
                <w:szCs w:val="21"/>
                <w:highlight w:val="green"/>
                <w:lang w:bidi="ar"/>
              </w:rPr>
            </w:pPr>
            <w:r>
              <w:rPr>
                <w:color w:val="000000"/>
                <w:kern w:val="0"/>
                <w:szCs w:val="21"/>
                <w:highlight w:val="none"/>
                <w:lang w:bidi="ar"/>
              </w:rPr>
              <w:t>最近12个月内单日最高投入金额</w:t>
            </w:r>
          </w:p>
        </w:tc>
        <w:tc>
          <w:tcPr>
            <w:tcW w:w="2827" w:type="dxa"/>
            <w:gridSpan w:val="2"/>
            <w:tcBorders>
              <w:top w:val="thinThickSmallGap" w:color="auto" w:sz="24" w:space="0"/>
              <w:bottom w:val="single" w:color="auto" w:sz="4" w:space="0"/>
            </w:tcBorders>
            <w:shd w:val="clear" w:color="auto" w:fill="auto"/>
            <w:vAlign w:val="center"/>
          </w:tcPr>
          <w:p>
            <w:pPr>
              <w:widowControl/>
              <w:jc w:val="right"/>
              <w:textAlignment w:val="center"/>
              <w:rPr>
                <w:color w:val="000000"/>
                <w:kern w:val="0"/>
                <w:szCs w:val="21"/>
                <w:highlight w:val="green"/>
                <w:lang w:bidi="ar"/>
              </w:rPr>
            </w:pPr>
            <w:r>
              <w:rPr>
                <w:rFonts w:hint="eastAsia"/>
                <w:color w:val="000000"/>
                <w:kern w:val="0"/>
                <w:szCs w:val="21"/>
                <w:highlight w:val="none"/>
                <w:lang w:bidi="ar"/>
              </w:rPr>
              <w:t>42</w:t>
            </w:r>
            <w:r>
              <w:rPr>
                <w:color w:val="000000"/>
                <w:kern w:val="0"/>
                <w:szCs w:val="21"/>
                <w:highlight w:val="none"/>
                <w:lang w:bidi="ar"/>
              </w:rPr>
              <w:t>,</w:t>
            </w:r>
            <w:r>
              <w:rPr>
                <w:rFonts w:hint="eastAsia"/>
                <w:color w:val="000000"/>
                <w:kern w:val="0"/>
                <w:szCs w:val="21"/>
                <w:highlight w:val="none"/>
                <w:lang w:val="en-US" w:eastAsia="zh-CN" w:bidi="ar"/>
              </w:rPr>
              <w:t>8</w:t>
            </w:r>
            <w:r>
              <w:rPr>
                <w:color w:val="000000"/>
                <w:kern w:val="0"/>
                <w:szCs w:val="21"/>
                <w:highlight w:val="none"/>
                <w:lang w:bidi="ar"/>
              </w:rPr>
              <w:t>00</w:t>
            </w:r>
            <w:r>
              <w:rPr>
                <w:rFonts w:hint="eastAsia"/>
                <w:color w:val="000000"/>
                <w:kern w:val="0"/>
                <w:szCs w:val="21"/>
                <w:highlight w:val="none"/>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tcBorders>
              <w:top w:val="single" w:color="auto" w:sz="4" w:space="0"/>
            </w:tcBorders>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最近12个月内单日最高投入金额/最近一年净资产（%）</w:t>
            </w:r>
          </w:p>
        </w:tc>
        <w:tc>
          <w:tcPr>
            <w:tcW w:w="2827" w:type="dxa"/>
            <w:gridSpan w:val="2"/>
            <w:tcBorders>
              <w:top w:val="single" w:color="auto" w:sz="4" w:space="0"/>
            </w:tcBorders>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32.18</w:t>
            </w:r>
            <w:r>
              <w:rPr>
                <w:rFonts w:hint="eastAsia"/>
                <w:color w:val="000000"/>
                <w:kern w:val="0"/>
                <w:szCs w:val="21"/>
                <w:highlight w:val="none"/>
                <w:lang w:bidi="ar"/>
              </w:rPr>
              <w:t>%</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jc w:val="center"/>
              <w:textAlignment w:val="center"/>
              <w:rPr>
                <w:color w:val="000000"/>
                <w:kern w:val="0"/>
                <w:szCs w:val="21"/>
                <w:highlight w:val="green"/>
                <w:lang w:bidi="ar"/>
              </w:rPr>
            </w:pPr>
            <w:r>
              <w:rPr>
                <w:color w:val="000000"/>
                <w:kern w:val="0"/>
                <w:szCs w:val="21"/>
                <w:highlight w:val="none"/>
                <w:lang w:bidi="ar"/>
              </w:rPr>
              <w:t>最近12个月委托理财累计收益/最近一年净利润（%）</w:t>
            </w:r>
          </w:p>
        </w:tc>
        <w:tc>
          <w:tcPr>
            <w:tcW w:w="2827" w:type="dxa"/>
            <w:gridSpan w:val="2"/>
            <w:shd w:val="clear" w:color="auto" w:fill="auto"/>
            <w:vAlign w:val="center"/>
          </w:tcPr>
          <w:p>
            <w:pPr>
              <w:widowControl/>
              <w:jc w:val="right"/>
              <w:textAlignment w:val="center"/>
              <w:rPr>
                <w:rFonts w:hint="default" w:eastAsia="宋体"/>
                <w:color w:val="000000"/>
                <w:kern w:val="0"/>
                <w:szCs w:val="21"/>
                <w:highlight w:val="green"/>
                <w:lang w:val="en-US" w:eastAsia="zh-CN" w:bidi="ar"/>
              </w:rPr>
            </w:pPr>
            <w:r>
              <w:rPr>
                <w:rFonts w:hint="eastAsia"/>
                <w:color w:val="000000"/>
                <w:kern w:val="0"/>
                <w:szCs w:val="21"/>
                <w:highlight w:val="none"/>
                <w:lang w:val="en-US" w:eastAsia="zh-CN" w:bidi="ar"/>
              </w:rPr>
              <w:t>26.71%</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目前已使用的理财额度</w:t>
            </w:r>
          </w:p>
        </w:tc>
        <w:tc>
          <w:tcPr>
            <w:tcW w:w="2827" w:type="dxa"/>
            <w:gridSpan w:val="2"/>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42</w:t>
            </w:r>
            <w:r>
              <w:rPr>
                <w:color w:val="000000"/>
                <w:kern w:val="0"/>
                <w:szCs w:val="21"/>
                <w:highlight w:val="none"/>
                <w:lang w:bidi="ar"/>
              </w:rPr>
              <w:t>,</w:t>
            </w:r>
            <w:r>
              <w:rPr>
                <w:rFonts w:hint="eastAsia"/>
                <w:color w:val="000000"/>
                <w:kern w:val="0"/>
                <w:szCs w:val="21"/>
                <w:highlight w:val="none"/>
                <w:lang w:val="en-US" w:eastAsia="zh-CN" w:bidi="ar"/>
              </w:rPr>
              <w:t>0</w:t>
            </w:r>
            <w:r>
              <w:rPr>
                <w:color w:val="000000"/>
                <w:kern w:val="0"/>
                <w:szCs w:val="21"/>
                <w:highlight w:val="none"/>
                <w:lang w:bidi="ar"/>
              </w:rPr>
              <w:t>00</w:t>
            </w:r>
            <w:r>
              <w:rPr>
                <w:rFonts w:hint="eastAsia"/>
                <w:color w:val="000000"/>
                <w:kern w:val="0"/>
                <w:szCs w:val="21"/>
                <w:highlight w:val="none"/>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尚未使用的理财额度</w:t>
            </w:r>
          </w:p>
        </w:tc>
        <w:tc>
          <w:tcPr>
            <w:tcW w:w="2827" w:type="dxa"/>
            <w:gridSpan w:val="2"/>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28,0</w:t>
            </w:r>
            <w:r>
              <w:rPr>
                <w:color w:val="000000"/>
                <w:kern w:val="0"/>
                <w:szCs w:val="21"/>
                <w:highlight w:val="none"/>
                <w:lang w:bidi="ar"/>
              </w:rPr>
              <w:t>00</w:t>
            </w:r>
            <w:r>
              <w:rPr>
                <w:rFonts w:hint="eastAsia"/>
                <w:color w:val="000000"/>
                <w:kern w:val="0"/>
                <w:szCs w:val="21"/>
                <w:highlight w:val="none"/>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总理财额度</w:t>
            </w:r>
          </w:p>
        </w:tc>
        <w:tc>
          <w:tcPr>
            <w:tcW w:w="2827" w:type="dxa"/>
            <w:gridSpan w:val="2"/>
            <w:shd w:val="clear" w:color="auto" w:fill="auto"/>
            <w:vAlign w:val="center"/>
          </w:tcPr>
          <w:p>
            <w:pPr>
              <w:widowControl/>
              <w:jc w:val="right"/>
              <w:textAlignment w:val="center"/>
              <w:rPr>
                <w:color w:val="000000"/>
                <w:kern w:val="0"/>
                <w:szCs w:val="21"/>
                <w:highlight w:val="none"/>
                <w:lang w:bidi="ar"/>
              </w:rPr>
            </w:pPr>
            <w:r>
              <w:rPr>
                <w:color w:val="000000"/>
                <w:kern w:val="0"/>
                <w:szCs w:val="21"/>
                <w:highlight w:val="none"/>
                <w:lang w:bidi="ar"/>
              </w:rPr>
              <w:t>70,000</w:t>
            </w:r>
            <w:r>
              <w:rPr>
                <w:rFonts w:hint="eastAsia"/>
                <w:color w:val="000000"/>
                <w:kern w:val="0"/>
                <w:szCs w:val="21"/>
                <w:highlight w:val="none"/>
                <w:lang w:bidi="ar"/>
              </w:rPr>
              <w:t>.00</w:t>
            </w:r>
          </w:p>
        </w:tc>
      </w:tr>
    </w:tbl>
    <w:p>
      <w:pPr>
        <w:keepNext w:val="0"/>
        <w:keepLines w:val="0"/>
        <w:pageBreakBefore w:val="0"/>
        <w:widowControl/>
        <w:kinsoku/>
        <w:wordWrap/>
        <w:overflowPunct/>
        <w:topLinePunct w:val="0"/>
        <w:autoSpaceDE/>
        <w:autoSpaceDN/>
        <w:bidi w:val="0"/>
        <w:adjustRightInd/>
        <w:snapToGrid/>
        <w:spacing w:before="156" w:beforeLines="50" w:line="360" w:lineRule="auto"/>
        <w:ind w:firstLine="420" w:firstLineChars="175"/>
        <w:jc w:val="left"/>
        <w:textAlignment w:val="auto"/>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特此公告。</w:t>
      </w:r>
    </w:p>
    <w:p>
      <w:pPr>
        <w:keepNext w:val="0"/>
        <w:keepLines w:val="0"/>
        <w:pageBreakBefore w:val="0"/>
        <w:widowControl/>
        <w:kinsoku/>
        <w:wordWrap/>
        <w:overflowPunct/>
        <w:topLinePunct w:val="0"/>
        <w:autoSpaceDE/>
        <w:autoSpaceDN/>
        <w:bidi w:val="0"/>
        <w:adjustRightInd/>
        <w:snapToGrid/>
        <w:spacing w:line="360" w:lineRule="auto"/>
        <w:ind w:firstLine="420" w:firstLineChars="175"/>
        <w:jc w:val="right"/>
        <w:textAlignment w:val="auto"/>
        <w:rPr>
          <w:rFonts w:eastAsiaTheme="minorEastAsia"/>
          <w:color w:val="000000"/>
          <w:sz w:val="24"/>
          <w:szCs w:val="24"/>
        </w:rPr>
      </w:pPr>
      <w:r>
        <w:rPr>
          <w:rFonts w:hint="eastAsia" w:eastAsiaTheme="minorEastAsia"/>
          <w:color w:val="000000"/>
          <w:sz w:val="24"/>
          <w:szCs w:val="24"/>
        </w:rPr>
        <w:t>格尔软件股份有限公司董事会</w:t>
      </w:r>
    </w:p>
    <w:p>
      <w:pPr>
        <w:keepNext w:val="0"/>
        <w:keepLines w:val="0"/>
        <w:pageBreakBefore w:val="0"/>
        <w:widowControl/>
        <w:kinsoku/>
        <w:wordWrap/>
        <w:overflowPunct/>
        <w:topLinePunct w:val="0"/>
        <w:autoSpaceDE/>
        <w:autoSpaceDN/>
        <w:bidi w:val="0"/>
        <w:adjustRightInd/>
        <w:snapToGrid/>
        <w:spacing w:line="360" w:lineRule="auto"/>
        <w:ind w:firstLine="420" w:firstLineChars="175"/>
        <w:jc w:val="right"/>
        <w:textAlignment w:val="auto"/>
        <w:rPr>
          <w:rFonts w:asciiTheme="minorEastAsia" w:hAnsiTheme="minorEastAsia" w:eastAsiaTheme="minorEastAsia" w:cstheme="minorEastAsia"/>
          <w:b/>
          <w:bCs/>
          <w:color w:val="000000"/>
          <w:sz w:val="24"/>
          <w:szCs w:val="24"/>
          <w:highlight w:val="none"/>
        </w:rPr>
      </w:pPr>
      <w:r>
        <w:rPr>
          <w:rFonts w:eastAsiaTheme="minorEastAsia"/>
          <w:color w:val="000000"/>
          <w:sz w:val="24"/>
          <w:szCs w:val="24"/>
          <w:highlight w:val="none"/>
        </w:rPr>
        <w:t>202</w:t>
      </w:r>
      <w:r>
        <w:rPr>
          <w:rFonts w:hint="eastAsia" w:eastAsiaTheme="minorEastAsia"/>
          <w:color w:val="000000"/>
          <w:sz w:val="24"/>
          <w:szCs w:val="24"/>
          <w:highlight w:val="none"/>
          <w:lang w:val="en-US" w:eastAsia="zh-CN"/>
        </w:rPr>
        <w:t>1</w:t>
      </w:r>
      <w:r>
        <w:rPr>
          <w:rFonts w:eastAsiaTheme="minorEastAsia"/>
          <w:color w:val="000000"/>
          <w:sz w:val="24"/>
          <w:szCs w:val="24"/>
          <w:highlight w:val="none"/>
        </w:rPr>
        <w:t>年</w:t>
      </w:r>
      <w:r>
        <w:rPr>
          <w:rFonts w:hint="eastAsia" w:eastAsiaTheme="minorEastAsia"/>
          <w:color w:val="000000"/>
          <w:sz w:val="24"/>
          <w:szCs w:val="24"/>
          <w:highlight w:val="none"/>
          <w:lang w:val="en-US" w:eastAsia="zh-CN"/>
        </w:rPr>
        <w:t>10</w:t>
      </w:r>
      <w:r>
        <w:rPr>
          <w:rFonts w:eastAsiaTheme="minorEastAsia"/>
          <w:color w:val="000000"/>
          <w:sz w:val="24"/>
          <w:szCs w:val="24"/>
          <w:highlight w:val="none"/>
        </w:rPr>
        <w:t>月</w:t>
      </w:r>
      <w:r>
        <w:rPr>
          <w:rFonts w:hint="eastAsia" w:eastAsiaTheme="minorEastAsia"/>
          <w:color w:val="000000"/>
          <w:sz w:val="24"/>
          <w:szCs w:val="24"/>
          <w:highlight w:val="none"/>
          <w:lang w:val="en-US" w:eastAsia="zh-CN"/>
        </w:rPr>
        <w:t>9</w:t>
      </w:r>
      <w:r>
        <w:rPr>
          <w:rFonts w:eastAsiaTheme="minorEastAsia"/>
          <w:color w:val="000000"/>
          <w:sz w:val="24"/>
          <w:szCs w:val="24"/>
          <w:highlight w:val="none"/>
        </w:rPr>
        <w:t>日</w:t>
      </w:r>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D8DF2E"/>
    <w:multiLevelType w:val="singleLevel"/>
    <w:tmpl w:val="AFD8DF2E"/>
    <w:lvl w:ilvl="0" w:tentative="0">
      <w:start w:val="2"/>
      <w:numFmt w:val="decimal"/>
      <w:suff w:val="nothing"/>
      <w:lvlText w:val="%1、"/>
      <w:lvlJc w:val="left"/>
    </w:lvl>
  </w:abstractNum>
  <w:abstractNum w:abstractNumId="1">
    <w:nsid w:val="075F2E80"/>
    <w:multiLevelType w:val="singleLevel"/>
    <w:tmpl w:val="075F2E80"/>
    <w:lvl w:ilvl="0" w:tentative="0">
      <w:start w:val="1"/>
      <w:numFmt w:val="bullet"/>
      <w:lvlText w:val=""/>
      <w:lvlJc w:val="left"/>
      <w:pPr>
        <w:ind w:left="420" w:hanging="420"/>
      </w:pPr>
      <w:rPr>
        <w:rFonts w:hint="default" w:ascii="Wingdings" w:hAnsi="Wingdings"/>
      </w:rPr>
    </w:lvl>
  </w:abstractNum>
  <w:abstractNum w:abstractNumId="2">
    <w:nsid w:val="31FF68AF"/>
    <w:multiLevelType w:val="singleLevel"/>
    <w:tmpl w:val="31FF68AF"/>
    <w:lvl w:ilvl="0" w:tentative="0">
      <w:start w:val="1"/>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0901D2"/>
    <w:rsid w:val="00491A48"/>
    <w:rsid w:val="018E4822"/>
    <w:rsid w:val="027576DF"/>
    <w:rsid w:val="02AF4FED"/>
    <w:rsid w:val="049C0D81"/>
    <w:rsid w:val="04BC2DF0"/>
    <w:rsid w:val="05202816"/>
    <w:rsid w:val="05B5678A"/>
    <w:rsid w:val="07832D9E"/>
    <w:rsid w:val="083E47F0"/>
    <w:rsid w:val="08C60F31"/>
    <w:rsid w:val="097203F7"/>
    <w:rsid w:val="0AC149D4"/>
    <w:rsid w:val="0BC4590D"/>
    <w:rsid w:val="0BE8347C"/>
    <w:rsid w:val="0F34760A"/>
    <w:rsid w:val="0FBD3F46"/>
    <w:rsid w:val="100E2521"/>
    <w:rsid w:val="1131749B"/>
    <w:rsid w:val="11535FD3"/>
    <w:rsid w:val="11FA498B"/>
    <w:rsid w:val="15462F97"/>
    <w:rsid w:val="15E54F66"/>
    <w:rsid w:val="17391ED0"/>
    <w:rsid w:val="17A17C4F"/>
    <w:rsid w:val="17E62CEF"/>
    <w:rsid w:val="1A041605"/>
    <w:rsid w:val="1D36117A"/>
    <w:rsid w:val="1DE640C3"/>
    <w:rsid w:val="1E125A00"/>
    <w:rsid w:val="1F6C3676"/>
    <w:rsid w:val="20EA54D0"/>
    <w:rsid w:val="29A7485D"/>
    <w:rsid w:val="2B8221BC"/>
    <w:rsid w:val="2DF44503"/>
    <w:rsid w:val="2E4E7A2B"/>
    <w:rsid w:val="2E80779D"/>
    <w:rsid w:val="38D05A6D"/>
    <w:rsid w:val="390212BA"/>
    <w:rsid w:val="397D10DC"/>
    <w:rsid w:val="39B02A11"/>
    <w:rsid w:val="3AF7441B"/>
    <w:rsid w:val="3C0F2EB9"/>
    <w:rsid w:val="3C295A99"/>
    <w:rsid w:val="3EE1443F"/>
    <w:rsid w:val="3EE71B36"/>
    <w:rsid w:val="3EFB2631"/>
    <w:rsid w:val="40461D28"/>
    <w:rsid w:val="42FD048C"/>
    <w:rsid w:val="433B62FA"/>
    <w:rsid w:val="43426F87"/>
    <w:rsid w:val="48000720"/>
    <w:rsid w:val="483715B2"/>
    <w:rsid w:val="49721DBB"/>
    <w:rsid w:val="4A0E310F"/>
    <w:rsid w:val="4ABA5FF6"/>
    <w:rsid w:val="4AFD1F57"/>
    <w:rsid w:val="4B501A2D"/>
    <w:rsid w:val="4C565D83"/>
    <w:rsid w:val="4CAD5B18"/>
    <w:rsid w:val="4F283507"/>
    <w:rsid w:val="516C6209"/>
    <w:rsid w:val="549A5A7A"/>
    <w:rsid w:val="56FD7F32"/>
    <w:rsid w:val="59DB62D9"/>
    <w:rsid w:val="5C646231"/>
    <w:rsid w:val="604E6A0A"/>
    <w:rsid w:val="609A26F5"/>
    <w:rsid w:val="61FC78BC"/>
    <w:rsid w:val="66066C4D"/>
    <w:rsid w:val="6736715E"/>
    <w:rsid w:val="67BF6746"/>
    <w:rsid w:val="683A721E"/>
    <w:rsid w:val="688A543D"/>
    <w:rsid w:val="68BA5CE9"/>
    <w:rsid w:val="692A202C"/>
    <w:rsid w:val="6B797D08"/>
    <w:rsid w:val="6B7F203F"/>
    <w:rsid w:val="6C2F108B"/>
    <w:rsid w:val="6C360C93"/>
    <w:rsid w:val="6DBF37EC"/>
    <w:rsid w:val="6E471F02"/>
    <w:rsid w:val="6F3E1C86"/>
    <w:rsid w:val="70BD7855"/>
    <w:rsid w:val="716E7BB1"/>
    <w:rsid w:val="73911D1F"/>
    <w:rsid w:val="75A620CB"/>
    <w:rsid w:val="76CC503A"/>
    <w:rsid w:val="776179CD"/>
    <w:rsid w:val="77FD1EB4"/>
    <w:rsid w:val="7A656D7F"/>
    <w:rsid w:val="7BEB393A"/>
    <w:rsid w:val="7C0901D2"/>
    <w:rsid w:val="7E1625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196</TotalTime>
  <ScaleCrop>false</ScaleCrop>
  <LinksUpToDate>false</LinksUpToDate>
  <CharactersWithSpaces>0</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2021-09-26T02:07:00Z</dcterms:created>
  <dc:creator>suuuu</dc:creator>
  <cp:lastModifiedBy>邹岩</cp:lastModifiedBy>
  <dcterms:modified xsi:type="dcterms:W3CDTF">2021-10-08T05:33:00Z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AA3066440D26440AB0D8740ED0AC92F2</vt:lpwstr>
  </property>
</Properties>
</file>