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7" w:lineRule="exact"/>
        <w:rPr>
          <w:rFonts w:hint="default" w:ascii="Times New Roman" w:hAnsi="Times New Roman" w:eastAsia="Times New Roman" w:cs="Times New Roman"/>
          <w:sz w:val="24"/>
        </w:rPr>
      </w:pPr>
      <w:bookmarkStart w:id="0" w:name="page1"/>
      <w:bookmarkEnd w:id="0"/>
    </w:p>
    <w:p>
      <w:pPr>
        <w:spacing w:line="312" w:lineRule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证券代码：603232          证券简称：格尔软件   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  公告编号：20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2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-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010</w:t>
      </w:r>
    </w:p>
    <w:p>
      <w:pPr>
        <w:autoSpaceDE w:val="0"/>
        <w:autoSpaceDN w:val="0"/>
        <w:adjustRightInd w:val="0"/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</w:rPr>
      </w:pPr>
    </w:p>
    <w:p>
      <w:pPr>
        <w:adjustRightInd w:val="0"/>
        <w:snapToGrid w:val="0"/>
        <w:spacing w:line="324" w:lineRule="auto"/>
        <w:jc w:val="center"/>
        <w:rPr>
          <w:rFonts w:hint="default" w:ascii="Times New Roman" w:hAnsi="Times New Roman" w:eastAsia="黑体" w:cs="Times New Roman"/>
          <w:b/>
          <w:bCs/>
          <w:color w:val="FF0000"/>
          <w:kern w:val="0"/>
          <w:sz w:val="36"/>
          <w:szCs w:val="36"/>
        </w:rPr>
      </w:pPr>
      <w:r>
        <w:rPr>
          <w:rFonts w:hint="default" w:ascii="Times New Roman" w:hAnsi="Times New Roman" w:eastAsia="黑体" w:cs="Times New Roman"/>
          <w:b/>
          <w:bCs/>
          <w:color w:val="FF0000"/>
          <w:kern w:val="0"/>
          <w:sz w:val="36"/>
          <w:szCs w:val="36"/>
        </w:rPr>
        <w:t>格尔软件股份有限公司</w:t>
      </w:r>
    </w:p>
    <w:p>
      <w:pPr>
        <w:adjustRightInd w:val="0"/>
        <w:snapToGrid w:val="0"/>
        <w:spacing w:line="360" w:lineRule="auto"/>
        <w:jc w:val="center"/>
        <w:rPr>
          <w:rFonts w:hint="default" w:ascii="Times New Roman" w:hAnsi="Times New Roman" w:eastAsia="黑体" w:cs="Times New Roman"/>
          <w:b/>
          <w:bCs/>
          <w:color w:val="FF0000"/>
          <w:kern w:val="0"/>
          <w:sz w:val="30"/>
          <w:szCs w:val="30"/>
        </w:rPr>
      </w:pPr>
      <w:r>
        <w:rPr>
          <w:rFonts w:hint="default" w:ascii="Times New Roman" w:hAnsi="Times New Roman" w:eastAsia="黑体" w:cs="Times New Roman"/>
          <w:b/>
          <w:bCs/>
          <w:color w:val="FF0000"/>
          <w:kern w:val="0"/>
          <w:sz w:val="36"/>
          <w:szCs w:val="36"/>
          <w:lang w:val="en-US" w:eastAsia="zh-CN"/>
        </w:rPr>
        <w:t>202</w:t>
      </w:r>
      <w:r>
        <w:rPr>
          <w:rFonts w:hint="eastAsia" w:ascii="Times New Roman" w:hAnsi="Times New Roman" w:eastAsia="黑体" w:cs="Times New Roman"/>
          <w:b/>
          <w:bCs/>
          <w:color w:val="FF0000"/>
          <w:kern w:val="0"/>
          <w:sz w:val="36"/>
          <w:szCs w:val="36"/>
          <w:lang w:val="en-US" w:eastAsia="zh-CN"/>
        </w:rPr>
        <w:t>1</w:t>
      </w:r>
      <w:r>
        <w:rPr>
          <w:rFonts w:hint="default" w:ascii="Times New Roman" w:hAnsi="Times New Roman" w:eastAsia="黑体" w:cs="Times New Roman"/>
          <w:b/>
          <w:bCs/>
          <w:color w:val="FF0000"/>
          <w:kern w:val="0"/>
          <w:sz w:val="36"/>
          <w:szCs w:val="36"/>
          <w:lang w:val="en-US" w:eastAsia="zh-CN"/>
        </w:rPr>
        <w:t>年度利润分配</w:t>
      </w:r>
      <w:r>
        <w:rPr>
          <w:rFonts w:hint="eastAsia" w:ascii="Times New Roman" w:hAnsi="Times New Roman" w:eastAsia="黑体" w:cs="Times New Roman"/>
          <w:b/>
          <w:bCs/>
          <w:color w:val="FF0000"/>
          <w:kern w:val="0"/>
          <w:sz w:val="36"/>
          <w:szCs w:val="36"/>
          <w:lang w:val="en-US" w:eastAsia="zh-CN"/>
        </w:rPr>
        <w:t>预案</w:t>
      </w:r>
      <w:r>
        <w:rPr>
          <w:rFonts w:hint="default" w:ascii="Times New Roman" w:hAnsi="Times New Roman" w:eastAsia="黑体" w:cs="Times New Roman"/>
          <w:b/>
          <w:bCs/>
          <w:color w:val="FF0000"/>
          <w:kern w:val="0"/>
          <w:sz w:val="36"/>
          <w:szCs w:val="36"/>
          <w:lang w:val="en-US" w:eastAsia="zh-CN"/>
        </w:rPr>
        <w:t>的</w:t>
      </w:r>
      <w:r>
        <w:rPr>
          <w:rFonts w:hint="default" w:ascii="Times New Roman" w:hAnsi="Times New Roman" w:eastAsia="黑体" w:cs="Times New Roman"/>
          <w:b/>
          <w:bCs/>
          <w:color w:val="FF0000"/>
          <w:kern w:val="0"/>
          <w:sz w:val="36"/>
          <w:szCs w:val="36"/>
        </w:rPr>
        <w:t>公告</w:t>
      </w:r>
    </w:p>
    <w:p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adjustRightInd w:val="0"/>
        <w:snapToGrid w:val="0"/>
        <w:spacing w:line="360" w:lineRule="auto"/>
        <w:jc w:val="left"/>
        <w:rPr>
          <w:rFonts w:hint="default" w:ascii="Times New Roman" w:hAnsi="Times New Roman" w:eastAsia="宋体" w:cs="Times New Roman"/>
          <w:sz w:val="22"/>
          <w:szCs w:val="18"/>
        </w:rPr>
      </w:pPr>
      <w:r>
        <w:rPr>
          <w:rFonts w:hint="default" w:ascii="Times New Roman" w:hAnsi="Times New Roman" w:eastAsia="宋体" w:cs="Times New Roman"/>
          <w:sz w:val="24"/>
        </w:rPr>
        <w:t xml:space="preserve">   </w:t>
      </w:r>
      <w:r>
        <w:rPr>
          <w:rFonts w:hint="default" w:ascii="Times New Roman" w:hAnsi="Times New Roman" w:eastAsia="宋体" w:cs="Times New Roman"/>
          <w:sz w:val="22"/>
          <w:szCs w:val="18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</w:rPr>
        <w:t>本公司董事会及全体董事保证本公告内容不存在任何虚假记载、误导性陈述或者重大遗漏，并对其内容的真实性、准确性和完整性承担个别及连带责任。</w:t>
      </w:r>
    </w:p>
    <w:p>
      <w:pPr>
        <w:spacing w:line="200" w:lineRule="exact"/>
        <w:rPr>
          <w:rFonts w:hint="default" w:ascii="Times New Roman" w:hAnsi="Times New Roman" w:eastAsia="Times New Roman" w:cs="Times New Roman"/>
        </w:rPr>
      </w:pPr>
    </w:p>
    <w:p>
      <w:pPr>
        <w:spacing w:beforeLines="0" w:afterLines="0"/>
        <w:jc w:val="left"/>
        <w:rPr>
          <w:rFonts w:hint="default" w:ascii="Times New Roman" w:hAnsi="Times New Roman" w:eastAsia="宋体" w:cs="Times New Roman"/>
          <w:color w:val="000000"/>
          <w:sz w:val="24"/>
        </w:rPr>
      </w:pPr>
    </w:p>
    <w:p>
      <w:pPr>
        <w:spacing w:beforeLines="0" w:afterLines="0" w:line="360" w:lineRule="auto"/>
        <w:jc w:val="left"/>
        <w:rPr>
          <w:rFonts w:hint="default" w:ascii="Times New Roman" w:hAnsi="Times New Roman" w:eastAsia="宋体" w:cs="Times New Roman"/>
          <w:color w:val="000000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eastAsia="zh-CN"/>
        </w:rPr>
        <w:t>重要内容提示</w:t>
      </w:r>
    </w:p>
    <w:p>
      <w:pPr>
        <w:numPr>
          <w:ilvl w:val="0"/>
          <w:numId w:val="1"/>
        </w:numPr>
        <w:spacing w:beforeLines="0" w:afterLines="0" w:line="360" w:lineRule="auto"/>
        <w:ind w:left="0" w:leftChars="0" w:firstLine="0" w:firstLineChars="0"/>
        <w:jc w:val="left"/>
        <w:rPr>
          <w:rFonts w:hint="default" w:ascii="Times New Roman" w:hAnsi="Times New Roman" w:eastAsia="宋体" w:cs="Times New Roman"/>
          <w:color w:val="000000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eastAsia="zh-CN"/>
        </w:rPr>
        <w:t>每股分配比例：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A股每股派发现金红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highlight w:val="none"/>
          <w:lang w:val="en-US" w:eastAsia="zh-CN"/>
        </w:rPr>
        <w:t>利0.1</w:t>
      </w:r>
      <w:r>
        <w:rPr>
          <w:rFonts w:hint="eastAsia" w:ascii="Times New Roman" w:hAnsi="Times New Roman" w:cs="Times New Roman"/>
          <w:color w:val="000000"/>
          <w:sz w:val="24"/>
          <w:szCs w:val="24"/>
          <w:highlight w:val="non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highlight w:val="none"/>
          <w:lang w:val="en-US" w:eastAsia="zh-CN"/>
        </w:rPr>
        <w:t>元（含税）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。</w:t>
      </w:r>
    </w:p>
    <w:p>
      <w:pPr>
        <w:numPr>
          <w:ilvl w:val="0"/>
          <w:numId w:val="1"/>
        </w:numPr>
        <w:spacing w:beforeLines="0" w:afterLines="0" w:line="360" w:lineRule="auto"/>
        <w:ind w:left="0" w:leftChars="0" w:firstLine="0" w:firstLineChars="0"/>
        <w:jc w:val="left"/>
        <w:rPr>
          <w:rFonts w:hint="default" w:ascii="Times New Roman" w:hAnsi="Times New Roman" w:eastAsia="宋体" w:cs="Times New Roman"/>
          <w:color w:val="000000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本次利润分配拟以截至20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US" w:eastAsia="zh-CN"/>
        </w:rPr>
        <w:t>2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年12月31日的总股本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231,722,033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股为基数。</w:t>
      </w:r>
    </w:p>
    <w:p>
      <w:pPr>
        <w:numPr>
          <w:ilvl w:val="0"/>
          <w:numId w:val="1"/>
        </w:numPr>
        <w:spacing w:beforeLines="0" w:afterLines="0" w:line="360" w:lineRule="auto"/>
        <w:ind w:left="0" w:leftChars="0" w:firstLine="0" w:firstLineChars="0"/>
        <w:jc w:val="left"/>
        <w:rPr>
          <w:rFonts w:hint="default" w:ascii="Times New Roman" w:hAnsi="Times New Roman" w:eastAsia="宋体" w:cs="Times New Roman"/>
          <w:color w:val="000000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在实施权益分派的股权登记日前公司总股本发生变动的，公司拟维持分配比例不变，并相应调整分配总额。</w:t>
      </w:r>
    </w:p>
    <w:p>
      <w:pPr>
        <w:spacing w:beforeLines="0" w:afterLines="0" w:line="360" w:lineRule="auto"/>
        <w:ind w:left="0" w:leftChars="0" w:firstLine="400" w:firstLineChars="0"/>
        <w:jc w:val="lef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numPr>
          <w:ilvl w:val="0"/>
          <w:numId w:val="2"/>
        </w:numPr>
        <w:spacing w:beforeLines="0" w:afterLines="0" w:line="360" w:lineRule="auto"/>
        <w:ind w:left="0" w:leftChars="0" w:firstLine="0" w:firstLineChars="0"/>
        <w:jc w:val="left"/>
        <w:rPr>
          <w:rFonts w:hint="default" w:ascii="Times New Roman" w:hAnsi="Times New Roman" w:eastAsia="宋体" w:cs="Times New Roman"/>
          <w:b/>
          <w:bCs/>
          <w:color w:val="000000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b/>
          <w:bCs/>
          <w:color w:val="000000"/>
          <w:sz w:val="24"/>
          <w:szCs w:val="24"/>
          <w:lang w:eastAsia="zh-CN"/>
        </w:rPr>
        <w:t>利润分配</w:t>
      </w:r>
      <w:r>
        <w:rPr>
          <w:rFonts w:hint="eastAsia" w:ascii="Times New Roman" w:hAnsi="Times New Roman" w:cs="Times New Roman"/>
          <w:b/>
          <w:bCs/>
          <w:color w:val="000000"/>
          <w:sz w:val="24"/>
          <w:szCs w:val="24"/>
          <w:lang w:val="en-US" w:eastAsia="zh-CN"/>
        </w:rPr>
        <w:t>预案</w:t>
      </w:r>
      <w:r>
        <w:rPr>
          <w:rFonts w:hint="default" w:ascii="Times New Roman" w:hAnsi="Times New Roman" w:eastAsia="宋体" w:cs="Times New Roman"/>
          <w:b/>
          <w:bCs/>
          <w:color w:val="000000"/>
          <w:sz w:val="24"/>
          <w:szCs w:val="24"/>
          <w:lang w:eastAsia="zh-CN"/>
        </w:rPr>
        <w:t>内容</w:t>
      </w:r>
    </w:p>
    <w:p>
      <w:pPr>
        <w:numPr>
          <w:ilvl w:val="0"/>
          <w:numId w:val="0"/>
        </w:numPr>
        <w:spacing w:beforeLines="0" w:afterLines="0" w:line="360" w:lineRule="auto"/>
        <w:ind w:left="0" w:leftChars="0" w:firstLine="400" w:firstLineChars="0"/>
        <w:jc w:val="both"/>
        <w:rPr>
          <w:rFonts w:hint="default" w:ascii="Times New Roman" w:hAnsi="Times New Roman" w:eastAsia="宋体" w:cs="Times New Roman"/>
          <w:b w:val="0"/>
          <w:bCs w:val="0"/>
          <w:color w:val="000000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000000"/>
          <w:sz w:val="24"/>
          <w:szCs w:val="24"/>
          <w:lang w:eastAsia="zh-CN"/>
        </w:rPr>
        <w:t>经上会会计师事务所（特殊普通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sz w:val="24"/>
          <w:szCs w:val="24"/>
          <w:highlight w:val="none"/>
          <w:lang w:eastAsia="zh-CN"/>
        </w:rPr>
        <w:t>合伙）审计，格尔软件股份有限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eastAsia="zh-CN"/>
        </w:rPr>
        <w:t>公司（以下简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eastAsia="zh-CN"/>
        </w:rPr>
        <w:t>称“公司”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eastAsia="zh-CN"/>
        </w:rPr>
        <w:t>）当年实现的可供分配利润为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highlight w:val="none"/>
          <w:lang w:val="en-US" w:eastAsia="zh-CN"/>
        </w:rPr>
        <w:t>76,926,778.03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eastAsia="zh-CN"/>
        </w:rPr>
        <w:t>元。截止20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2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eastAsia="zh-CN"/>
        </w:rPr>
        <w:t>年12月31日，累计可供股东分配利润为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highlight w:val="none"/>
          <w:lang w:val="en-US" w:eastAsia="zh-CN"/>
        </w:rPr>
        <w:t>158,215,284.56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eastAsia="zh-CN"/>
        </w:rPr>
        <w:t>元。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sz w:val="24"/>
          <w:szCs w:val="24"/>
          <w:highlight w:val="none"/>
          <w:lang w:val="en-US" w:eastAsia="zh-CN"/>
        </w:rPr>
        <w:t>经公司第七届董事会第</w:t>
      </w:r>
      <w:r>
        <w:rPr>
          <w:rFonts w:hint="eastAsia" w:ascii="Times New Roman" w:hAnsi="Times New Roman" w:cs="Times New Roman"/>
          <w:b w:val="0"/>
          <w:bCs w:val="0"/>
          <w:color w:val="000000"/>
          <w:sz w:val="24"/>
          <w:szCs w:val="24"/>
          <w:highlight w:val="none"/>
          <w:lang w:val="en-US" w:eastAsia="zh-CN"/>
        </w:rPr>
        <w:t>二十三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sz w:val="24"/>
          <w:szCs w:val="24"/>
          <w:highlight w:val="none"/>
          <w:lang w:val="en-US" w:eastAsia="zh-CN"/>
        </w:rPr>
        <w:t>次会议审议，公司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highlight w:val="none"/>
          <w:lang w:val="en-US" w:eastAsia="zh-CN"/>
        </w:rPr>
        <w:t>202</w:t>
      </w:r>
      <w:r>
        <w:rPr>
          <w:rFonts w:hint="eastAsia" w:ascii="Times New Roman" w:hAnsi="Times New Roman" w:cs="Times New Roman"/>
          <w:b w:val="0"/>
          <w:bCs w:val="0"/>
          <w:color w:val="000000"/>
          <w:sz w:val="24"/>
          <w:szCs w:val="24"/>
          <w:highlight w:val="non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sz w:val="24"/>
          <w:szCs w:val="24"/>
          <w:highlight w:val="none"/>
          <w:lang w:val="en-US" w:eastAsia="zh-CN"/>
        </w:rPr>
        <w:t>年度拟以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highlight w:val="none"/>
          <w:lang w:val="en-US" w:eastAsia="zh-CN"/>
        </w:rPr>
        <w:t>截至20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en-US" w:eastAsia="zh-CN"/>
        </w:rPr>
        <w:t>2</w:t>
      </w:r>
      <w:r>
        <w:rPr>
          <w:rFonts w:hint="eastAsia" w:ascii="Times New Roman" w:hAnsi="Times New Roman" w:cs="Times New Roman"/>
          <w:color w:val="000000"/>
          <w:sz w:val="24"/>
          <w:szCs w:val="24"/>
          <w:highlight w:val="non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highlight w:val="none"/>
          <w:lang w:val="en-US" w:eastAsia="zh-CN"/>
        </w:rPr>
        <w:t>年12月31日的总股本</w:t>
      </w:r>
      <w:r>
        <w:rPr>
          <w:rFonts w:hint="eastAsia" w:ascii="Times New Roman" w:hAnsi="Times New Roman" w:cs="Times New Roman"/>
          <w:color w:val="000000"/>
          <w:sz w:val="24"/>
          <w:szCs w:val="24"/>
          <w:highlight w:val="none"/>
          <w:lang w:val="en-US" w:eastAsia="zh-CN"/>
        </w:rPr>
        <w:t>231,722,033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highlight w:val="none"/>
          <w:lang w:val="en-US" w:eastAsia="zh-CN"/>
        </w:rPr>
        <w:t>股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sz w:val="24"/>
          <w:szCs w:val="24"/>
          <w:highlight w:val="none"/>
          <w:lang w:val="en-US" w:eastAsia="zh-CN"/>
        </w:rPr>
        <w:t>为基数分配利润。本次利润分配</w:t>
      </w:r>
      <w:r>
        <w:rPr>
          <w:rFonts w:hint="eastAsia" w:ascii="Times New Roman" w:hAnsi="Times New Roman" w:cs="Times New Roman"/>
          <w:b w:val="0"/>
          <w:bCs w:val="0"/>
          <w:color w:val="000000"/>
          <w:sz w:val="24"/>
          <w:szCs w:val="24"/>
          <w:highlight w:val="none"/>
          <w:lang w:val="en-US" w:eastAsia="zh-CN"/>
        </w:rPr>
        <w:t>预案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sz w:val="24"/>
          <w:szCs w:val="24"/>
          <w:highlight w:val="none"/>
          <w:lang w:val="en-US" w:eastAsia="zh-CN"/>
        </w:rPr>
        <w:t>如下：</w:t>
      </w:r>
    </w:p>
    <w:p>
      <w:pPr>
        <w:numPr>
          <w:ilvl w:val="0"/>
          <w:numId w:val="0"/>
        </w:numPr>
        <w:spacing w:beforeLines="0" w:afterLines="0" w:line="360" w:lineRule="auto"/>
        <w:ind w:left="0" w:leftChars="0" w:firstLine="400" w:firstLineChars="0"/>
        <w:jc w:val="both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000000"/>
          <w:sz w:val="24"/>
          <w:szCs w:val="24"/>
          <w:highlight w:val="none"/>
          <w:lang w:val="en-US" w:eastAsia="zh-CN"/>
        </w:rPr>
        <w:t>向全体股东每10股派发现金红利1.</w:t>
      </w:r>
      <w:r>
        <w:rPr>
          <w:rFonts w:hint="eastAsia" w:ascii="Times New Roman" w:hAnsi="Times New Roman" w:cs="Times New Roman"/>
          <w:b w:val="0"/>
          <w:bCs w:val="0"/>
          <w:color w:val="000000"/>
          <w:sz w:val="24"/>
          <w:szCs w:val="24"/>
          <w:highlight w:val="none"/>
          <w:lang w:val="en-US" w:eastAsia="zh-CN"/>
        </w:rPr>
        <w:t>30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sz w:val="24"/>
          <w:szCs w:val="24"/>
          <w:highlight w:val="none"/>
          <w:lang w:val="en-US" w:eastAsia="zh-CN"/>
        </w:rPr>
        <w:t>元（含税）。截至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highlight w:val="none"/>
          <w:lang w:val="en-US" w:eastAsia="zh-CN"/>
        </w:rPr>
        <w:t>202</w:t>
      </w:r>
      <w:r>
        <w:rPr>
          <w:rFonts w:hint="eastAsia" w:ascii="Times New Roman" w:hAnsi="Times New Roman" w:cs="Times New Roman"/>
          <w:b w:val="0"/>
          <w:bCs w:val="0"/>
          <w:color w:val="000000"/>
          <w:sz w:val="24"/>
          <w:szCs w:val="24"/>
          <w:highlight w:val="non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sz w:val="24"/>
          <w:szCs w:val="24"/>
          <w:highlight w:val="none"/>
          <w:lang w:val="en-US" w:eastAsia="zh-CN"/>
        </w:rPr>
        <w:t>年12月31日，公司总股本为</w:t>
      </w:r>
      <w:r>
        <w:rPr>
          <w:rFonts w:hint="eastAsia" w:ascii="Times New Roman" w:hAnsi="Times New Roman" w:cs="Times New Roman"/>
          <w:color w:val="000000"/>
          <w:sz w:val="24"/>
          <w:szCs w:val="24"/>
          <w:highlight w:val="none"/>
          <w:lang w:val="en-US" w:eastAsia="zh-CN"/>
        </w:rPr>
        <w:t>231,722,033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sz w:val="24"/>
          <w:szCs w:val="24"/>
          <w:highlight w:val="none"/>
          <w:lang w:val="en-US" w:eastAsia="zh-CN"/>
        </w:rPr>
        <w:t>股，以此计算合计拟派发现金红利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>30,123,864.29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sz w:val="24"/>
          <w:szCs w:val="24"/>
          <w:highlight w:val="none"/>
          <w:lang w:val="en-US" w:eastAsia="zh-CN"/>
        </w:rPr>
        <w:t>元（含税）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highlight w:val="none"/>
          <w:lang w:val="en-US" w:eastAsia="zh-CN"/>
        </w:rPr>
        <w:t>，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结余未分配利润结转至以后年度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sz w:val="24"/>
          <w:szCs w:val="24"/>
          <w:highlight w:val="none"/>
          <w:lang w:val="en-US" w:eastAsia="zh-CN"/>
        </w:rPr>
        <w:t>。本年度公司现金分红占归属于上市公司普通股股东的净利润比例为</w:t>
      </w:r>
      <w:r>
        <w:rPr>
          <w:rFonts w:hint="eastAsia" w:ascii="Times New Roman" w:hAnsi="Times New Roman" w:cs="Times New Roman"/>
          <w:b w:val="0"/>
          <w:bCs w:val="0"/>
          <w:color w:val="000000"/>
          <w:sz w:val="24"/>
          <w:szCs w:val="24"/>
          <w:highlight w:val="none"/>
          <w:lang w:val="en-US" w:eastAsia="zh-CN"/>
        </w:rPr>
        <w:t>37.79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sz w:val="24"/>
          <w:szCs w:val="24"/>
          <w:highlight w:val="none"/>
          <w:lang w:val="en-US" w:eastAsia="zh-CN"/>
        </w:rPr>
        <w:t>%。</w:t>
      </w:r>
    </w:p>
    <w:p>
      <w:pPr>
        <w:numPr>
          <w:ilvl w:val="0"/>
          <w:numId w:val="0"/>
        </w:numPr>
        <w:spacing w:beforeLines="0" w:afterLines="0" w:line="360" w:lineRule="auto"/>
        <w:ind w:left="0" w:leftChars="0" w:firstLine="400" w:firstLineChars="0"/>
        <w:jc w:val="both"/>
        <w:rPr>
          <w:rFonts w:hint="default" w:ascii="Times New Roman" w:hAnsi="Times New Roman" w:eastAsia="宋体" w:cs="Times New Roman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在实施权益分派的股权登记日前公司总股本发生变动的，公司拟维持分配比例不变，并相应调整分配总额。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eastAsia="zh-CN"/>
        </w:rPr>
        <w:t>如后续总股本发生变化，将另行公告具体调整情况。</w:t>
      </w:r>
    </w:p>
    <w:p>
      <w:pPr>
        <w:numPr>
          <w:ilvl w:val="0"/>
          <w:numId w:val="0"/>
        </w:numPr>
        <w:spacing w:beforeLines="0" w:afterLines="0" w:line="360" w:lineRule="auto"/>
        <w:ind w:left="403" w:leftChars="0"/>
        <w:jc w:val="both"/>
        <w:rPr>
          <w:rFonts w:hint="default" w:ascii="Times New Roman" w:hAnsi="Times New Roman" w:eastAsia="宋体" w:cs="Times New Roman"/>
          <w:b w:val="0"/>
          <w:bCs w:val="0"/>
          <w:color w:val="000000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000000"/>
          <w:sz w:val="24"/>
          <w:szCs w:val="24"/>
          <w:highlight w:val="none"/>
          <w:lang w:val="en-US" w:eastAsia="zh-CN"/>
        </w:rPr>
        <w:t>本次利润分配</w:t>
      </w:r>
      <w:r>
        <w:rPr>
          <w:rFonts w:hint="eastAsia" w:ascii="Times New Roman" w:hAnsi="Times New Roman" w:cs="Times New Roman"/>
          <w:b w:val="0"/>
          <w:bCs w:val="0"/>
          <w:color w:val="000000"/>
          <w:sz w:val="24"/>
          <w:szCs w:val="24"/>
          <w:highlight w:val="none"/>
          <w:lang w:val="en-US" w:eastAsia="zh-CN"/>
        </w:rPr>
        <w:t>预案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sz w:val="24"/>
          <w:szCs w:val="24"/>
          <w:highlight w:val="none"/>
          <w:lang w:val="en-US" w:eastAsia="zh-CN"/>
        </w:rPr>
        <w:t>尚需提交股东大会审议。</w:t>
      </w:r>
    </w:p>
    <w:p>
      <w:pPr>
        <w:numPr>
          <w:ilvl w:val="0"/>
          <w:numId w:val="2"/>
        </w:numPr>
        <w:spacing w:beforeLines="0" w:afterLines="0" w:line="360" w:lineRule="auto"/>
        <w:ind w:left="0" w:leftChars="0" w:firstLine="0" w:firstLineChars="0"/>
        <w:jc w:val="both"/>
        <w:rPr>
          <w:rFonts w:hint="default" w:ascii="Times New Roman" w:hAnsi="Times New Roman" w:eastAsia="宋体" w:cs="Times New Roman"/>
          <w:b/>
          <w:bCs/>
          <w:color w:val="000000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b/>
          <w:bCs/>
          <w:color w:val="000000"/>
          <w:sz w:val="24"/>
          <w:szCs w:val="24"/>
          <w:lang w:eastAsia="zh-CN"/>
        </w:rPr>
        <w:t>公司履行的决策程序</w:t>
      </w:r>
    </w:p>
    <w:p>
      <w:pPr>
        <w:numPr>
          <w:ilvl w:val="0"/>
          <w:numId w:val="3"/>
        </w:numPr>
        <w:spacing w:beforeLines="0" w:afterLines="0" w:line="360" w:lineRule="auto"/>
        <w:ind w:left="0" w:leftChars="0" w:firstLine="0" w:firstLineChars="0"/>
        <w:jc w:val="both"/>
        <w:rPr>
          <w:rFonts w:hint="default" w:ascii="Times New Roman" w:hAnsi="Times New Roman" w:eastAsia="宋体" w:cs="Times New Roman"/>
          <w:b/>
          <w:bCs/>
          <w:color w:val="000000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b/>
          <w:bCs/>
          <w:color w:val="000000"/>
          <w:sz w:val="24"/>
          <w:szCs w:val="24"/>
          <w:lang w:eastAsia="zh-CN"/>
        </w:rPr>
        <w:t>董事会会议的召开、审计和表决情况</w:t>
      </w:r>
    </w:p>
    <w:p>
      <w:pPr>
        <w:numPr>
          <w:ilvl w:val="0"/>
          <w:numId w:val="0"/>
        </w:numPr>
        <w:spacing w:beforeLines="0" w:afterLines="0" w:line="360" w:lineRule="auto"/>
        <w:ind w:left="0" w:leftChars="0" w:firstLine="398" w:firstLineChars="166"/>
        <w:jc w:val="both"/>
        <w:rPr>
          <w:rFonts w:hint="default" w:ascii="Times New Roman" w:hAnsi="Times New Roman" w:eastAsia="宋体" w:cs="Times New Roman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000000"/>
          <w:sz w:val="24"/>
          <w:szCs w:val="24"/>
          <w:lang w:eastAsia="zh-CN"/>
        </w:rPr>
        <w:t>公司于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sz w:val="24"/>
          <w:szCs w:val="24"/>
          <w:lang w:val="en-US" w:eastAsia="zh-CN"/>
        </w:rPr>
        <w:t>202</w:t>
      </w:r>
      <w:r>
        <w:rPr>
          <w:rFonts w:hint="eastAsia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sz w:val="24"/>
          <w:szCs w:val="24"/>
          <w:lang w:val="en-US" w:eastAsia="zh-CN"/>
        </w:rPr>
        <w:t>年4月2</w:t>
      </w:r>
      <w:r>
        <w:rPr>
          <w:rFonts w:hint="eastAsia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sz w:val="24"/>
          <w:szCs w:val="24"/>
          <w:lang w:val="en-US" w:eastAsia="zh-CN"/>
        </w:rPr>
        <w:t>日召开公司第七届董事会第</w:t>
      </w:r>
      <w:r>
        <w:rPr>
          <w:rFonts w:hint="eastAsia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  <w:t>二十三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sz w:val="24"/>
          <w:szCs w:val="24"/>
          <w:lang w:val="en-US" w:eastAsia="zh-CN"/>
        </w:rPr>
        <w:t>次会议，审议通过了《关于&lt;公司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  <w:t>202</w:t>
      </w:r>
      <w:r>
        <w:rPr>
          <w:rFonts w:hint="eastAsia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sz w:val="24"/>
          <w:szCs w:val="24"/>
          <w:lang w:val="en-US" w:eastAsia="zh-CN"/>
        </w:rPr>
        <w:t>年度利润分配预案&gt;的议案》，该议案尚需提交公司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  <w:t>202</w:t>
      </w:r>
      <w:r>
        <w:rPr>
          <w:rFonts w:hint="eastAsia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sz w:val="24"/>
          <w:szCs w:val="24"/>
          <w:lang w:val="en-US" w:eastAsia="zh-CN"/>
        </w:rPr>
        <w:t>年年度股东大会审议。</w:t>
      </w:r>
    </w:p>
    <w:p>
      <w:pPr>
        <w:numPr>
          <w:ilvl w:val="0"/>
          <w:numId w:val="0"/>
        </w:numPr>
        <w:spacing w:beforeLines="0" w:afterLines="0" w:line="360" w:lineRule="auto"/>
        <w:ind w:left="0" w:leftChars="0" w:firstLine="398" w:firstLineChars="166"/>
        <w:jc w:val="both"/>
        <w:rPr>
          <w:rFonts w:hint="default" w:ascii="Times New Roman" w:hAnsi="Times New Roman" w:eastAsia="宋体" w:cs="Times New Roman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000000"/>
          <w:sz w:val="24"/>
          <w:szCs w:val="24"/>
          <w:lang w:val="en-US" w:eastAsia="zh-CN"/>
        </w:rPr>
        <w:t>表决结果：9票同意，0票反对，0票弃权</w:t>
      </w:r>
      <w:r>
        <w:rPr>
          <w:rFonts w:hint="eastAsia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  <w:t>。</w:t>
      </w:r>
    </w:p>
    <w:p>
      <w:pPr>
        <w:numPr>
          <w:ilvl w:val="0"/>
          <w:numId w:val="3"/>
        </w:numPr>
        <w:spacing w:beforeLines="0" w:afterLines="0" w:line="360" w:lineRule="auto"/>
        <w:ind w:left="0" w:leftChars="0" w:firstLine="0" w:firstLineChars="0"/>
        <w:jc w:val="both"/>
        <w:rPr>
          <w:rFonts w:hint="default" w:ascii="Times New Roman" w:hAnsi="Times New Roman" w:eastAsia="宋体" w:cs="Times New Roman"/>
          <w:b/>
          <w:bCs/>
          <w:color w:val="000000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b/>
          <w:bCs/>
          <w:color w:val="000000"/>
          <w:sz w:val="24"/>
          <w:szCs w:val="24"/>
          <w:lang w:eastAsia="zh-CN"/>
        </w:rPr>
        <w:t>独立董事意见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360" w:lineRule="auto"/>
        <w:ind w:leftChars="0" w:firstLine="480" w:firstLineChars="200"/>
        <w:jc w:val="both"/>
        <w:textAlignment w:val="auto"/>
        <w:rPr>
          <w:rFonts w:hint="default" w:ascii="Times New Roman" w:hAnsi="Times New Roman" w:eastAsia="宋体" w:cs="Times New Roman"/>
          <w:b/>
          <w:bCs/>
          <w:color w:val="000000"/>
          <w:sz w:val="24"/>
          <w:szCs w:val="24"/>
          <w:lang w:eastAsia="zh-CN"/>
        </w:rPr>
      </w:pPr>
      <w:r>
        <w:rPr>
          <w:rFonts w:hint="default" w:ascii="Times New Roman" w:hAnsi="Times New Roman" w:cs="Times New Roman" w:eastAsiaTheme="minorEastAsia"/>
          <w:kern w:val="0"/>
          <w:sz w:val="24"/>
          <w:szCs w:val="24"/>
          <w:highlight w:val="none"/>
          <w:lang w:val="zh-CN" w:eastAsia="zh-CN"/>
        </w:rPr>
        <w:t>根据</w:t>
      </w:r>
      <w:r>
        <w:rPr>
          <w:rFonts w:hint="eastAsia" w:ascii="Times New Roman" w:hAnsi="Times New Roman" w:cs="Times New Roman" w:eastAsiaTheme="minorEastAsia"/>
          <w:kern w:val="0"/>
          <w:sz w:val="24"/>
          <w:szCs w:val="24"/>
          <w:highlight w:val="none"/>
          <w:lang w:val="zh-CN" w:eastAsia="zh-CN"/>
        </w:rPr>
        <w:t>《</w:t>
      </w:r>
      <w:r>
        <w:rPr>
          <w:rFonts w:hint="eastAsia" w:ascii="Times New Roman" w:hAnsi="Times New Roman" w:cs="Times New Roman" w:eastAsiaTheme="minorEastAsia"/>
          <w:kern w:val="0"/>
          <w:sz w:val="24"/>
          <w:szCs w:val="24"/>
          <w:highlight w:val="none"/>
          <w:lang w:val="en-US" w:eastAsia="zh-CN"/>
        </w:rPr>
        <w:t>关于进一步落实上市公司现金分红有关事项的通知</w:t>
      </w:r>
      <w:r>
        <w:rPr>
          <w:rFonts w:hint="eastAsia" w:ascii="Times New Roman" w:hAnsi="Times New Roman" w:cs="Times New Roman" w:eastAsiaTheme="minorEastAsia"/>
          <w:kern w:val="0"/>
          <w:sz w:val="24"/>
          <w:szCs w:val="24"/>
          <w:highlight w:val="none"/>
          <w:lang w:val="zh-CN" w:eastAsia="zh-CN"/>
        </w:rPr>
        <w:t>》、</w:t>
      </w:r>
      <w:r>
        <w:rPr>
          <w:rFonts w:hint="default" w:ascii="Times New Roman" w:hAnsi="Times New Roman" w:cs="Times New Roman" w:eastAsiaTheme="minorEastAsia"/>
          <w:kern w:val="0"/>
          <w:sz w:val="24"/>
          <w:szCs w:val="24"/>
          <w:highlight w:val="none"/>
          <w:lang w:val="zh-CN" w:eastAsia="zh-CN"/>
        </w:rPr>
        <w:t>《上市公司监管指引第3号—上市公司现金分红》、《上市公司自律监管规则适用指引第1号——规范运作》及《公司章程》等相关规定，结合年度审计会计师出具的202</w:t>
      </w:r>
      <w:r>
        <w:rPr>
          <w:rFonts w:hint="eastAsia" w:ascii="Times New Roman" w:hAnsi="Times New Roman" w:cs="Times New Roman" w:eastAsiaTheme="minorEastAsia"/>
          <w:kern w:val="0"/>
          <w:sz w:val="24"/>
          <w:szCs w:val="24"/>
          <w:highlight w:val="none"/>
          <w:lang w:val="en-US" w:eastAsia="zh-CN"/>
        </w:rPr>
        <w:t>1</w:t>
      </w:r>
      <w:r>
        <w:rPr>
          <w:rFonts w:hint="default" w:ascii="Times New Roman" w:hAnsi="Times New Roman" w:cs="Times New Roman" w:eastAsiaTheme="minorEastAsia"/>
          <w:kern w:val="0"/>
          <w:sz w:val="24"/>
          <w:szCs w:val="24"/>
          <w:highlight w:val="none"/>
          <w:lang w:val="zh-CN" w:eastAsia="zh-CN"/>
        </w:rPr>
        <w:t>年度《审计报告》，我们认为公司的202</w:t>
      </w:r>
      <w:r>
        <w:rPr>
          <w:rFonts w:hint="eastAsia" w:ascii="Times New Roman" w:hAnsi="Times New Roman" w:cs="Times New Roman" w:eastAsiaTheme="minorEastAsia"/>
          <w:kern w:val="0"/>
          <w:sz w:val="24"/>
          <w:szCs w:val="24"/>
          <w:highlight w:val="none"/>
          <w:lang w:val="en-US" w:eastAsia="zh-CN"/>
        </w:rPr>
        <w:t>1</w:t>
      </w:r>
      <w:r>
        <w:rPr>
          <w:rFonts w:hint="default" w:ascii="Times New Roman" w:hAnsi="Times New Roman" w:cs="Times New Roman" w:eastAsiaTheme="minorEastAsia"/>
          <w:kern w:val="0"/>
          <w:sz w:val="24"/>
          <w:szCs w:val="24"/>
          <w:highlight w:val="none"/>
          <w:lang w:val="zh-CN" w:eastAsia="zh-CN"/>
        </w:rPr>
        <w:t>年度利润分配预案结合了公司所处行业特点与公司实际经营情况，</w:t>
      </w:r>
      <w:r>
        <w:rPr>
          <w:rFonts w:hint="eastAsia" w:ascii="Times New Roman" w:hAnsi="Times New Roman" w:cs="Times New Roman" w:eastAsiaTheme="minorEastAsia"/>
          <w:kern w:val="0"/>
          <w:sz w:val="24"/>
          <w:szCs w:val="24"/>
          <w:highlight w:val="none"/>
          <w:lang w:val="en-US" w:eastAsia="zh-CN"/>
        </w:rPr>
        <w:t>综合考虑了公司正常经营和长远发展，</w:t>
      </w:r>
      <w:r>
        <w:rPr>
          <w:rFonts w:hint="default" w:ascii="Times New Roman" w:hAnsi="Times New Roman" w:cs="Times New Roman" w:eastAsiaTheme="minorEastAsia"/>
          <w:kern w:val="0"/>
          <w:sz w:val="24"/>
          <w:szCs w:val="24"/>
          <w:highlight w:val="none"/>
          <w:lang w:val="zh-CN" w:eastAsia="zh-CN"/>
        </w:rPr>
        <w:t>充分兼顾了股东的合理回报和公司可持续发展的要求，现金分红比例符合《公司章程》等规章的有关规定，分配</w:t>
      </w:r>
      <w:r>
        <w:rPr>
          <w:rFonts w:hint="eastAsia" w:ascii="Times New Roman" w:hAnsi="Times New Roman" w:cs="Times New Roman" w:eastAsiaTheme="minorEastAsia"/>
          <w:kern w:val="0"/>
          <w:sz w:val="24"/>
          <w:szCs w:val="24"/>
          <w:highlight w:val="none"/>
          <w:lang w:val="en-US" w:eastAsia="zh-CN"/>
        </w:rPr>
        <w:t>预案</w:t>
      </w:r>
      <w:r>
        <w:rPr>
          <w:rFonts w:hint="default" w:ascii="Times New Roman" w:hAnsi="Times New Roman" w:cs="Times New Roman" w:eastAsiaTheme="minorEastAsia"/>
          <w:kern w:val="0"/>
          <w:sz w:val="24"/>
          <w:szCs w:val="24"/>
          <w:highlight w:val="none"/>
          <w:lang w:val="zh-CN" w:eastAsia="zh-CN"/>
        </w:rPr>
        <w:t>合理。不存在损害公司及中小股东利益的情形，本次利润分配预案保持利润分配政策的连续性和合理性。我们同意公司关于《公司202</w:t>
      </w:r>
      <w:r>
        <w:rPr>
          <w:rFonts w:hint="eastAsia" w:ascii="Times New Roman" w:hAnsi="Times New Roman" w:cs="Times New Roman" w:eastAsiaTheme="minorEastAsia"/>
          <w:kern w:val="0"/>
          <w:sz w:val="24"/>
          <w:szCs w:val="24"/>
          <w:highlight w:val="none"/>
          <w:lang w:val="en-US" w:eastAsia="zh-CN"/>
        </w:rPr>
        <w:t>1</w:t>
      </w:r>
      <w:r>
        <w:rPr>
          <w:rFonts w:hint="default" w:ascii="Times New Roman" w:hAnsi="Times New Roman" w:cs="Times New Roman" w:eastAsiaTheme="minorEastAsia"/>
          <w:kern w:val="0"/>
          <w:sz w:val="24"/>
          <w:szCs w:val="24"/>
          <w:highlight w:val="none"/>
          <w:lang w:val="zh-CN" w:eastAsia="zh-CN"/>
        </w:rPr>
        <w:t>年度利润分配预案》的议案，并同意将该议案提交股东大会审议。</w:t>
      </w:r>
    </w:p>
    <w:p>
      <w:pPr>
        <w:numPr>
          <w:ilvl w:val="0"/>
          <w:numId w:val="3"/>
        </w:numPr>
        <w:spacing w:beforeLines="0" w:afterLines="0" w:line="360" w:lineRule="auto"/>
        <w:ind w:left="0" w:leftChars="0" w:firstLine="0" w:firstLineChars="0"/>
        <w:jc w:val="both"/>
        <w:rPr>
          <w:rFonts w:hint="default" w:ascii="Times New Roman" w:hAnsi="Times New Roman" w:eastAsia="宋体" w:cs="Times New Roman"/>
          <w:b/>
          <w:bCs/>
          <w:color w:val="000000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b/>
          <w:bCs/>
          <w:color w:val="000000"/>
          <w:sz w:val="24"/>
          <w:szCs w:val="24"/>
          <w:lang w:eastAsia="zh-CN"/>
        </w:rPr>
        <w:t>监事会意见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 w:firstLineChars="200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color w:val="000000"/>
          <w:sz w:val="24"/>
          <w:szCs w:val="24"/>
          <w:lang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</w:rPr>
        <w:t>公司已在《公司章程》中明确了利润分配政策并能够严格执行，在《公司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202</w:t>
      </w:r>
      <w:r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 w:eastAsiaTheme="minorEastAsia"/>
          <w:sz w:val="24"/>
          <w:szCs w:val="24"/>
        </w:rPr>
        <w:t>年年度报告》中对现金分红政策及其执行情况的披露真实、准确、完整。董事会在制订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202</w:t>
      </w:r>
      <w:r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 w:eastAsiaTheme="minorEastAsia"/>
          <w:sz w:val="24"/>
          <w:szCs w:val="24"/>
        </w:rPr>
        <w:t>年度利润分配预案时作出了</w:t>
      </w:r>
      <w:r>
        <w:rPr>
          <w:rFonts w:hint="default" w:ascii="Times New Roman" w:hAnsi="Times New Roman" w:cs="Times New Roman" w:eastAsiaTheme="minorEastAsia"/>
          <w:sz w:val="24"/>
          <w:szCs w:val="24"/>
          <w:highlight w:val="none"/>
        </w:rPr>
        <w:t>每10股派发现金红利</w:t>
      </w:r>
      <w:r>
        <w:rPr>
          <w:rFonts w:hint="default" w:ascii="Times New Roman" w:hAnsi="Times New Roman" w:cs="Times New Roman" w:eastAsiaTheme="minorEastAsia"/>
          <w:sz w:val="24"/>
          <w:szCs w:val="24"/>
          <w:highlight w:val="none"/>
          <w:lang w:val="en-US" w:eastAsia="zh-CN"/>
        </w:rPr>
        <w:t>1.</w:t>
      </w:r>
      <w:r>
        <w:rPr>
          <w:rFonts w:hint="eastAsia" w:ascii="Times New Roman" w:hAnsi="Times New Roman" w:cs="Times New Roman" w:eastAsiaTheme="minorEastAsia"/>
          <w:sz w:val="24"/>
          <w:szCs w:val="24"/>
          <w:highlight w:val="none"/>
          <w:lang w:val="en-US" w:eastAsia="zh-CN"/>
        </w:rPr>
        <w:t>3</w:t>
      </w:r>
      <w:r>
        <w:rPr>
          <w:rFonts w:hint="default" w:ascii="Times New Roman" w:hAnsi="Times New Roman" w:cs="Times New Roman" w:eastAsiaTheme="minorEastAsia"/>
          <w:sz w:val="24"/>
          <w:szCs w:val="24"/>
          <w:highlight w:val="none"/>
          <w:lang w:val="en-US" w:eastAsia="zh-CN"/>
        </w:rPr>
        <w:t>0</w:t>
      </w:r>
      <w:r>
        <w:rPr>
          <w:rFonts w:hint="default" w:ascii="Times New Roman" w:hAnsi="Times New Roman" w:cs="Times New Roman" w:eastAsiaTheme="minorEastAsia"/>
          <w:sz w:val="24"/>
          <w:szCs w:val="24"/>
          <w:highlight w:val="none"/>
        </w:rPr>
        <w:t>元（含税）的决定，符合相关法律法规和《公司章程》的要求，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且是在综合考虑公司202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年度的业绩情况及公司未来经营发展对资金需求的情况下做出的，不存在损害中小股东合法权益的情形，</w:t>
      </w:r>
      <w:r>
        <w:rPr>
          <w:rFonts w:hint="default" w:ascii="Times New Roman" w:hAnsi="Times New Roman" w:cs="Times New Roman" w:eastAsiaTheme="minorEastAsia"/>
          <w:sz w:val="24"/>
          <w:szCs w:val="24"/>
          <w:highlight w:val="none"/>
        </w:rPr>
        <w:t>决策程序合法、规范，充分回报投资者对公司发展的支持。</w:t>
      </w:r>
    </w:p>
    <w:p>
      <w:pPr>
        <w:numPr>
          <w:ilvl w:val="0"/>
          <w:numId w:val="2"/>
        </w:numPr>
        <w:spacing w:beforeLines="0" w:afterLines="0" w:line="360" w:lineRule="auto"/>
        <w:ind w:left="0" w:leftChars="0" w:firstLine="0" w:firstLineChars="0"/>
        <w:jc w:val="left"/>
        <w:rPr>
          <w:rFonts w:hint="default" w:ascii="Times New Roman" w:hAnsi="Times New Roman" w:eastAsia="宋体" w:cs="Times New Roman"/>
          <w:b/>
          <w:bCs/>
          <w:color w:val="000000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b/>
          <w:bCs/>
          <w:color w:val="000000"/>
          <w:sz w:val="24"/>
          <w:szCs w:val="24"/>
          <w:lang w:eastAsia="zh-CN"/>
        </w:rPr>
        <w:t>风险提示</w:t>
      </w:r>
    </w:p>
    <w:p>
      <w:pPr>
        <w:numPr>
          <w:ilvl w:val="0"/>
          <w:numId w:val="0"/>
        </w:numPr>
        <w:spacing w:beforeLines="0" w:afterLines="0" w:line="360" w:lineRule="auto"/>
        <w:ind w:left="0" w:leftChars="0" w:firstLine="398" w:firstLineChars="166"/>
        <w:jc w:val="both"/>
        <w:rPr>
          <w:rFonts w:hint="default" w:ascii="Times New Roman" w:hAnsi="Times New Roman" w:eastAsia="宋体" w:cs="Times New Roman"/>
          <w:b w:val="0"/>
          <w:bCs w:val="0"/>
          <w:color w:val="000000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000000"/>
          <w:sz w:val="24"/>
          <w:szCs w:val="24"/>
          <w:highlight w:val="none"/>
          <w:lang w:eastAsia="zh-CN"/>
        </w:rPr>
        <w:t>本次利润分配预案综合考虑了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highlight w:val="none"/>
          <w:lang w:eastAsia="zh-CN"/>
        </w:rPr>
        <w:t>公司发展阶段、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sz w:val="24"/>
          <w:szCs w:val="24"/>
          <w:highlight w:val="none"/>
          <w:lang w:eastAsia="zh-CN"/>
        </w:rPr>
        <w:t>整体经营情况及未来的资金需求等因素，不会对公司经营现金流产生重大影响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highlight w:val="none"/>
          <w:lang w:eastAsia="zh-CN"/>
        </w:rPr>
        <w:t>，不会影响公司正常经营和长期发展。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sz w:val="24"/>
          <w:szCs w:val="24"/>
          <w:lang w:eastAsia="zh-CN"/>
        </w:rPr>
        <w:t>本次利润分配</w:t>
      </w:r>
      <w:r>
        <w:rPr>
          <w:rFonts w:hint="eastAsia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  <w:t>预案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sz w:val="24"/>
          <w:szCs w:val="24"/>
          <w:lang w:eastAsia="zh-CN"/>
        </w:rPr>
        <w:t>对公司股东享有的净资产权益及持股比例不产生实质性影响。</w:t>
      </w:r>
    </w:p>
    <w:p>
      <w:pPr>
        <w:numPr>
          <w:ilvl w:val="0"/>
          <w:numId w:val="0"/>
        </w:numPr>
        <w:spacing w:beforeLines="0" w:afterLines="0" w:line="360" w:lineRule="auto"/>
        <w:ind w:left="0" w:leftChars="0" w:firstLine="398" w:firstLineChars="166"/>
        <w:jc w:val="both"/>
        <w:rPr>
          <w:rFonts w:hint="default" w:ascii="Times New Roman" w:hAnsi="Times New Roman" w:eastAsia="宋体" w:cs="Times New Roman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000000"/>
          <w:sz w:val="24"/>
          <w:szCs w:val="24"/>
          <w:lang w:eastAsia="zh-CN"/>
        </w:rPr>
        <w:t>本次利润分配预案尚需提</w:t>
      </w:r>
      <w:bookmarkStart w:id="1" w:name="_GoBack"/>
      <w:bookmarkEnd w:id="1"/>
      <w:r>
        <w:rPr>
          <w:rFonts w:hint="default" w:ascii="Times New Roman" w:hAnsi="Times New Roman" w:eastAsia="宋体" w:cs="Times New Roman"/>
          <w:b w:val="0"/>
          <w:bCs w:val="0"/>
          <w:color w:val="000000"/>
          <w:sz w:val="24"/>
          <w:szCs w:val="24"/>
          <w:lang w:eastAsia="zh-CN"/>
        </w:rPr>
        <w:t>交公司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  <w:t>202</w:t>
      </w:r>
      <w:r>
        <w:rPr>
          <w:rFonts w:hint="eastAsia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sz w:val="24"/>
          <w:szCs w:val="24"/>
          <w:lang w:val="en-US" w:eastAsia="zh-CN"/>
        </w:rPr>
        <w:t>年年度股东大会审议通过后方可实施，存在被股东大会否决的风险。</w:t>
      </w:r>
    </w:p>
    <w:p>
      <w:pPr>
        <w:numPr>
          <w:ilvl w:val="0"/>
          <w:numId w:val="0"/>
        </w:numPr>
        <w:spacing w:beforeLines="0" w:afterLines="0" w:line="360" w:lineRule="auto"/>
        <w:ind w:left="0" w:leftChars="0" w:firstLine="398" w:firstLineChars="166"/>
        <w:jc w:val="both"/>
        <w:rPr>
          <w:rFonts w:hint="default" w:ascii="Times New Roman" w:hAnsi="Times New Roman" w:eastAsia="宋体" w:cs="Times New Roman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000000"/>
          <w:sz w:val="24"/>
          <w:szCs w:val="24"/>
          <w:lang w:val="en-US" w:eastAsia="zh-CN"/>
        </w:rPr>
        <w:t>敬请广大投资者理性判断，并注意投资风险。</w:t>
      </w:r>
    </w:p>
    <w:p>
      <w:pPr>
        <w:spacing w:beforeLines="0" w:afterLines="0" w:line="360" w:lineRule="auto"/>
        <w:ind w:left="0" w:leftChars="0" w:firstLine="400" w:firstLineChars="0"/>
        <w:jc w:val="lef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特此公告。</w:t>
      </w:r>
    </w:p>
    <w:p>
      <w:pPr>
        <w:spacing w:beforeLines="0" w:afterLines="0" w:line="360" w:lineRule="auto"/>
        <w:ind w:left="0" w:leftChars="0" w:firstLine="400" w:firstLineChars="0"/>
        <w:jc w:val="lef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spacing w:beforeLines="0" w:afterLines="0" w:line="360" w:lineRule="auto"/>
        <w:ind w:left="0" w:leftChars="0" w:firstLine="400" w:firstLineChars="0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eastAsia="zh-CN"/>
        </w:rPr>
        <w:t>格尔软件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股份有限公司董事会</w:t>
      </w:r>
    </w:p>
    <w:p>
      <w:pPr>
        <w:spacing w:beforeLines="0" w:afterLines="0" w:line="360" w:lineRule="auto"/>
        <w:ind w:left="0" w:leftChars="0" w:firstLine="400" w:firstLineChars="0"/>
        <w:jc w:val="righ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20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2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2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0" w:h="16838"/>
      <w:pgMar w:top="1440" w:right="1780" w:bottom="1440" w:left="1800" w:header="0" w:footer="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0890E42"/>
    <w:multiLevelType w:val="singleLevel"/>
    <w:tmpl w:val="D0890E42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>
    <w:nsid w:val="20C23A10"/>
    <w:multiLevelType w:val="singleLevel"/>
    <w:tmpl w:val="20C23A10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">
    <w:nsid w:val="2FC783BF"/>
    <w:multiLevelType w:val="singleLevel"/>
    <w:tmpl w:val="2FC783BF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922D17"/>
    <w:rsid w:val="00491A48"/>
    <w:rsid w:val="018E4822"/>
    <w:rsid w:val="027576DF"/>
    <w:rsid w:val="02AF4FED"/>
    <w:rsid w:val="03497F4C"/>
    <w:rsid w:val="04BC2DF0"/>
    <w:rsid w:val="05202816"/>
    <w:rsid w:val="05B5678A"/>
    <w:rsid w:val="075B2249"/>
    <w:rsid w:val="07832D9E"/>
    <w:rsid w:val="07F8102D"/>
    <w:rsid w:val="083E47F0"/>
    <w:rsid w:val="08C60F31"/>
    <w:rsid w:val="09D3197B"/>
    <w:rsid w:val="0AC149D4"/>
    <w:rsid w:val="0BA22B95"/>
    <w:rsid w:val="0BC4590D"/>
    <w:rsid w:val="0BE8347C"/>
    <w:rsid w:val="0D922D17"/>
    <w:rsid w:val="0EC51302"/>
    <w:rsid w:val="0F34760A"/>
    <w:rsid w:val="11535FD3"/>
    <w:rsid w:val="123A70E5"/>
    <w:rsid w:val="15462F97"/>
    <w:rsid w:val="17E62CEF"/>
    <w:rsid w:val="1A3F6DFB"/>
    <w:rsid w:val="1B805763"/>
    <w:rsid w:val="1D36117A"/>
    <w:rsid w:val="1D454011"/>
    <w:rsid w:val="1DE640C3"/>
    <w:rsid w:val="1E125A00"/>
    <w:rsid w:val="1F6C3676"/>
    <w:rsid w:val="29A7485D"/>
    <w:rsid w:val="2DF44503"/>
    <w:rsid w:val="2E4E7A2B"/>
    <w:rsid w:val="2E80779D"/>
    <w:rsid w:val="38D05A6D"/>
    <w:rsid w:val="390212BA"/>
    <w:rsid w:val="397D10DC"/>
    <w:rsid w:val="39B02A11"/>
    <w:rsid w:val="3AF7441B"/>
    <w:rsid w:val="3EE1443F"/>
    <w:rsid w:val="3EFB2631"/>
    <w:rsid w:val="403B3F1D"/>
    <w:rsid w:val="40461D28"/>
    <w:rsid w:val="42FD048C"/>
    <w:rsid w:val="433B62FA"/>
    <w:rsid w:val="43426F87"/>
    <w:rsid w:val="44766DB8"/>
    <w:rsid w:val="44F814DA"/>
    <w:rsid w:val="48000720"/>
    <w:rsid w:val="4A0E310F"/>
    <w:rsid w:val="4C565D83"/>
    <w:rsid w:val="50791FF4"/>
    <w:rsid w:val="56FD7F32"/>
    <w:rsid w:val="57102CB0"/>
    <w:rsid w:val="57F463D0"/>
    <w:rsid w:val="59DB62D9"/>
    <w:rsid w:val="5C646231"/>
    <w:rsid w:val="5C9A3061"/>
    <w:rsid w:val="609A26F5"/>
    <w:rsid w:val="66066C4D"/>
    <w:rsid w:val="6736715E"/>
    <w:rsid w:val="67BF6746"/>
    <w:rsid w:val="683A721E"/>
    <w:rsid w:val="688A543D"/>
    <w:rsid w:val="68BA5CE9"/>
    <w:rsid w:val="692A202C"/>
    <w:rsid w:val="6B797D08"/>
    <w:rsid w:val="6DBF37EC"/>
    <w:rsid w:val="6E471F02"/>
    <w:rsid w:val="6EEB27AF"/>
    <w:rsid w:val="6FC56E5E"/>
    <w:rsid w:val="70BD7855"/>
    <w:rsid w:val="70F51DBB"/>
    <w:rsid w:val="73911D1F"/>
    <w:rsid w:val="757C51F4"/>
    <w:rsid w:val="75A620CB"/>
    <w:rsid w:val="76CC503A"/>
    <w:rsid w:val="798B0546"/>
    <w:rsid w:val="7A656D7F"/>
    <w:rsid w:val="7E832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eastAsia="宋体" w:cs="Times New Roman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1386</Words>
  <Characters>1542</Characters>
  <Lines>0</Lines>
  <Paragraphs>0</Paragraphs>
  <TotalTime>15</TotalTime>
  <ScaleCrop>false</ScaleCrop>
  <LinksUpToDate>false</LinksUpToDate>
  <CharactersWithSpaces>1563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2021-04-17T02:13:00Z</dcterms:created>
  <dc:creator>suuuu</dc:creator>
  <cp:lastModifiedBy>邹岩</cp:lastModifiedBy>
  <dcterms:modified xsi:type="dcterms:W3CDTF">2022-04-25T02:07:24Z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7AED582A7EDF4C63B72572F16A653B5C</vt:lpwstr>
  </property>
  <property fmtid="{D5CDD505-2E9C-101B-9397-08002B2CF9AE}" pid="4" name="commondata">
    <vt:lpwstr>eyJoZGlkIjoiZWUyYWQ5MTRiODJkMzMyNTEyOWUyNjA4ZWY1NmI1OTUifQ==</vt:lpwstr>
  </property>
</Properties>
</file>