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lang w:val="en-US" w:eastAsia="zh-CN"/>
        </w:rPr>
        <w:t>2</w:t>
      </w:r>
      <w:r>
        <w:rPr>
          <w:szCs w:val="21"/>
          <w:highlight w:val="none"/>
        </w:rPr>
        <w:t>-</w:t>
      </w:r>
      <w:r>
        <w:rPr>
          <w:rFonts w:hint="eastAsia"/>
          <w:szCs w:val="21"/>
          <w:highlight w:val="none"/>
          <w:lang w:val="en-US" w:eastAsia="zh-CN"/>
        </w:rPr>
        <w:t>023</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widowControl/>
        <w:numPr>
          <w:ilvl w:val="0"/>
          <w:numId w:val="1"/>
        </w:numPr>
        <w:suppressLineNumbers w:val="0"/>
        <w:spacing w:line="360" w:lineRule="auto"/>
        <w:ind w:left="420" w:leftChars="0" w:hanging="420" w:firstLineChars="0"/>
        <w:jc w:val="left"/>
        <w:rPr>
          <w:rFonts w:eastAsia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委托理财受托方：</w:t>
      </w:r>
      <w:r>
        <w:rPr>
          <w:rFonts w:hint="eastAsia" w:eastAsiaTheme="minorEastAsia"/>
          <w:color w:val="000000"/>
          <w:kern w:val="0"/>
          <w:sz w:val="24"/>
          <w:szCs w:val="24"/>
          <w:highlight w:val="none"/>
          <w:lang w:val="en-US" w:eastAsia="zh-CN" w:bidi="ar"/>
        </w:rPr>
        <w:t>招商银行股份有限公司</w:t>
      </w:r>
      <w:r>
        <w:rPr>
          <w:rFonts w:eastAsiaTheme="minorEastAsia"/>
          <w:color w:val="000000"/>
          <w:kern w:val="0"/>
          <w:sz w:val="24"/>
          <w:szCs w:val="24"/>
          <w:highlight w:val="none"/>
          <w:lang w:bidi="ar"/>
        </w:rPr>
        <w:t>（以下简称</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val="en-US" w:eastAsia="zh-CN" w:bidi="ar"/>
        </w:rPr>
        <w:t>招商银行</w:t>
      </w:r>
      <w:r>
        <w:rPr>
          <w:rFonts w:hint="eastAsia" w:eastAsiaTheme="minorEastAsia"/>
          <w:color w:val="000000"/>
          <w:kern w:val="0"/>
          <w:sz w:val="24"/>
          <w:szCs w:val="24"/>
          <w:highlight w:val="none"/>
          <w:lang w:eastAsia="zh-CN"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3,500</w:t>
      </w:r>
      <w:r>
        <w:rPr>
          <w:rFonts w:eastAsiaTheme="minorEastAsia"/>
          <w:color w:val="000000"/>
          <w:kern w:val="0"/>
          <w:sz w:val="24"/>
          <w:szCs w:val="24"/>
          <w:highlight w:val="none"/>
          <w:lang w:bidi="ar"/>
        </w:rPr>
        <w:t>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eastAsia="zh-CN" w:bidi="ar"/>
        </w:rPr>
        <w:t>：招商银行点金系列看跌三层区间91天结构性存款（</w:t>
      </w:r>
      <w:r>
        <w:rPr>
          <w:rFonts w:hint="eastAsia" w:eastAsiaTheme="minorEastAsia"/>
          <w:color w:val="000000"/>
          <w:kern w:val="0"/>
          <w:sz w:val="24"/>
          <w:szCs w:val="24"/>
          <w:highlight w:val="none"/>
          <w:lang w:val="en-US" w:eastAsia="zh-CN" w:bidi="ar"/>
        </w:rPr>
        <w:t>以下简称“点金系列看跌91天结构性存款”</w:t>
      </w:r>
      <w:r>
        <w:rPr>
          <w:rFonts w:hint="eastAsia" w:eastAsia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cs="Times New Roman" w:eastAsiaTheme="minorEastAsia"/>
          <w:color w:val="000000"/>
          <w:kern w:val="0"/>
          <w:sz w:val="24"/>
          <w:szCs w:val="24"/>
          <w:highlight w:val="none"/>
          <w:lang w:val="en-US" w:eastAsia="zh-CN" w:bidi="ar"/>
        </w:rPr>
        <w:t>91</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highlight w:val="none"/>
          <w:lang w:bidi="ar"/>
        </w:rPr>
        <w:t>履行的审议程序：格尔软件股份有限公司（以下简称</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公司</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2"/>
        <w:tblW w:w="8926" w:type="dxa"/>
        <w:jc w:val="center"/>
        <w:tblLayout w:type="fixed"/>
        <w:tblCellMar>
          <w:top w:w="0" w:type="dxa"/>
          <w:left w:w="108" w:type="dxa"/>
          <w:bottom w:w="0" w:type="dxa"/>
          <w:right w:w="108" w:type="dxa"/>
        </w:tblCellMar>
      </w:tblPr>
      <w:tblGrid>
        <w:gridCol w:w="669"/>
        <w:gridCol w:w="862"/>
        <w:gridCol w:w="1387"/>
        <w:gridCol w:w="834"/>
        <w:gridCol w:w="892"/>
        <w:gridCol w:w="916"/>
        <w:gridCol w:w="742"/>
        <w:gridCol w:w="1266"/>
        <w:gridCol w:w="692"/>
        <w:gridCol w:w="666"/>
      </w:tblGrid>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6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kern w:val="0"/>
                <w:szCs w:val="21"/>
                <w:highlight w:val="none"/>
                <w:lang w:val="en-US" w:eastAsia="zh-CN"/>
              </w:rPr>
            </w:pPr>
            <w:r>
              <w:rPr>
                <w:rFonts w:hint="eastAsia" w:eastAsiaTheme="minorEastAsia"/>
                <w:color w:val="000000"/>
                <w:kern w:val="0"/>
                <w:szCs w:val="21"/>
                <w:highlight w:val="none"/>
                <w:lang w:val="en-US" w:eastAsia="zh-CN"/>
              </w:rPr>
              <w:t>招商银行</w:t>
            </w:r>
          </w:p>
        </w:tc>
        <w:tc>
          <w:tcPr>
            <w:tcW w:w="86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kern w:val="0"/>
                <w:szCs w:val="21"/>
                <w:highlight w:val="none"/>
                <w:lang w:val="en-US" w:eastAsia="zh-CN"/>
              </w:rPr>
            </w:pPr>
            <w:r>
              <w:rPr>
                <w:rFonts w:hint="eastAsia" w:eastAsiaTheme="minorEastAsia"/>
                <w:color w:val="000000"/>
                <w:szCs w:val="21"/>
                <w:highlight w:val="none"/>
                <w:lang w:val="en-US" w:eastAsia="zh-CN"/>
              </w:rPr>
              <w:t>银行理财产品</w:t>
            </w:r>
          </w:p>
        </w:tc>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yellow"/>
              </w:rPr>
            </w:pPr>
            <w:r>
              <w:rPr>
                <w:rFonts w:hint="eastAsia" w:eastAsiaTheme="minorEastAsia"/>
                <w:color w:val="000000"/>
                <w:kern w:val="0"/>
                <w:szCs w:val="21"/>
                <w:highlight w:val="none"/>
              </w:rPr>
              <w:t>点金系列看跌91天结构性存款</w:t>
            </w:r>
          </w:p>
        </w:tc>
        <w:tc>
          <w:tcPr>
            <w:tcW w:w="83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hint="default" w:eastAsiaTheme="minorEastAsia"/>
                <w:color w:val="000000"/>
                <w:szCs w:val="21"/>
                <w:highlight w:val="none"/>
                <w:lang w:val="en-US"/>
              </w:rPr>
            </w:pPr>
            <w:r>
              <w:rPr>
                <w:rFonts w:hint="eastAsia" w:eastAsiaTheme="minorEastAsia"/>
                <w:color w:val="000000"/>
                <w:kern w:val="0"/>
                <w:szCs w:val="21"/>
                <w:highlight w:val="none"/>
                <w:lang w:val="en-US" w:eastAsia="zh-CN" w:bidi="ar"/>
              </w:rPr>
              <w:t>3,500</w:t>
            </w:r>
          </w:p>
        </w:tc>
        <w:tc>
          <w:tcPr>
            <w:tcW w:w="8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rPr>
            </w:pPr>
            <w:r>
              <w:rPr>
                <w:rFonts w:hint="eastAsia" w:eastAsiaTheme="minorEastAsia"/>
                <w:color w:val="000000"/>
                <w:szCs w:val="21"/>
                <w:highlight w:val="none"/>
                <w:lang w:val="en-US" w:eastAsia="zh-CN"/>
              </w:rPr>
              <w:t>1.60%/3.05%/3.25%</w:t>
            </w:r>
          </w:p>
        </w:tc>
        <w:tc>
          <w:tcPr>
            <w:tcW w:w="91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none"/>
                <w:lang w:val="en-US" w:eastAsia="zh-CN"/>
              </w:rPr>
            </w:pPr>
            <w:r>
              <w:rPr>
                <w:rFonts w:hint="eastAsia" w:eastAsiaTheme="minorEastAsia"/>
                <w:color w:val="000000"/>
                <w:szCs w:val="21"/>
                <w:highlight w:val="none"/>
                <w:lang w:val="en-US" w:eastAsia="zh-CN"/>
              </w:rPr>
              <w:t>-</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hint="eastAsia" w:eastAsiaTheme="minorEastAsia"/>
                <w:color w:val="000000"/>
                <w:szCs w:val="21"/>
                <w:highlight w:val="none"/>
                <w:lang w:val="en-US" w:eastAsia="zh-CN"/>
              </w:rPr>
              <w:t>91</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yellow"/>
              </w:rPr>
            </w:pPr>
            <w:r>
              <w:rPr>
                <w:rFonts w:hint="eastAsia" w:eastAsiaTheme="minorEastAsia"/>
                <w:bCs/>
                <w:color w:val="000000"/>
                <w:kern w:val="0"/>
                <w:szCs w:val="21"/>
                <w:highlight w:val="none"/>
                <w:lang w:val="en-US" w:eastAsia="zh-CN"/>
              </w:rPr>
              <w:t>保本浮动</w:t>
            </w:r>
            <w:r>
              <w:rPr>
                <w:rFonts w:hint="eastAsia" w:eastAsiaTheme="minorEastAsia"/>
                <w:bCs/>
                <w:color w:val="000000"/>
                <w:kern w:val="0"/>
                <w:szCs w:val="21"/>
                <w:highlight w:val="none"/>
              </w:rPr>
              <w:t>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none"/>
              </w:rPr>
            </w:pPr>
            <w:r>
              <w:rPr>
                <w:rFonts w:eastAsiaTheme="minorEastAsia"/>
                <w:color w:val="000000"/>
                <w:szCs w:val="21"/>
                <w:highlight w:val="none"/>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highlight w:val="none"/>
        </w:rPr>
        <w:t>公司根据</w:t>
      </w:r>
      <w:r>
        <w:rPr>
          <w:rFonts w:hint="eastAsia" w:eastAsiaTheme="minorEastAsia"/>
          <w:color w:val="000000"/>
          <w:sz w:val="24"/>
          <w:szCs w:val="24"/>
          <w:highlight w:val="none"/>
          <w:lang w:eastAsia="zh-CN"/>
        </w:rPr>
        <w:t>《</w:t>
      </w:r>
      <w:r>
        <w:rPr>
          <w:rFonts w:hint="eastAsia" w:eastAsiaTheme="minorEastAsia"/>
          <w:color w:val="000000"/>
          <w:sz w:val="24"/>
          <w:szCs w:val="24"/>
          <w:highlight w:val="none"/>
          <w:lang w:val="en-US" w:eastAsia="zh-CN"/>
        </w:rPr>
        <w:t>上市公司监管指引第2号--上市公司募集资金管理和使用的监管要求</w:t>
      </w:r>
      <w:r>
        <w:rPr>
          <w:rFonts w:hint="eastAsia" w:eastAsiaTheme="minorEastAsia"/>
          <w:color w:val="000000"/>
          <w:sz w:val="24"/>
          <w:szCs w:val="24"/>
          <w:highlight w:val="none"/>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二</w:t>
      </w: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b/>
          <w:bCs/>
          <w:color w:val="000000"/>
          <w:sz w:val="24"/>
          <w:szCs w:val="24"/>
          <w:highlight w:val="none"/>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highlight w:val="none"/>
        </w:rPr>
      </w:pPr>
      <w:r>
        <w:rPr>
          <w:rFonts w:hint="eastAsia" w:eastAsiaTheme="minorEastAsia"/>
          <w:b/>
          <w:color w:val="000000"/>
          <w:sz w:val="24"/>
          <w:szCs w:val="24"/>
          <w:highlight w:val="none"/>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yellow"/>
        </w:rPr>
      </w:pPr>
      <w:r>
        <w:rPr>
          <w:rFonts w:hint="eastAsia" w:eastAsiaTheme="minorEastAsia"/>
          <w:color w:val="000000"/>
          <w:sz w:val="24"/>
          <w:szCs w:val="24"/>
          <w:highlight w:val="none"/>
        </w:rPr>
        <w:t>1、</w:t>
      </w:r>
      <w:r>
        <w:rPr>
          <w:rFonts w:hint="eastAsia" w:eastAsiaTheme="minorEastAsia"/>
          <w:color w:val="000000"/>
          <w:kern w:val="0"/>
          <w:sz w:val="24"/>
          <w:szCs w:val="24"/>
          <w:highlight w:val="none"/>
          <w:lang w:val="en-US" w:eastAsia="zh-CN" w:bidi="ar"/>
        </w:rPr>
        <w:t>点金系列看跌91天结构性存款</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6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产品名称</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招商银行点金系列看跌三层区间91天结构性存款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产品代码</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NSH02927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产品类型</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银行理财产品</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产品期限</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91天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本金（万元）</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收益类型</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产品起息日期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2022年6月1日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产品到期日期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2022年8月31日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lang w:val="en-US" w:eastAsia="zh-CN"/>
              </w:rPr>
              <w:t>产品观察日期</w:t>
            </w:r>
          </w:p>
        </w:tc>
        <w:tc>
          <w:tcPr>
            <w:tcW w:w="6323" w:type="dxa"/>
            <w:vAlign w:val="center"/>
          </w:tcPr>
          <w:p>
            <w:pPr>
              <w:autoSpaceDE w:val="0"/>
              <w:autoSpaceDN w:val="0"/>
              <w:adjustRightInd w:val="0"/>
              <w:jc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2022年8月26日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199" w:type="dxa"/>
            <w:vMerge w:val="restart"/>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lang w:val="en-US" w:eastAsia="zh-CN"/>
              </w:rPr>
              <w:t>挂钩标的</w:t>
            </w:r>
          </w:p>
        </w:tc>
        <w:tc>
          <w:tcPr>
            <w:tcW w:w="6323" w:type="dxa"/>
            <w:vAlign w:val="center"/>
          </w:tcPr>
          <w:p>
            <w:pPr>
              <w:autoSpaceDE w:val="0"/>
              <w:autoSpaceDN w:val="0"/>
              <w:adjustRightInd w:val="0"/>
              <w:jc w:val="center"/>
              <w:rPr>
                <w:rFonts w:hint="default"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199" w:type="dxa"/>
            <w:vMerge w:val="continue"/>
            <w:vAlign w:val="center"/>
          </w:tcPr>
          <w:p>
            <w:pPr>
              <w:autoSpaceDE w:val="0"/>
              <w:autoSpaceDN w:val="0"/>
              <w:adjustRightInd w:val="0"/>
              <w:jc w:val="center"/>
            </w:pPr>
          </w:p>
        </w:tc>
        <w:tc>
          <w:tcPr>
            <w:tcW w:w="6323" w:type="dxa"/>
            <w:vAlign w:val="center"/>
          </w:tcPr>
          <w:p>
            <w:pPr>
              <w:autoSpaceDE w:val="0"/>
              <w:autoSpaceDN w:val="0"/>
              <w:adjustRightInd w:val="0"/>
              <w:jc w:val="both"/>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期初价格：指存款起息日当日彭博终端BFIX界面公布的北京时间14:00的XAU/USD定盘价格的中间价。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2199" w:type="dxa"/>
            <w:vMerge w:val="continue"/>
            <w:vAlign w:val="center"/>
          </w:tcPr>
          <w:p>
            <w:pPr>
              <w:autoSpaceDE w:val="0"/>
              <w:autoSpaceDN w:val="0"/>
              <w:adjustRightInd w:val="0"/>
              <w:jc w:val="center"/>
              <w:rPr>
                <w:rFonts w:hint="eastAsia" w:eastAsiaTheme="minorEastAsia"/>
                <w:bCs/>
                <w:color w:val="000000"/>
                <w:kern w:val="0"/>
                <w:szCs w:val="21"/>
                <w:highlight w:val="yellow"/>
                <w:lang w:val="en-US" w:eastAsia="zh-CN"/>
              </w:rPr>
            </w:pPr>
          </w:p>
        </w:tc>
        <w:tc>
          <w:tcPr>
            <w:tcW w:w="6323" w:type="dxa"/>
            <w:vAlign w:val="center"/>
          </w:tcPr>
          <w:p>
            <w:pPr>
              <w:autoSpaceDE w:val="0"/>
              <w:autoSpaceDN w:val="0"/>
              <w:adjustRightInd w:val="0"/>
              <w:jc w:val="both"/>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期末价格：指存款观察日当日伦敦金银市场协会发布的以美元计价下午定盘价，该价格在彭博资讯（BLOOMBERG）参照页面“GOLDLNPMIndex”每日公布。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99" w:type="dxa"/>
            <w:vAlign w:val="center"/>
          </w:tcPr>
          <w:p>
            <w:pPr>
              <w:autoSpaceDE w:val="0"/>
              <w:autoSpaceDN w:val="0"/>
              <w:adjustRightInd w:val="0"/>
              <w:jc w:val="center"/>
              <w:rPr>
                <w:rFonts w:asciiTheme="minorEastAsia" w:hAnsiTheme="minorEastAsia" w:eastAsiaTheme="minorEastAsia" w:cstheme="minorEastAsia"/>
                <w:b/>
                <w:color w:val="000000"/>
                <w:kern w:val="0"/>
                <w:szCs w:val="21"/>
                <w:highlight w:val="none"/>
              </w:rPr>
            </w:pPr>
            <w:r>
              <w:rPr>
                <w:rFonts w:hint="eastAsia" w:asciiTheme="minorEastAsia" w:hAnsiTheme="minorEastAsia" w:eastAsiaTheme="minorEastAsia" w:cstheme="minorEastAsia"/>
                <w:b/>
                <w:color w:val="000000"/>
                <w:kern w:val="0"/>
                <w:szCs w:val="21"/>
                <w:highlight w:val="none"/>
              </w:rPr>
              <w:t>产品预期年化收益率</w:t>
            </w:r>
          </w:p>
        </w:tc>
        <w:tc>
          <w:tcPr>
            <w:tcW w:w="6323" w:type="dxa"/>
            <w:vAlign w:val="center"/>
          </w:tcPr>
          <w:p>
            <w:pPr>
              <w:keepNext w:val="0"/>
              <w:keepLines w:val="0"/>
              <w:widowControl/>
              <w:suppressLineNumbers w:val="0"/>
              <w:jc w:val="both"/>
              <w:textAlignment w:val="center"/>
              <w:rPr>
                <w:rFonts w:hint="default" w:eastAsiaTheme="minorEastAsia"/>
                <w:bCs/>
                <w:color w:val="000000"/>
                <w:kern w:val="0"/>
                <w:szCs w:val="21"/>
                <w:highlight w:val="none"/>
                <w:lang w:val="en-US"/>
              </w:rPr>
            </w:pPr>
            <w:r>
              <w:rPr>
                <w:rFonts w:hint="default" w:eastAsiaTheme="minorEastAsia"/>
                <w:bCs/>
                <w:color w:val="000000"/>
                <w:kern w:val="0"/>
                <w:szCs w:val="21"/>
                <w:highlight w:val="none"/>
                <w:lang w:val="en-US"/>
              </w:rPr>
              <w:t>第一重波动区间是指黄金价格从</w:t>
            </w:r>
            <w:r>
              <w:rPr>
                <w:rFonts w:hint="eastAsia" w:ascii="宋体" w:hAnsi="宋体" w:eastAsia="宋体" w:cs="宋体"/>
                <w:bCs/>
                <w:color w:val="000000"/>
                <w:kern w:val="0"/>
                <w:szCs w:val="21"/>
                <w:highlight w:val="none"/>
                <w:lang w:val="en-US"/>
              </w:rPr>
              <w:t>“期</w:t>
            </w:r>
            <w:r>
              <w:rPr>
                <w:rFonts w:hint="default" w:eastAsiaTheme="minorEastAsia"/>
                <w:bCs/>
                <w:color w:val="000000"/>
                <w:kern w:val="0"/>
                <w:szCs w:val="21"/>
                <w:highlight w:val="none"/>
                <w:lang w:val="en-US"/>
              </w:rPr>
              <w:t>初价格-218</w:t>
            </w:r>
            <w:r>
              <w:rPr>
                <w:rFonts w:hint="eastAsia" w:ascii="宋体" w:hAnsi="宋体" w:eastAsia="宋体" w:cs="宋体"/>
                <w:bCs/>
                <w:color w:val="000000"/>
                <w:kern w:val="0"/>
                <w:szCs w:val="21"/>
                <w:highlight w:val="none"/>
                <w:lang w:val="en-US"/>
              </w:rPr>
              <w:t>”至“期初</w:t>
            </w:r>
            <w:r>
              <w:rPr>
                <w:rFonts w:hint="default" w:eastAsiaTheme="minorEastAsia"/>
                <w:bCs/>
                <w:color w:val="000000"/>
                <w:kern w:val="0"/>
                <w:szCs w:val="21"/>
                <w:highlight w:val="none"/>
                <w:lang w:val="en-US"/>
              </w:rPr>
              <w:t>价格+350</w:t>
            </w:r>
            <w:r>
              <w:rPr>
                <w:rFonts w:hint="eastAsia" w:ascii="宋体" w:hAnsi="宋体" w:eastAsia="宋体" w:cs="宋体"/>
                <w:bCs/>
                <w:color w:val="000000"/>
                <w:kern w:val="0"/>
                <w:szCs w:val="21"/>
                <w:highlight w:val="none"/>
                <w:lang w:val="en-US"/>
              </w:rPr>
              <w:t>”</w:t>
            </w:r>
            <w:r>
              <w:rPr>
                <w:rFonts w:hint="eastAsia" w:ascii="宋体" w:hAnsi="宋体" w:cs="宋体"/>
                <w:bCs/>
                <w:color w:val="000000"/>
                <w:kern w:val="0"/>
                <w:szCs w:val="21"/>
                <w:highlight w:val="none"/>
                <w:lang w:val="en-US" w:eastAsia="zh-CN"/>
              </w:rPr>
              <w:t>的区间范围（不含边界）</w:t>
            </w:r>
            <w:r>
              <w:rPr>
                <w:rFonts w:hint="default" w:eastAsiaTheme="minorEastAsia"/>
                <w:bCs/>
                <w:color w:val="000000"/>
                <w:kern w:val="0"/>
                <w:szCs w:val="21"/>
                <w:highlight w:val="none"/>
                <w:lang w:val="en-US"/>
              </w:rPr>
              <w:t>。</w:t>
            </w:r>
          </w:p>
          <w:p>
            <w:pPr>
              <w:keepNext w:val="0"/>
              <w:keepLines w:val="0"/>
              <w:widowControl/>
              <w:suppressLineNumbers w:val="0"/>
              <w:jc w:val="both"/>
              <w:textAlignment w:val="center"/>
              <w:rPr>
                <w:rFonts w:hint="default" w:eastAsiaTheme="minorEastAsia"/>
                <w:bCs/>
                <w:color w:val="000000"/>
                <w:kern w:val="0"/>
                <w:szCs w:val="21"/>
                <w:highlight w:val="none"/>
                <w:lang w:val="en-US"/>
              </w:rPr>
            </w:pPr>
            <w:r>
              <w:rPr>
                <w:rFonts w:hint="default" w:eastAsiaTheme="minorEastAsia"/>
                <w:bCs/>
                <w:color w:val="000000"/>
                <w:kern w:val="0"/>
                <w:szCs w:val="21"/>
                <w:highlight w:val="none"/>
                <w:lang w:val="en-US"/>
              </w:rPr>
              <w:t>1、如果到期观察日黄金价格水平未能突破第一重波动区间，则本存款到期利率3.05%（年化）；</w:t>
            </w:r>
          </w:p>
          <w:p>
            <w:pPr>
              <w:keepNext w:val="0"/>
              <w:keepLines w:val="0"/>
              <w:widowControl/>
              <w:suppressLineNumbers w:val="0"/>
              <w:jc w:val="both"/>
              <w:textAlignment w:val="center"/>
              <w:rPr>
                <w:rFonts w:hint="default" w:eastAsiaTheme="minorEastAsia"/>
                <w:bCs/>
                <w:color w:val="000000"/>
                <w:kern w:val="0"/>
                <w:szCs w:val="21"/>
                <w:highlight w:val="none"/>
                <w:lang w:val="en-US"/>
              </w:rPr>
            </w:pPr>
            <w:r>
              <w:rPr>
                <w:rFonts w:hint="default" w:eastAsiaTheme="minorEastAsia"/>
                <w:bCs/>
                <w:color w:val="000000"/>
                <w:kern w:val="0"/>
                <w:szCs w:val="21"/>
                <w:highlight w:val="none"/>
                <w:lang w:val="en-US"/>
              </w:rPr>
              <w:t>2、如果到期观察日黄金价格水平向下突破第一重波动区间，则本存款到期利率3.25%（年化）；</w:t>
            </w:r>
          </w:p>
          <w:p>
            <w:pPr>
              <w:keepNext w:val="0"/>
              <w:keepLines w:val="0"/>
              <w:widowControl/>
              <w:suppressLineNumbers w:val="0"/>
              <w:jc w:val="both"/>
              <w:textAlignment w:val="center"/>
              <w:rPr>
                <w:rFonts w:hint="default" w:eastAsiaTheme="minorEastAsia"/>
                <w:bCs/>
                <w:color w:val="000000"/>
                <w:kern w:val="0"/>
                <w:szCs w:val="21"/>
                <w:highlight w:val="yellow"/>
                <w:lang w:val="en-US"/>
              </w:rPr>
            </w:pPr>
            <w:r>
              <w:rPr>
                <w:rFonts w:hint="default" w:eastAsiaTheme="minorEastAsia"/>
                <w:bCs/>
                <w:color w:val="000000"/>
                <w:kern w:val="0"/>
                <w:szCs w:val="21"/>
                <w:highlight w:val="none"/>
                <w:lang w:val="en-US"/>
              </w:rPr>
              <w:t>3、如果到期观察日黄金价格水平向上突破第一重波动区间，则本存款到期利率1.60%（年化）。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199"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highlight w:val="none"/>
                <w:lang w:val="en-US" w:eastAsia="zh-CN"/>
              </w:rPr>
            </w:pPr>
            <w:r>
              <w:rPr>
                <w:rFonts w:hint="eastAsia" w:asciiTheme="minorEastAsia" w:hAnsiTheme="minorEastAsia" w:eastAsiaTheme="minorEastAsia" w:cstheme="minorEastAsia"/>
                <w:b/>
                <w:color w:val="000000"/>
                <w:kern w:val="0"/>
                <w:szCs w:val="21"/>
                <w:highlight w:val="none"/>
              </w:rPr>
              <w:t>资金</w:t>
            </w:r>
            <w:r>
              <w:rPr>
                <w:rFonts w:hint="eastAsia" w:asciiTheme="minorEastAsia" w:hAnsiTheme="minorEastAsia" w:eastAsiaTheme="minorEastAsia" w:cstheme="minorEastAsia"/>
                <w:b/>
                <w:color w:val="000000"/>
                <w:kern w:val="0"/>
                <w:szCs w:val="21"/>
                <w:highlight w:val="none"/>
                <w:lang w:val="en-US" w:eastAsia="zh-CN"/>
              </w:rPr>
              <w:t>投向</w:t>
            </w:r>
          </w:p>
        </w:tc>
        <w:tc>
          <w:tcPr>
            <w:tcW w:w="6323" w:type="dxa"/>
            <w:vAlign w:val="center"/>
          </w:tcPr>
          <w:p>
            <w:pPr>
              <w:keepNext w:val="0"/>
              <w:keepLines w:val="0"/>
              <w:widowControl/>
              <w:suppressLineNumbers w:val="0"/>
              <w:jc w:val="both"/>
              <w:textAlignment w:val="center"/>
              <w:rPr>
                <w:rFonts w:hint="eastAsia" w:eastAsiaTheme="minorEastAsia"/>
                <w:bCs/>
                <w:color w:val="000000"/>
                <w:kern w:val="0"/>
                <w:szCs w:val="21"/>
                <w:highlight w:val="none"/>
                <w:lang w:val="en-US" w:eastAsia="zh-CN"/>
              </w:rPr>
            </w:pPr>
            <w:r>
              <w:rPr>
                <w:rFonts w:hint="eastAsia" w:eastAsiaTheme="minorEastAsia"/>
                <w:bCs/>
                <w:color w:val="000000"/>
                <w:kern w:val="0"/>
                <w:szCs w:val="21"/>
                <w:highlight w:val="none"/>
                <w:lang w:val="en-US" w:eastAsia="zh-CN"/>
              </w:rPr>
              <w:t>投资方向和范围：本产品本金投资于银行存款和衍生金融工具。衍生金融工具包括但不限于信用、权益、商品、外汇、利率期权等衍生金融工具。</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三</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ind w:firstLine="420" w:firstLineChars="0"/>
        <w:jc w:val="left"/>
        <w:textAlignment w:val="auto"/>
        <w:rPr>
          <w:rFonts w:hint="eastAsia" w:asciiTheme="minorEastAsia" w:hAnsiTheme="minorEastAsia" w:eastAsiaTheme="minorEastAsia" w:cstheme="minorEastAsia"/>
          <w:b/>
          <w:bCs/>
          <w:color w:val="000000"/>
          <w:sz w:val="24"/>
          <w:szCs w:val="24"/>
        </w:rPr>
      </w:pPr>
      <w:r>
        <w:rPr>
          <w:rFonts w:eastAsiaTheme="minorEastAsia"/>
          <w:color w:val="000000"/>
          <w:sz w:val="24"/>
          <w:szCs w:val="24"/>
        </w:rPr>
        <w:t>本次购买理财产品的受托</w:t>
      </w:r>
      <w:r>
        <w:rPr>
          <w:rFonts w:hint="eastAsia" w:eastAsiaTheme="minorEastAsia"/>
          <w:color w:val="000000"/>
          <w:sz w:val="24"/>
          <w:szCs w:val="24"/>
          <w:lang w:val="en-US" w:eastAsia="zh-CN"/>
        </w:rPr>
        <w:t>方招商银行</w:t>
      </w:r>
      <w:r>
        <w:rPr>
          <w:rFonts w:eastAsiaTheme="minorEastAsia"/>
          <w:color w:val="000000"/>
          <w:sz w:val="24"/>
          <w:szCs w:val="24"/>
        </w:rPr>
        <w:t>为上海证券交易所上市公司（公司代码：60</w:t>
      </w:r>
      <w:r>
        <w:rPr>
          <w:rFonts w:hint="eastAsia" w:eastAsiaTheme="minorEastAsia"/>
          <w:color w:val="000000"/>
          <w:sz w:val="24"/>
          <w:szCs w:val="24"/>
          <w:lang w:val="en-US" w:eastAsia="zh-CN"/>
        </w:rPr>
        <w:t>0036</w:t>
      </w:r>
      <w:r>
        <w:rPr>
          <w:rFonts w:eastAsiaTheme="minorEastAsia"/>
          <w:color w:val="000000"/>
          <w:sz w:val="24"/>
          <w:szCs w:val="24"/>
        </w:rPr>
        <w:t>）与公司、公司控股股东及其一致行动人、实际控制人之间不存在产权、业务、资产、债权债务、人员等关联关系。</w:t>
      </w:r>
    </w:p>
    <w:p>
      <w:pPr>
        <w:keepNext w:val="0"/>
        <w:keepLines w:val="0"/>
        <w:widowControl/>
        <w:numPr>
          <w:ilvl w:val="0"/>
          <w:numId w:val="2"/>
        </w:numPr>
        <w:suppressLineNumbers w:val="0"/>
        <w:spacing w:line="360" w:lineRule="auto"/>
        <w:ind w:left="368" w:leftChars="175" w:firstLine="0" w:firstLineChars="0"/>
        <w:jc w:val="left"/>
        <w:rPr>
          <w:rFonts w:hint="default" w:asciiTheme="minorEastAsia" w:hAnsiTheme="minorEastAsia" w:eastAsiaTheme="minorEastAsia" w:cstheme="minorEastAsia"/>
          <w:b/>
          <w:bCs/>
          <w:color w:val="000000"/>
          <w:sz w:val="24"/>
          <w:szCs w:val="24"/>
          <w:lang w:val="en-US" w:eastAsia="zh-CN"/>
        </w:rPr>
      </w:pPr>
      <w:r>
        <w:rPr>
          <w:rFonts w:hint="default" w:asciiTheme="minorEastAsia" w:hAnsiTheme="minorEastAsia" w:eastAsiaTheme="minorEastAsia" w:cstheme="minorEastAsia"/>
          <w:b/>
          <w:bCs/>
          <w:color w:val="000000"/>
          <w:sz w:val="24"/>
          <w:szCs w:val="24"/>
          <w:lang w:val="en-US" w:eastAsia="zh-CN"/>
        </w:rPr>
        <w:t>公司董事会尽职调查情况</w:t>
      </w:r>
    </w:p>
    <w:p>
      <w:pPr>
        <w:keepNext w:val="0"/>
        <w:keepLines w:val="0"/>
        <w:widowControl/>
        <w:numPr>
          <w:ilvl w:val="0"/>
          <w:numId w:val="0"/>
        </w:numPr>
        <w:suppressLineNumbers w:val="0"/>
        <w:spacing w:line="360" w:lineRule="auto"/>
        <w:ind w:left="0" w:leftChars="0" w:firstLine="420" w:firstLineChars="175"/>
        <w:jc w:val="both"/>
        <w:rPr>
          <w:rFonts w:hint="default" w:asciiTheme="minorEastAsia" w:hAnsiTheme="minorEastAsia" w:eastAsiaTheme="minorEastAsia" w:cstheme="minorEastAsia"/>
          <w:b w:val="0"/>
          <w:bCs w:val="0"/>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公司董事会授权公司董事长在额度范围和时效内行使该项投资决策权并签署相关合同文件，并由公司管理层组织相关部门实施。公司</w:t>
      </w:r>
      <w:r>
        <w:rPr>
          <w:rFonts w:hint="default" w:asciiTheme="minorEastAsia" w:hAnsiTheme="minorEastAsia" w:eastAsiaTheme="minorEastAsia" w:cstheme="minorEastAsia"/>
          <w:color w:val="000000"/>
          <w:sz w:val="24"/>
          <w:szCs w:val="24"/>
          <w:lang w:val="en-US" w:eastAsia="zh-CN"/>
        </w:rPr>
        <w:t>管理层对受托方、资金使用方等交易各方当事人的基本情况、信用情况及其交易履约能力等进行了必要的尽职调查，未发现存在损害公司</w:t>
      </w:r>
      <w:r>
        <w:rPr>
          <w:rFonts w:hint="eastAsia" w:asciiTheme="minorEastAsia" w:hAnsiTheme="minorEastAsia" w:eastAsiaTheme="minorEastAsia" w:cstheme="minorEastAsia"/>
          <w:color w:val="000000"/>
          <w:sz w:val="24"/>
          <w:szCs w:val="24"/>
          <w:lang w:val="en-US" w:eastAsia="zh-CN"/>
        </w:rPr>
        <w:t>现金管理</w:t>
      </w:r>
      <w:r>
        <w:rPr>
          <w:rFonts w:hint="default" w:asciiTheme="minorEastAsia" w:hAnsiTheme="minorEastAsia" w:eastAsiaTheme="minorEastAsia" w:cstheme="minorEastAsia"/>
          <w:color w:val="000000"/>
          <w:sz w:val="24"/>
          <w:szCs w:val="24"/>
          <w:lang w:val="en-US" w:eastAsia="zh-CN"/>
        </w:rPr>
        <w:t>业务开展的具体情况。</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highlight w:val="none"/>
        </w:rPr>
      </w:pPr>
      <w:r>
        <w:rPr>
          <w:rFonts w:hint="eastAsia" w:eastAsiaTheme="minorEastAsia"/>
          <w:color w:val="000000"/>
          <w:sz w:val="24"/>
          <w:szCs w:val="24"/>
          <w:highlight w:val="none"/>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2"/>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21</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2</w:t>
            </w:r>
            <w:r>
              <w:rPr>
                <w:rFonts w:eastAsiaTheme="minorEastAsia"/>
                <w:b/>
                <w:color w:val="000000"/>
                <w:kern w:val="0"/>
                <w:szCs w:val="21"/>
              </w:rPr>
              <w:t>年</w:t>
            </w:r>
            <w:r>
              <w:rPr>
                <w:rFonts w:hint="eastAsia" w:eastAsiaTheme="minorEastAsia"/>
                <w:b/>
                <w:color w:val="000000"/>
                <w:kern w:val="0"/>
                <w:szCs w:val="21"/>
                <w:lang w:val="en-US" w:eastAsia="zh-CN"/>
              </w:rPr>
              <w:t>3</w:t>
            </w:r>
            <w:r>
              <w:rPr>
                <w:rFonts w:eastAsiaTheme="minorEastAsia"/>
                <w:b/>
                <w:color w:val="000000"/>
                <w:kern w:val="0"/>
                <w:szCs w:val="21"/>
              </w:rPr>
              <w:t>月3</w:t>
            </w:r>
            <w:r>
              <w:rPr>
                <w:rFonts w:hint="eastAsia" w:eastAsiaTheme="minorEastAsia"/>
                <w:b/>
                <w:color w:val="000000"/>
                <w:kern w:val="0"/>
                <w:szCs w:val="21"/>
                <w:lang w:val="en-US" w:eastAsia="zh-CN"/>
              </w:rPr>
              <w:t>1</w:t>
            </w:r>
            <w:r>
              <w:rPr>
                <w:rFonts w:eastAsiaTheme="minorEastAsia"/>
                <w:b/>
                <w:color w:val="000000"/>
                <w:kern w:val="0"/>
                <w:szCs w:val="21"/>
              </w:rPr>
              <w:t>日</w:t>
            </w:r>
          </w:p>
        </w:tc>
      </w:tr>
      <w:tr>
        <w:tblPrEx>
          <w:tblCellMar>
            <w:top w:w="0" w:type="dxa"/>
            <w:left w:w="108" w:type="dxa"/>
            <w:bottom w:w="0" w:type="dxa"/>
            <w:right w:w="108" w:type="dxa"/>
          </w:tblCellMar>
        </w:tblPrEx>
        <w:trPr>
          <w:trHeight w:val="90"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1,903,713,079.42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1,853,668,283.31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507,790,887.72</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511,710,691.69</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t>1,395,922,191.70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t>1,341,957,591.62</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t>-12,617,595.37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t>-133,429,081.93</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highlight w:val="none"/>
        </w:rPr>
        <w:t>截止202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3</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31</w:t>
      </w:r>
      <w:r>
        <w:rPr>
          <w:rFonts w:eastAsiaTheme="minorEastAsia"/>
          <w:color w:val="000000"/>
          <w:sz w:val="24"/>
          <w:szCs w:val="24"/>
          <w:highlight w:val="none"/>
        </w:rPr>
        <w:t>日，公司资产负债率为</w:t>
      </w:r>
      <w:r>
        <w:rPr>
          <w:rFonts w:hint="eastAsia" w:cs="Times New Roman" w:eastAsiaTheme="minorEastAsia"/>
          <w:color w:val="000000"/>
          <w:sz w:val="24"/>
          <w:szCs w:val="24"/>
          <w:highlight w:val="none"/>
          <w:lang w:val="en-US" w:eastAsia="zh-CN"/>
        </w:rPr>
        <w:t>27.61</w:t>
      </w:r>
      <w:r>
        <w:rPr>
          <w:rFonts w:eastAsiaTheme="minorEastAsia"/>
          <w:color w:val="000000"/>
          <w:sz w:val="24"/>
          <w:szCs w:val="24"/>
          <w:highlight w:val="none"/>
        </w:rPr>
        <w:t>%，不存在负有大额负债的同时购买大额理财产品的情形，不会对公司未来主营业务、财务</w:t>
      </w:r>
      <w:r>
        <w:rPr>
          <w:rFonts w:eastAsiaTheme="minorEastAsia"/>
          <w:color w:val="000000"/>
          <w:sz w:val="24"/>
          <w:szCs w:val="24"/>
        </w:rPr>
        <w:t>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五</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六</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kern w:val="0"/>
          <w:sz w:val="24"/>
          <w:szCs w:val="24"/>
          <w:highlight w:val="none"/>
          <w:lang w:bidi="ar"/>
        </w:rPr>
        <w:t>公司于202</w:t>
      </w:r>
      <w:r>
        <w:rPr>
          <w:rFonts w:hint="eastAsia" w:eastAsiaTheme="minorEastAsia"/>
          <w:color w:val="000000"/>
          <w:kern w:val="0"/>
          <w:sz w:val="24"/>
          <w:szCs w:val="24"/>
          <w:highlight w:val="none"/>
          <w:lang w:val="en-US" w:eastAsia="zh-CN" w:bidi="ar"/>
        </w:rPr>
        <w:t>2</w:t>
      </w:r>
      <w:r>
        <w:rPr>
          <w:rFonts w:eastAsiaTheme="minorEastAsia"/>
          <w:color w:val="000000"/>
          <w:kern w:val="0"/>
          <w:sz w:val="24"/>
          <w:szCs w:val="24"/>
          <w:highlight w:val="none"/>
          <w:lang w:bidi="ar"/>
        </w:rPr>
        <w:t>年</w:t>
      </w:r>
      <w:r>
        <w:rPr>
          <w:rFonts w:hint="eastAsia" w:eastAsiaTheme="minorEastAsia"/>
          <w:color w:val="000000"/>
          <w:kern w:val="0"/>
          <w:sz w:val="24"/>
          <w:szCs w:val="24"/>
          <w:highlight w:val="none"/>
          <w:lang w:val="en-US" w:eastAsia="zh-CN" w:bidi="ar"/>
        </w:rPr>
        <w:t>4</w:t>
      </w:r>
      <w:r>
        <w:rPr>
          <w:rFonts w:eastAsiaTheme="minorEastAsia"/>
          <w:color w:val="000000"/>
          <w:kern w:val="0"/>
          <w:sz w:val="24"/>
          <w:szCs w:val="24"/>
          <w:highlight w:val="none"/>
          <w:lang w:bidi="ar"/>
        </w:rPr>
        <w:t>月</w:t>
      </w:r>
      <w:r>
        <w:rPr>
          <w:rFonts w:hint="eastAsia" w:eastAsiaTheme="minorEastAsia"/>
          <w:color w:val="000000"/>
          <w:kern w:val="0"/>
          <w:sz w:val="24"/>
          <w:szCs w:val="24"/>
          <w:highlight w:val="none"/>
          <w:lang w:val="en-US" w:eastAsia="zh-CN" w:bidi="ar"/>
        </w:rPr>
        <w:t>25</w:t>
      </w:r>
      <w:r>
        <w:rPr>
          <w:rFonts w:eastAsiaTheme="minorEastAsia"/>
          <w:color w:val="000000"/>
          <w:kern w:val="0"/>
          <w:sz w:val="24"/>
          <w:szCs w:val="24"/>
          <w:highlight w:val="none"/>
          <w:lang w:bidi="ar"/>
        </w:rPr>
        <w:t>日召开了公司第七届董事会第</w:t>
      </w:r>
      <w:r>
        <w:rPr>
          <w:rFonts w:hint="eastAsia" w:eastAsiaTheme="minorEastAsia"/>
          <w:color w:val="000000"/>
          <w:kern w:val="0"/>
          <w:sz w:val="24"/>
          <w:szCs w:val="24"/>
          <w:highlight w:val="none"/>
          <w:lang w:val="en-US" w:eastAsia="zh-CN" w:bidi="ar"/>
        </w:rPr>
        <w:t>二十三</w:t>
      </w:r>
      <w:r>
        <w:rPr>
          <w:rFonts w:eastAsiaTheme="minorEastAsia"/>
          <w:color w:val="000000"/>
          <w:kern w:val="0"/>
          <w:sz w:val="24"/>
          <w:szCs w:val="24"/>
          <w:highlight w:val="none"/>
          <w:lang w:bidi="ar"/>
        </w:rPr>
        <w:t>次会议、第七届监事会第</w:t>
      </w:r>
      <w:r>
        <w:rPr>
          <w:rFonts w:hint="eastAsia" w:eastAsiaTheme="minorEastAsia"/>
          <w:color w:val="000000"/>
          <w:kern w:val="0"/>
          <w:sz w:val="24"/>
          <w:szCs w:val="24"/>
          <w:highlight w:val="none"/>
          <w:lang w:val="en-US" w:eastAsia="zh-CN" w:bidi="ar"/>
        </w:rPr>
        <w:t>二十</w:t>
      </w:r>
      <w:r>
        <w:rPr>
          <w:rFonts w:eastAsiaTheme="minorEastAsia"/>
          <w:color w:val="000000"/>
          <w:kern w:val="0"/>
          <w:sz w:val="24"/>
          <w:szCs w:val="24"/>
          <w:highlight w:val="none"/>
          <w:lang w:bidi="ar"/>
        </w:rPr>
        <w:t>次会议，</w:t>
      </w:r>
      <w:r>
        <w:rPr>
          <w:rFonts w:eastAsiaTheme="minorEastAsia"/>
          <w:color w:val="000000"/>
          <w:sz w:val="24"/>
          <w:szCs w:val="24"/>
          <w:highlight w:val="none"/>
        </w:rPr>
        <w:t>审议通过了《关于使用部分闲置募集资</w:t>
      </w:r>
      <w:r>
        <w:rPr>
          <w:rFonts w:eastAsiaTheme="minorEastAsia"/>
          <w:color w:val="000000"/>
          <w:sz w:val="24"/>
          <w:szCs w:val="24"/>
        </w:rPr>
        <w:t>金进行现金管理的议案》。同意公司使用总额不超过人民币</w:t>
      </w:r>
      <w:r>
        <w:rPr>
          <w:rFonts w:hint="eastAsia" w:eastAsiaTheme="minorEastAsia"/>
          <w:color w:val="000000"/>
          <w:sz w:val="24"/>
          <w:szCs w:val="24"/>
          <w:lang w:val="en-US" w:eastAsia="zh-CN"/>
        </w:rPr>
        <w:t>5</w:t>
      </w:r>
      <w:r>
        <w:rPr>
          <w:rFonts w:eastAsiaTheme="minorEastAsia"/>
          <w:color w:val="000000"/>
          <w:sz w:val="24"/>
          <w:szCs w:val="24"/>
        </w:rPr>
        <w:t>亿元（含</w:t>
      </w:r>
      <w:r>
        <w:rPr>
          <w:rFonts w:hint="eastAsia" w:eastAsiaTheme="minorEastAsia"/>
          <w:color w:val="000000"/>
          <w:sz w:val="24"/>
          <w:szCs w:val="24"/>
          <w:lang w:val="en-US" w:eastAsia="zh-CN"/>
        </w:rPr>
        <w:t>5</w:t>
      </w:r>
      <w:r>
        <w:rPr>
          <w:rFonts w:eastAsiaTheme="minorEastAsia"/>
          <w:color w:val="000000"/>
          <w:sz w:val="24"/>
          <w:szCs w:val="24"/>
        </w:rPr>
        <w:t>亿元）的闲置募集资金进行现金管理，</w:t>
      </w:r>
      <w:r>
        <w:rPr>
          <w:rFonts w:hint="default" w:eastAsiaTheme="minorEastAsia"/>
          <w:color w:val="000000"/>
          <w:kern w:val="0"/>
          <w:sz w:val="24"/>
          <w:szCs w:val="24"/>
          <w:highlight w:val="none"/>
          <w:lang w:bidi="ar"/>
        </w:rPr>
        <w:t>在</w:t>
      </w:r>
      <w:r>
        <w:rPr>
          <w:rFonts w:hint="default" w:eastAsiaTheme="minorEastAsia"/>
          <w:color w:val="000000"/>
          <w:kern w:val="0"/>
          <w:sz w:val="24"/>
          <w:szCs w:val="24"/>
          <w:highlight w:val="none"/>
          <w:lang w:val="en-US" w:eastAsia="zh-CN" w:bidi="ar"/>
        </w:rPr>
        <w:t>12个月</w:t>
      </w:r>
      <w:r>
        <w:rPr>
          <w:rFonts w:hint="default" w:eastAsiaTheme="minorEastAsia"/>
          <w:color w:val="000000"/>
          <w:kern w:val="0"/>
          <w:sz w:val="24"/>
          <w:szCs w:val="24"/>
          <w:highlight w:val="none"/>
          <w:lang w:bidi="ar"/>
        </w:rPr>
        <w:t>内（</w:t>
      </w:r>
      <w:r>
        <w:rPr>
          <w:rFonts w:hint="default" w:eastAsiaTheme="minorEastAsia"/>
          <w:color w:val="000000"/>
          <w:kern w:val="0"/>
          <w:sz w:val="24"/>
          <w:szCs w:val="24"/>
          <w:highlight w:val="none"/>
          <w:lang w:val="en-US" w:eastAsia="zh-CN" w:bidi="ar"/>
        </w:rPr>
        <w:t>含12个月</w:t>
      </w:r>
      <w:r>
        <w:rPr>
          <w:rFonts w:hint="default" w:eastAsiaTheme="minorEastAsia"/>
          <w:color w:val="000000"/>
          <w:kern w:val="0"/>
          <w:sz w:val="24"/>
          <w:szCs w:val="24"/>
          <w:highlight w:val="none"/>
          <w:lang w:bidi="ar"/>
        </w:rPr>
        <w:t>）该项资金额度可滚动使用（以保证募集资金项目建设和使用为前提）</w:t>
      </w:r>
      <w:r>
        <w:rPr>
          <w:rFonts w:eastAsiaTheme="minorEastAsia"/>
          <w:color w:val="000000"/>
          <w:kern w:val="0"/>
          <w:sz w:val="24"/>
          <w:szCs w:val="24"/>
          <w:highlight w:val="none"/>
          <w:lang w:bidi="ar"/>
        </w:rPr>
        <w:t>，</w:t>
      </w:r>
      <w:r>
        <w:rPr>
          <w:rFonts w:eastAsiaTheme="minorEastAsia"/>
          <w:color w:val="000000"/>
          <w:sz w:val="24"/>
          <w:szCs w:val="24"/>
        </w:rPr>
        <w:t>并授权公司董事长在上述额度范围和时效内行使该项投资决策权并签署相关合同文件，并由公司管理层组织相关部门实施。</w:t>
      </w:r>
      <w:r>
        <w:rPr>
          <w:rFonts w:hint="eastAsia" w:eastAsiaTheme="minorEastAsia"/>
          <w:color w:val="000000"/>
          <w:sz w:val="24"/>
          <w:szCs w:val="24"/>
        </w:rPr>
        <w:t>自获得公司第七届董事会第二十三次会议审议通过之日起12个月内（含12个月）有效。</w:t>
      </w:r>
      <w:r>
        <w:rPr>
          <w:rFonts w:eastAsiaTheme="minorEastAsia"/>
          <w:color w:val="000000"/>
          <w:sz w:val="24"/>
          <w:szCs w:val="24"/>
        </w:rPr>
        <w:t>公司独立董事、监</w:t>
      </w:r>
      <w:r>
        <w:rPr>
          <w:rFonts w:eastAsiaTheme="minorEastAsia"/>
          <w:color w:val="000000"/>
          <w:sz w:val="24"/>
          <w:szCs w:val="24"/>
          <w:highlight w:val="none"/>
        </w:rPr>
        <w:t>事会及保荐机构已分别对此发表了同意的意见。具体详情详见公司于202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4</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26</w:t>
      </w:r>
      <w:r>
        <w:rPr>
          <w:rFonts w:eastAsiaTheme="minorEastAsia"/>
          <w:color w:val="000000"/>
          <w:sz w:val="24"/>
          <w:szCs w:val="24"/>
          <w:highlight w:val="none"/>
        </w:rPr>
        <w:t>日刊</w:t>
      </w:r>
      <w:r>
        <w:rPr>
          <w:rFonts w:eastAsiaTheme="minorEastAsia"/>
          <w:color w:val="000000"/>
          <w:sz w:val="24"/>
          <w:szCs w:val="24"/>
        </w:rPr>
        <w:t>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w:t>
      </w:r>
      <w:r>
        <w:rPr>
          <w:rFonts w:hint="eastAsia" w:eastAsiaTheme="minorEastAsia"/>
          <w:color w:val="000000"/>
          <w:sz w:val="24"/>
          <w:szCs w:val="24"/>
          <w:lang w:val="en-US" w:eastAsia="zh-CN"/>
        </w:rPr>
        <w:t>2</w:t>
      </w:r>
      <w:r>
        <w:rPr>
          <w:rFonts w:eastAsiaTheme="minorEastAsia"/>
          <w:color w:val="000000"/>
          <w:sz w:val="24"/>
          <w:szCs w:val="24"/>
        </w:rPr>
        <w:t>-0</w:t>
      </w:r>
      <w:r>
        <w:rPr>
          <w:rFonts w:hint="eastAsia" w:eastAsiaTheme="minorEastAsia"/>
          <w:color w:val="000000"/>
          <w:sz w:val="24"/>
          <w:szCs w:val="24"/>
          <w:lang w:val="en-US" w:eastAsia="zh-CN"/>
        </w:rPr>
        <w:t>13</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lang w:val="en-US" w:eastAsia="zh-CN"/>
        </w:rPr>
        <w:t>七</w:t>
      </w:r>
      <w:r>
        <w:rPr>
          <w:rFonts w:hint="eastAsia" w:asciiTheme="minorEastAsia" w:hAnsiTheme="minorEastAsia" w:eastAsiaTheme="minorEastAsia" w:cstheme="minorEastAsia"/>
          <w:b/>
          <w:bCs/>
          <w:color w:val="000000"/>
          <w:sz w:val="24"/>
          <w:szCs w:val="24"/>
          <w:highlight w:val="none"/>
        </w:rPr>
        <w:t>、</w:t>
      </w:r>
      <w:r>
        <w:rPr>
          <w:rFonts w:asciiTheme="minorEastAsia" w:hAnsiTheme="minorEastAsia" w:eastAsiaTheme="minorEastAsia" w:cstheme="minorEastAsia"/>
          <w:b/>
          <w:bCs/>
          <w:color w:val="000000"/>
          <w:sz w:val="24"/>
          <w:szCs w:val="24"/>
          <w:highlight w:val="none"/>
        </w:rPr>
        <w:t>截至本公告日，公司最近十二个月使用募集资金委托理财的情况</w:t>
      </w:r>
    </w:p>
    <w:p>
      <w:pPr>
        <w:widowControl/>
        <w:ind w:left="368" w:leftChars="175"/>
        <w:jc w:val="right"/>
        <w:rPr>
          <w:rFonts w:hint="eastAsia" w:ascii="宋体" w:hAnsi="宋体"/>
          <w:bCs/>
          <w:szCs w:val="21"/>
        </w:rPr>
      </w:pPr>
      <w:r>
        <w:rPr>
          <w:rFonts w:hint="eastAsia" w:ascii="宋体" w:hAnsi="宋体"/>
          <w:bCs/>
          <w:szCs w:val="21"/>
        </w:rPr>
        <w:t>单位：万元</w:t>
      </w:r>
    </w:p>
    <w:tbl>
      <w:tblPr>
        <w:tblStyle w:val="2"/>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序号</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理财产品类型</w:t>
            </w:r>
          </w:p>
        </w:tc>
        <w:tc>
          <w:tcPr>
            <w:tcW w:w="1560"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实际投入金额</w:t>
            </w:r>
          </w:p>
        </w:tc>
        <w:tc>
          <w:tcPr>
            <w:tcW w:w="1701"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实际收回本金</w:t>
            </w:r>
          </w:p>
        </w:tc>
        <w:tc>
          <w:tcPr>
            <w:tcW w:w="1378"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实际收益</w:t>
            </w:r>
          </w:p>
        </w:tc>
        <w:tc>
          <w:tcPr>
            <w:tcW w:w="1449" w:type="dxa"/>
            <w:vAlign w:val="top"/>
          </w:tcPr>
          <w:p>
            <w:pPr>
              <w:widowControl/>
              <w:jc w:val="center"/>
              <w:textAlignment w:val="center"/>
              <w:rPr>
                <w:color w:val="000000"/>
                <w:kern w:val="0"/>
                <w:szCs w:val="21"/>
                <w:highlight w:val="none"/>
                <w:lang w:bidi="ar"/>
              </w:rPr>
            </w:pPr>
            <w:r>
              <w:rPr>
                <w:color w:val="000000"/>
                <w:kern w:val="0"/>
                <w:szCs w:val="21"/>
                <w:highlight w:val="none"/>
                <w:lang w:bidi="ar"/>
              </w:rPr>
              <w:t>尚未收回</w:t>
            </w:r>
          </w:p>
          <w:p>
            <w:pPr>
              <w:widowControl/>
              <w:jc w:val="center"/>
              <w:textAlignment w:val="center"/>
              <w:rPr>
                <w:color w:val="000000"/>
                <w:kern w:val="0"/>
                <w:szCs w:val="21"/>
                <w:highlight w:val="none"/>
                <w:lang w:bidi="ar"/>
              </w:rPr>
            </w:pPr>
            <w:r>
              <w:rPr>
                <w:color w:val="000000"/>
                <w:kern w:val="0"/>
                <w:szCs w:val="21"/>
                <w:highlight w:val="none"/>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1</w:t>
            </w:r>
          </w:p>
        </w:tc>
        <w:tc>
          <w:tcPr>
            <w:tcW w:w="1559" w:type="dxa"/>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券商收益凭证</w:t>
            </w:r>
          </w:p>
        </w:tc>
        <w:tc>
          <w:tcPr>
            <w:tcW w:w="1560" w:type="dxa"/>
            <w:shd w:val="clear" w:color="auto" w:fill="auto"/>
            <w:vAlign w:val="center"/>
          </w:tcPr>
          <w:p>
            <w:pPr>
              <w:widowControl/>
              <w:jc w:val="right"/>
              <w:textAlignment w:val="center"/>
              <w:rPr>
                <w:color w:val="000000"/>
                <w:kern w:val="0"/>
                <w:szCs w:val="21"/>
                <w:highlight w:val="none"/>
                <w:lang w:bidi="ar"/>
              </w:rPr>
            </w:pPr>
            <w:r>
              <w:rPr>
                <w:color w:val="000000"/>
                <w:kern w:val="0"/>
                <w:szCs w:val="21"/>
                <w:highlight w:val="none"/>
                <w:lang w:bidi="ar"/>
              </w:rPr>
              <w:t>20,000</w:t>
            </w:r>
            <w:r>
              <w:rPr>
                <w:rFonts w:hint="eastAsia"/>
                <w:color w:val="000000"/>
                <w:kern w:val="0"/>
                <w:szCs w:val="21"/>
                <w:highlight w:val="none"/>
                <w:lang w:bidi="ar"/>
              </w:rPr>
              <w:t>.00</w:t>
            </w:r>
          </w:p>
        </w:tc>
        <w:tc>
          <w:tcPr>
            <w:tcW w:w="1701"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20,000.00</w:t>
            </w:r>
          </w:p>
        </w:tc>
        <w:tc>
          <w:tcPr>
            <w:tcW w:w="1378" w:type="dxa"/>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892.63</w:t>
            </w:r>
          </w:p>
        </w:tc>
        <w:tc>
          <w:tcPr>
            <w:tcW w:w="1449" w:type="dxa"/>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2</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69.21</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eastAsia="宋体"/>
                <w:color w:val="000000"/>
                <w:kern w:val="0"/>
                <w:szCs w:val="21"/>
                <w:highlight w:val="none"/>
                <w:lang w:val="en-US" w:eastAsia="zh-CN" w:bidi="ar"/>
              </w:rPr>
            </w:pPr>
            <w:r>
              <w:rPr>
                <w:rFonts w:hint="eastAsia"/>
                <w:color w:val="000000"/>
                <w:kern w:val="0"/>
                <w:szCs w:val="21"/>
                <w:highlight w:val="none"/>
                <w:lang w:val="en-US" w:eastAsia="zh-CN" w:bidi="ar"/>
              </w:rPr>
              <w:t>3</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8,000.00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yellow"/>
                <w:lang w:val="en-US" w:eastAsia="zh-CN" w:bidi="ar"/>
              </w:rPr>
            </w:pPr>
            <w:r>
              <w:rPr>
                <w:rFonts w:hint="eastAsia"/>
                <w:color w:val="000000"/>
                <w:kern w:val="0"/>
                <w:szCs w:val="21"/>
                <w:highlight w:val="none"/>
                <w:lang w:val="en-US" w:eastAsia="zh-CN" w:bidi="ar"/>
              </w:rPr>
              <w:t>355.35</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w:t>
            </w:r>
          </w:p>
        </w:tc>
        <w:tc>
          <w:tcPr>
            <w:tcW w:w="1559"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7,500.00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auto"/>
                <w:kern w:val="0"/>
                <w:szCs w:val="21"/>
                <w:highlight w:val="none"/>
                <w:lang w:val="en-US" w:eastAsia="zh-CN" w:bidi="ar"/>
              </w:rPr>
              <w:t>73.97</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5</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21.80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6</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4,000.00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32.79</w:t>
            </w:r>
          </w:p>
        </w:tc>
        <w:tc>
          <w:tcPr>
            <w:tcW w:w="1449" w:type="dxa"/>
            <w:vAlign w:val="center"/>
          </w:tcPr>
          <w:p>
            <w:pPr>
              <w:widowControl/>
              <w:jc w:val="right"/>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7</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118.13</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8</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20,000.00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highlight w:val="none"/>
                <w:lang w:val="en-US" w:eastAsia="zh-CN" w:bidi="ar"/>
              </w:rPr>
            </w:pPr>
            <w:r>
              <w:rPr>
                <w:rFonts w:hint="eastAsia" w:cs="Times New Roman"/>
                <w:color w:val="000000"/>
                <w:kern w:val="0"/>
                <w:sz w:val="21"/>
                <w:szCs w:val="21"/>
                <w:highlight w:val="none"/>
                <w:lang w:val="en-US" w:eastAsia="zh-CN" w:bidi="ar"/>
              </w:rPr>
              <w:t>9</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7,000.00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76.52</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6,500.00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96.16</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olor w:val="auto"/>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6,000.00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yellow"/>
                <w:lang w:val="en-US" w:eastAsia="zh-CN" w:bidi="ar"/>
              </w:rPr>
            </w:pPr>
            <w:r>
              <w:rPr>
                <w:rFonts w:hint="eastAsia" w:cs="Times New Roman"/>
                <w:color w:val="auto"/>
                <w:kern w:val="0"/>
                <w:sz w:val="21"/>
                <w:szCs w:val="21"/>
                <w:highlight w:val="none"/>
                <w:lang w:val="en-US" w:eastAsia="zh-CN" w:bidi="ar"/>
              </w:rPr>
              <w:t>12</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券商收益凭证</w:t>
            </w:r>
          </w:p>
        </w:tc>
        <w:tc>
          <w:tcPr>
            <w:tcW w:w="1560"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c>
          <w:tcPr>
            <w:tcW w:w="1701"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Cs w:val="21"/>
                <w:highlight w:val="none"/>
                <w:lang w:val="en-US" w:eastAsia="zh-CN"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13</w:t>
            </w:r>
          </w:p>
        </w:tc>
        <w:tc>
          <w:tcPr>
            <w:tcW w:w="1559" w:type="dxa"/>
            <w:shd w:val="clear" w:color="auto" w:fill="auto"/>
            <w:vAlign w:val="center"/>
          </w:tcPr>
          <w:p>
            <w:pPr>
              <w:widowControl/>
              <w:jc w:val="center"/>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2,500.00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14</w:t>
            </w:r>
          </w:p>
        </w:tc>
        <w:tc>
          <w:tcPr>
            <w:tcW w:w="1559" w:type="dxa"/>
            <w:shd w:val="clear" w:color="auto" w:fill="auto"/>
            <w:vAlign w:val="center"/>
          </w:tcPr>
          <w:p>
            <w:pPr>
              <w:widowControl/>
              <w:jc w:val="center"/>
              <w:textAlignment w:val="center"/>
              <w:rPr>
                <w:rFonts w:hint="eastAsia"/>
                <w:color w:val="auto"/>
                <w:kern w:val="0"/>
                <w:szCs w:val="21"/>
                <w:highlight w:val="none"/>
                <w:lang w:val="en-US" w:eastAsia="zh-CN" w:bidi="ar"/>
              </w:rPr>
            </w:pPr>
            <w:r>
              <w:rPr>
                <w:rFonts w:hint="eastAsia"/>
                <w:color w:val="auto"/>
                <w:kern w:val="0"/>
                <w:szCs w:val="21"/>
                <w:highlight w:val="none"/>
                <w:lang w:val="en-US" w:eastAsia="zh-CN" w:bidi="ar"/>
              </w:rPr>
              <w:t>银行理财产品</w:t>
            </w:r>
          </w:p>
        </w:tc>
        <w:tc>
          <w:tcPr>
            <w:tcW w:w="1560"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3,500.00</w:t>
            </w:r>
          </w:p>
        </w:tc>
        <w:tc>
          <w:tcPr>
            <w:tcW w:w="1701"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378" w:type="dxa"/>
            <w:shd w:val="clear" w:color="auto" w:fill="auto"/>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0.00</w:t>
            </w:r>
          </w:p>
        </w:tc>
        <w:tc>
          <w:tcPr>
            <w:tcW w:w="1449" w:type="dxa"/>
            <w:vAlign w:val="center"/>
          </w:tcPr>
          <w:p>
            <w:pPr>
              <w:widowControl/>
              <w:jc w:val="right"/>
              <w:textAlignment w:val="center"/>
              <w:rPr>
                <w:rFonts w:hint="default"/>
                <w:color w:val="auto"/>
                <w:kern w:val="0"/>
                <w:szCs w:val="21"/>
                <w:highlight w:val="none"/>
                <w:lang w:val="en-US" w:eastAsia="zh-CN" w:bidi="ar"/>
              </w:rPr>
            </w:pPr>
            <w:r>
              <w:rPr>
                <w:rFonts w:hint="eastAsia"/>
                <w:color w:val="auto"/>
                <w:kern w:val="0"/>
                <w:szCs w:val="21"/>
                <w:highlight w:val="none"/>
                <w:lang w:val="en-US" w:eastAsia="zh-CN" w:bidi="ar"/>
              </w:rPr>
              <w:t>3,500.00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bCs/>
                <w:color w:val="000000"/>
                <w:kern w:val="0"/>
                <w:sz w:val="21"/>
                <w:szCs w:val="21"/>
                <w:highlight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w:t>
            </w:r>
            <w:r>
              <w:rPr>
                <w:rFonts w:hint="eastAsia" w:cs="Times New Roman"/>
                <w:b/>
                <w:bCs/>
                <w:i w:val="0"/>
                <w:iCs w:val="0"/>
                <w:color w:val="000000"/>
                <w:kern w:val="0"/>
                <w:sz w:val="21"/>
                <w:szCs w:val="21"/>
                <w:u w:val="none"/>
                <w:lang w:val="en-US" w:eastAsia="zh-CN" w:bidi="ar"/>
              </w:rPr>
              <w:t>09</w:t>
            </w:r>
            <w:r>
              <w:rPr>
                <w:rFonts w:hint="default" w:ascii="Times New Roman" w:hAnsi="Times New Roman" w:cs="Times New Roman"/>
                <w:b/>
                <w:bCs/>
                <w:i w:val="0"/>
                <w:iCs w:val="0"/>
                <w:color w:val="000000"/>
                <w:kern w:val="0"/>
                <w:sz w:val="21"/>
                <w:szCs w:val="21"/>
                <w:u w:val="none"/>
                <w:lang w:val="en-US" w:eastAsia="zh-CN" w:bidi="ar"/>
              </w:rPr>
              <w:t>,</w:t>
            </w:r>
            <w:r>
              <w:rPr>
                <w:rFonts w:hint="eastAsia" w:cs="Times New Roman"/>
                <w:b/>
                <w:bCs/>
                <w:i w:val="0"/>
                <w:iCs w:val="0"/>
                <w:color w:val="000000"/>
                <w:kern w:val="0"/>
                <w:sz w:val="21"/>
                <w:szCs w:val="21"/>
                <w:u w:val="none"/>
                <w:lang w:val="en-US" w:eastAsia="zh-CN" w:bidi="ar"/>
              </w:rPr>
              <w:t>5</w:t>
            </w:r>
            <w:r>
              <w:rPr>
                <w:rFonts w:hint="default" w:ascii="Times New Roman" w:hAnsi="Times New Roman" w:eastAsia="宋体" w:cs="Times New Roman"/>
                <w:b/>
                <w:bCs/>
                <w:i w:val="0"/>
                <w:iCs w:val="0"/>
                <w:color w:val="000000"/>
                <w:kern w:val="0"/>
                <w:sz w:val="21"/>
                <w:szCs w:val="21"/>
                <w:u w:val="none"/>
                <w:lang w:val="en-US" w:eastAsia="zh-CN" w:bidi="ar"/>
              </w:rPr>
              <w:t>00</w:t>
            </w:r>
            <w:r>
              <w:rPr>
                <w:rFonts w:hint="default" w:ascii="Times New Roman" w:hAnsi="Times New Roman" w:cs="Times New Roman"/>
                <w:b/>
                <w:bCs/>
                <w:i w:val="0"/>
                <w:iCs w:val="0"/>
                <w:color w:val="000000"/>
                <w:kern w:val="0"/>
                <w:sz w:val="21"/>
                <w:szCs w:val="21"/>
                <w:u w:val="none"/>
                <w:lang w:val="en-US" w:eastAsia="zh-CN" w:bidi="ar"/>
              </w:rPr>
              <w:t>.00</w:t>
            </w:r>
          </w:p>
        </w:tc>
        <w:tc>
          <w:tcPr>
            <w:tcW w:w="1701"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bCs/>
                <w:color w:val="000000"/>
                <w:kern w:val="0"/>
                <w:sz w:val="21"/>
                <w:szCs w:val="21"/>
                <w:highlight w:val="yellow"/>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70</w:t>
            </w:r>
            <w:r>
              <w:rPr>
                <w:rFonts w:hint="default" w:ascii="Times New Roman" w:hAnsi="Times New Roman" w:cs="Times New Roman"/>
                <w:b/>
                <w:bCs/>
                <w:i w:val="0"/>
                <w:iCs w:val="0"/>
                <w:color w:val="000000"/>
                <w:kern w:val="0"/>
                <w:sz w:val="21"/>
                <w:szCs w:val="21"/>
                <w:u w:val="none"/>
                <w:lang w:val="en-US" w:eastAsia="zh-CN" w:bidi="ar"/>
              </w:rPr>
              <w:t>,</w:t>
            </w:r>
            <w:r>
              <w:rPr>
                <w:rFonts w:hint="default" w:ascii="Times New Roman" w:hAnsi="Times New Roman" w:eastAsia="宋体" w:cs="Times New Roman"/>
                <w:b/>
                <w:bCs/>
                <w:i w:val="0"/>
                <w:iCs w:val="0"/>
                <w:color w:val="000000"/>
                <w:kern w:val="0"/>
                <w:sz w:val="21"/>
                <w:szCs w:val="21"/>
                <w:u w:val="none"/>
                <w:lang w:val="en-US" w:eastAsia="zh-CN" w:bidi="ar"/>
              </w:rPr>
              <w:t>000</w:t>
            </w:r>
            <w:r>
              <w:rPr>
                <w:rFonts w:hint="default" w:ascii="Times New Roman" w:hAnsi="Times New Roman" w:cs="Times New Roman"/>
                <w:b/>
                <w:bCs/>
                <w:i w:val="0"/>
                <w:iCs w:val="0"/>
                <w:color w:val="000000"/>
                <w:kern w:val="0"/>
                <w:sz w:val="21"/>
                <w:szCs w:val="21"/>
                <w:u w:val="none"/>
                <w:lang w:val="en-US" w:eastAsia="zh-CN" w:bidi="ar"/>
              </w:rPr>
              <w:t>.00</w:t>
            </w:r>
          </w:p>
        </w:tc>
        <w:tc>
          <w:tcPr>
            <w:tcW w:w="1378" w:type="dxa"/>
            <w:tcBorders>
              <w:bottom w:val="thinThickSmallGap" w:color="auto" w:sz="2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宋体" w:cs="Times New Roman"/>
                <w:b/>
                <w:bCs/>
                <w:color w:val="000000"/>
                <w:kern w:val="0"/>
                <w:sz w:val="21"/>
                <w:szCs w:val="21"/>
                <w:highlight w:val="yellow"/>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1</w:t>
            </w:r>
            <w:r>
              <w:rPr>
                <w:rFonts w:hint="default" w:ascii="Times New Roman" w:hAnsi="Times New Roman" w:cs="Times New Roman"/>
                <w:b/>
                <w:bCs/>
                <w:i w:val="0"/>
                <w:iCs w:val="0"/>
                <w:color w:val="000000"/>
                <w:kern w:val="0"/>
                <w:sz w:val="21"/>
                <w:szCs w:val="21"/>
                <w:u w:val="none"/>
                <w:lang w:val="en-US" w:eastAsia="zh-CN" w:bidi="ar"/>
              </w:rPr>
              <w:t>,</w:t>
            </w:r>
            <w:r>
              <w:rPr>
                <w:rFonts w:hint="default" w:ascii="Times New Roman" w:hAnsi="Times New Roman" w:eastAsia="宋体" w:cs="Times New Roman"/>
                <w:b/>
                <w:bCs/>
                <w:i w:val="0"/>
                <w:iCs w:val="0"/>
                <w:color w:val="000000"/>
                <w:kern w:val="0"/>
                <w:sz w:val="21"/>
                <w:szCs w:val="21"/>
                <w:u w:val="none"/>
                <w:lang w:val="en-US" w:eastAsia="zh-CN" w:bidi="ar"/>
              </w:rPr>
              <w:t>736.56</w:t>
            </w:r>
          </w:p>
        </w:tc>
        <w:tc>
          <w:tcPr>
            <w:tcW w:w="1449" w:type="dxa"/>
            <w:tcBorders>
              <w:bottom w:val="thinThickSmallGap" w:color="auto" w:sz="24" w:space="0"/>
            </w:tcBorders>
            <w:vAlign w:val="center"/>
          </w:tcPr>
          <w:p>
            <w:pPr>
              <w:keepNext w:val="0"/>
              <w:keepLines w:val="0"/>
              <w:widowControl/>
              <w:suppressLineNumbers w:val="0"/>
              <w:jc w:val="right"/>
              <w:textAlignment w:val="center"/>
              <w:rPr>
                <w:rFonts w:hint="default" w:ascii="Times New Roman" w:hAnsi="Times New Roman" w:eastAsia="宋体" w:cs="Times New Roman"/>
                <w:b/>
                <w:bCs/>
                <w:color w:val="000000"/>
                <w:kern w:val="0"/>
                <w:sz w:val="21"/>
                <w:szCs w:val="21"/>
                <w:highlight w:val="none"/>
                <w:lang w:val="en-US" w:eastAsia="zh-CN" w:bidi="ar"/>
              </w:rPr>
            </w:pPr>
            <w:r>
              <w:rPr>
                <w:rFonts w:hint="eastAsia" w:cs="Times New Roman"/>
                <w:b/>
                <w:bCs/>
                <w:i w:val="0"/>
                <w:iCs w:val="0"/>
                <w:color w:val="000000"/>
                <w:kern w:val="0"/>
                <w:sz w:val="21"/>
                <w:szCs w:val="21"/>
                <w:u w:val="none"/>
                <w:lang w:val="en-US" w:eastAsia="zh-CN" w:bidi="ar"/>
              </w:rPr>
              <w:t>39</w:t>
            </w:r>
            <w:r>
              <w:rPr>
                <w:rFonts w:hint="default" w:ascii="Times New Roman" w:hAnsi="Times New Roman" w:cs="Times New Roman"/>
                <w:b/>
                <w:bCs/>
                <w:i w:val="0"/>
                <w:iCs w:val="0"/>
                <w:color w:val="000000"/>
                <w:kern w:val="0"/>
                <w:sz w:val="21"/>
                <w:szCs w:val="21"/>
                <w:u w:val="none"/>
                <w:lang w:val="en-US" w:eastAsia="zh-CN" w:bidi="ar"/>
              </w:rPr>
              <w:t>,</w:t>
            </w:r>
            <w:r>
              <w:rPr>
                <w:rFonts w:hint="eastAsia" w:cs="Times New Roman"/>
                <w:b/>
                <w:bCs/>
                <w:i w:val="0"/>
                <w:iCs w:val="0"/>
                <w:color w:val="000000"/>
                <w:kern w:val="0"/>
                <w:sz w:val="21"/>
                <w:szCs w:val="21"/>
                <w:u w:val="none"/>
                <w:lang w:val="en-US" w:eastAsia="zh-CN" w:bidi="ar"/>
              </w:rPr>
              <w:t>5</w:t>
            </w:r>
            <w:r>
              <w:rPr>
                <w:rFonts w:hint="default" w:ascii="Times New Roman" w:hAnsi="Times New Roman" w:eastAsia="宋体" w:cs="Times New Roman"/>
                <w:b/>
                <w:bCs/>
                <w:i w:val="0"/>
                <w:iCs w:val="0"/>
                <w:color w:val="000000"/>
                <w:kern w:val="0"/>
                <w:sz w:val="21"/>
                <w:szCs w:val="21"/>
                <w:u w:val="none"/>
                <w:lang w:val="en-US" w:eastAsia="zh-CN" w:bidi="ar"/>
              </w:rPr>
              <w:t>00</w:t>
            </w:r>
            <w:r>
              <w:rPr>
                <w:rFonts w:hint="default" w:ascii="Times New Roman" w:hAnsi="Times New Roman" w:cs="Times New Roman"/>
                <w:b/>
                <w:bCs/>
                <w:i w:val="0"/>
                <w:iCs w:val="0"/>
                <w:color w:val="000000"/>
                <w:kern w:val="0"/>
                <w:sz w:val="21"/>
                <w:szCs w:val="21"/>
                <w:u w:val="none"/>
                <w:lang w:val="en-US" w:eastAsia="zh-CN"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30.45</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580" w:type="dxa"/>
            <w:gridSpan w:val="4"/>
            <w:shd w:val="clear" w:color="auto" w:fill="auto"/>
            <w:vAlign w:val="center"/>
          </w:tcPr>
          <w:p>
            <w:pPr>
              <w:widowControl/>
              <w:jc w:val="center"/>
              <w:textAlignment w:val="center"/>
              <w:rPr>
                <w:color w:val="000000"/>
                <w:kern w:val="0"/>
                <w:szCs w:val="21"/>
                <w:highlight w:val="green"/>
                <w:lang w:bidi="ar"/>
              </w:rPr>
            </w:pPr>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21.76%</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39,5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10,500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highlight w:val="none"/>
                <w:lang w:bidi="ar"/>
              </w:rPr>
            </w:pPr>
            <w:r>
              <w:rPr>
                <w:color w:val="000000"/>
                <w:kern w:val="0"/>
                <w:szCs w:val="21"/>
                <w:highlight w:val="none"/>
                <w:lang w:bidi="ar"/>
              </w:rPr>
              <w:t>总理财额度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5</w:t>
            </w:r>
            <w:r>
              <w:rPr>
                <w:color w:val="000000"/>
                <w:kern w:val="0"/>
                <w:szCs w:val="21"/>
                <w:highlight w:val="none"/>
                <w:lang w:bidi="ar"/>
              </w:rPr>
              <w:t>0,000</w:t>
            </w:r>
            <w:r>
              <w:rPr>
                <w:rFonts w:hint="eastAsia"/>
                <w:color w:val="000000"/>
                <w:kern w:val="0"/>
                <w:szCs w:val="21"/>
                <w:highlight w:val="none"/>
                <w:lang w:bidi="ar"/>
              </w:rPr>
              <w:t>.00</w:t>
            </w:r>
          </w:p>
        </w:tc>
      </w:tr>
    </w:tbl>
    <w:p>
      <w:pPr>
        <w:widowControl/>
        <w:ind w:left="0" w:leftChars="0"/>
        <w:jc w:val="left"/>
        <w:rPr>
          <w:rFonts w:hint="eastAsia" w:ascii="宋体" w:hAnsi="宋体"/>
          <w:bCs/>
          <w:szCs w:val="21"/>
        </w:rPr>
      </w:pPr>
    </w:p>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2</w:t>
      </w:r>
      <w:r>
        <w:rPr>
          <w:rFonts w:eastAsiaTheme="minorEastAsia"/>
          <w:color w:val="000000"/>
          <w:sz w:val="24"/>
          <w:szCs w:val="24"/>
          <w:highlight w:val="none"/>
        </w:rPr>
        <w:t>年</w:t>
      </w:r>
      <w:r>
        <w:rPr>
          <w:rFonts w:hint="eastAsia" w:eastAsiaTheme="minorEastAsia"/>
          <w:color w:val="000000"/>
          <w:sz w:val="24"/>
          <w:szCs w:val="24"/>
          <w:highlight w:val="none"/>
          <w:lang w:val="en-US" w:eastAsia="zh-CN"/>
        </w:rPr>
        <w:t>6</w:t>
      </w:r>
      <w:r>
        <w:rPr>
          <w:rFonts w:eastAsiaTheme="minorEastAsia"/>
          <w:color w:val="000000"/>
          <w:sz w:val="24"/>
          <w:szCs w:val="24"/>
          <w:highlight w:val="none"/>
        </w:rPr>
        <w:t>月</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abstractNum w:abstractNumId="1">
    <w:nsid w:val="31FF68AF"/>
    <w:multiLevelType w:val="singleLevel"/>
    <w:tmpl w:val="31FF68A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Y2JlNzkyMmU2MDNmNmE5NDEyZDZjNWU0NmZkZmQifQ=="/>
  </w:docVars>
  <w:rsids>
    <w:rsidRoot w:val="14346CCF"/>
    <w:rsid w:val="00491A48"/>
    <w:rsid w:val="013D0DB1"/>
    <w:rsid w:val="018E4822"/>
    <w:rsid w:val="027576DF"/>
    <w:rsid w:val="02AF4FED"/>
    <w:rsid w:val="02BC7782"/>
    <w:rsid w:val="02D768EE"/>
    <w:rsid w:val="049C0D81"/>
    <w:rsid w:val="04BC2DF0"/>
    <w:rsid w:val="050F3BF1"/>
    <w:rsid w:val="051D5553"/>
    <w:rsid w:val="05202816"/>
    <w:rsid w:val="05B5678A"/>
    <w:rsid w:val="07832D9E"/>
    <w:rsid w:val="083E47F0"/>
    <w:rsid w:val="08977F70"/>
    <w:rsid w:val="08C60F31"/>
    <w:rsid w:val="097203F7"/>
    <w:rsid w:val="097944B0"/>
    <w:rsid w:val="0AC149D4"/>
    <w:rsid w:val="0B755F08"/>
    <w:rsid w:val="0BC4590D"/>
    <w:rsid w:val="0BE8347C"/>
    <w:rsid w:val="0F34760A"/>
    <w:rsid w:val="0FBD3F46"/>
    <w:rsid w:val="100E2521"/>
    <w:rsid w:val="11535FD3"/>
    <w:rsid w:val="11B55FCB"/>
    <w:rsid w:val="11FA498B"/>
    <w:rsid w:val="14346CCF"/>
    <w:rsid w:val="15462F97"/>
    <w:rsid w:val="15E54F66"/>
    <w:rsid w:val="17391ED0"/>
    <w:rsid w:val="17965A93"/>
    <w:rsid w:val="17A17C4F"/>
    <w:rsid w:val="17E62CEF"/>
    <w:rsid w:val="195B1E01"/>
    <w:rsid w:val="1A041605"/>
    <w:rsid w:val="1D36117A"/>
    <w:rsid w:val="1DA85962"/>
    <w:rsid w:val="1DE640C3"/>
    <w:rsid w:val="1E125A00"/>
    <w:rsid w:val="1F6C3676"/>
    <w:rsid w:val="21825480"/>
    <w:rsid w:val="23C562A3"/>
    <w:rsid w:val="26A50469"/>
    <w:rsid w:val="27426F9D"/>
    <w:rsid w:val="29A7485D"/>
    <w:rsid w:val="2B350611"/>
    <w:rsid w:val="2DF44503"/>
    <w:rsid w:val="2E4E7A2B"/>
    <w:rsid w:val="2E80779D"/>
    <w:rsid w:val="316C2692"/>
    <w:rsid w:val="3340749F"/>
    <w:rsid w:val="38D05A6D"/>
    <w:rsid w:val="390212BA"/>
    <w:rsid w:val="397D10DC"/>
    <w:rsid w:val="39B02A11"/>
    <w:rsid w:val="3A6457A9"/>
    <w:rsid w:val="3AD614D7"/>
    <w:rsid w:val="3AF7441B"/>
    <w:rsid w:val="3C295A99"/>
    <w:rsid w:val="3EE1443F"/>
    <w:rsid w:val="3EE71B36"/>
    <w:rsid w:val="3EFB2631"/>
    <w:rsid w:val="3F3C3818"/>
    <w:rsid w:val="40024126"/>
    <w:rsid w:val="40461D28"/>
    <w:rsid w:val="40502228"/>
    <w:rsid w:val="409F3150"/>
    <w:rsid w:val="42FD048C"/>
    <w:rsid w:val="433B62FA"/>
    <w:rsid w:val="43426F87"/>
    <w:rsid w:val="48000720"/>
    <w:rsid w:val="49721DBB"/>
    <w:rsid w:val="4A0E310F"/>
    <w:rsid w:val="4AFD1F57"/>
    <w:rsid w:val="4B501A2D"/>
    <w:rsid w:val="4C565D83"/>
    <w:rsid w:val="4C6B3C12"/>
    <w:rsid w:val="4CAD5B18"/>
    <w:rsid w:val="4D2706C5"/>
    <w:rsid w:val="516C6209"/>
    <w:rsid w:val="51817CCE"/>
    <w:rsid w:val="549A5A7A"/>
    <w:rsid w:val="55803C7C"/>
    <w:rsid w:val="559A12B4"/>
    <w:rsid w:val="56FD7F32"/>
    <w:rsid w:val="59DB62D9"/>
    <w:rsid w:val="5C646231"/>
    <w:rsid w:val="5C7D0A79"/>
    <w:rsid w:val="604E6A0A"/>
    <w:rsid w:val="609A26F5"/>
    <w:rsid w:val="61FC78BC"/>
    <w:rsid w:val="62CD788E"/>
    <w:rsid w:val="64274C3E"/>
    <w:rsid w:val="64785719"/>
    <w:rsid w:val="64C76149"/>
    <w:rsid w:val="66066C4D"/>
    <w:rsid w:val="669A14AD"/>
    <w:rsid w:val="6736715E"/>
    <w:rsid w:val="67BF6746"/>
    <w:rsid w:val="683A721E"/>
    <w:rsid w:val="688A543D"/>
    <w:rsid w:val="68BA5CE9"/>
    <w:rsid w:val="692A202C"/>
    <w:rsid w:val="69760C36"/>
    <w:rsid w:val="6B797D08"/>
    <w:rsid w:val="6B7F203F"/>
    <w:rsid w:val="6BA73645"/>
    <w:rsid w:val="6C360C93"/>
    <w:rsid w:val="6DBF37EC"/>
    <w:rsid w:val="6E471F02"/>
    <w:rsid w:val="70BD7855"/>
    <w:rsid w:val="716E7BB1"/>
    <w:rsid w:val="73911D1F"/>
    <w:rsid w:val="757F2282"/>
    <w:rsid w:val="75A620CB"/>
    <w:rsid w:val="76CC503A"/>
    <w:rsid w:val="776179CD"/>
    <w:rsid w:val="7A656D7F"/>
    <w:rsid w:val="7BEB393A"/>
    <w:rsid w:val="7F0013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3616</Words>
  <Characters>4384</Characters>
  <Lines>0</Lines>
  <Paragraphs>0</Paragraphs>
  <TotalTime>49</TotalTime>
  <ScaleCrop>false</ScaleCrop>
  <LinksUpToDate>false</LinksUpToDate>
  <CharactersWithSpaces>4413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2022-01-19T02:35:00Z</dcterms:created>
  <dc:creator>邹岩</dc:creator>
  <cp:lastModifiedBy>邹岩</cp:lastModifiedBy>
  <dcterms:modified xsi:type="dcterms:W3CDTF">2022-05-31T06:17:41Z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FD349AB1BF0B4D7BBCB4980BCB9DF898</vt:lpwstr>
  </property>
</Properties>
</file>