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adjustRightInd w:val="0"/>
        <w:spacing w:line="360" w:lineRule="auto"/>
        <w:rPr>
          <w:rFonts w:hint="default" w:ascii="Times New Roman" w:hAnsi="Times New Roman" w:eastAsia="宋体" w:cs="Times New Roman"/>
          <w:color w:val="000000"/>
          <w:sz w:val="24"/>
          <w:szCs w:val="24"/>
          <w:lang w:val="en-US"/>
        </w:rPr>
      </w:pPr>
      <w:r>
        <w:rPr>
          <w:rFonts w:hint="default" w:ascii="Times New Roman" w:hAnsi="Times New Roman" w:eastAsia="宋体" w:cs="Times New Roman"/>
          <w:sz w:val="24"/>
          <w:szCs w:val="24"/>
        </w:rPr>
        <w:t>证券代码：603232</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default" w:ascii="Times New Roman" w:hAnsi="Times New Roman" w:eastAsia="宋体" w:cs="Times New Roman"/>
          <w:sz w:val="24"/>
          <w:szCs w:val="24"/>
        </w:rPr>
        <w:t>证券简称：格尔软件</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default" w:ascii="Times New Roman" w:hAnsi="Times New Roman" w:eastAsia="宋体" w:cs="Times New Roman"/>
          <w:sz w:val="24"/>
          <w:szCs w:val="24"/>
        </w:rPr>
        <w:t>公告编号</w:t>
      </w:r>
      <w:r>
        <w:rPr>
          <w:rFonts w:hint="default" w:ascii="Times New Roman" w:hAnsi="Times New Roman" w:eastAsia="宋体" w:cs="Times New Roman"/>
          <w:sz w:val="24"/>
          <w:szCs w:val="24"/>
          <w:highlight w:val="none"/>
        </w:rPr>
        <w:t>：20</w:t>
      </w:r>
      <w:r>
        <w:rPr>
          <w:rFonts w:hint="default" w:ascii="Times New Roman" w:hAnsi="Times New Roman" w:eastAsia="宋体" w:cs="Times New Roman"/>
          <w:sz w:val="24"/>
          <w:szCs w:val="24"/>
          <w:highlight w:val="none"/>
          <w:lang w:val="en-US" w:eastAsia="zh-CN"/>
        </w:rPr>
        <w:t>2</w:t>
      </w:r>
      <w:r>
        <w:rPr>
          <w:rFonts w:hint="eastAsia" w:ascii="Times New Roman" w:hAnsi="Times New Roman"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default" w:ascii="Times New Roman" w:hAnsi="Times New Roman" w:cs="Times New Roman"/>
          <w:sz w:val="24"/>
          <w:szCs w:val="24"/>
          <w:highlight w:val="none"/>
          <w:lang w:val="en-US" w:eastAsia="zh-CN"/>
        </w:rPr>
        <w:t>0</w:t>
      </w:r>
      <w:r>
        <w:rPr>
          <w:rFonts w:hint="eastAsia" w:ascii="Times New Roman" w:hAnsi="Times New Roman" w:cs="Times New Roman"/>
          <w:sz w:val="24"/>
          <w:szCs w:val="24"/>
          <w:highlight w:val="none"/>
          <w:lang w:val="en-US" w:eastAsia="zh-CN"/>
        </w:rPr>
        <w:t>09</w:t>
      </w:r>
    </w:p>
    <w:p>
      <w:pPr>
        <w:widowControl w:val="0"/>
        <w:autoSpaceDE w:val="0"/>
        <w:autoSpaceDN w:val="0"/>
        <w:adjustRightInd w:val="0"/>
        <w:spacing w:line="360" w:lineRule="auto"/>
        <w:jc w:val="center"/>
        <w:rPr>
          <w:rFonts w:hint="eastAsia"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widowControl w:val="0"/>
        <w:autoSpaceDE w:val="0"/>
        <w:autoSpaceDN w:val="0"/>
        <w:adjustRightInd w:val="0"/>
        <w:spacing w:line="360" w:lineRule="auto"/>
        <w:jc w:val="center"/>
        <w:rPr>
          <w:rFonts w:hint="eastAsia" w:ascii="黑体" w:hAnsi="黑体" w:eastAsia="黑体" w:cs="黑体"/>
          <w:b/>
          <w:color w:val="FF0000"/>
          <w:sz w:val="36"/>
          <w:szCs w:val="36"/>
        </w:rPr>
      </w:pPr>
      <w:r>
        <w:rPr>
          <w:rFonts w:hint="eastAsia" w:ascii="黑体" w:hAnsi="黑体" w:eastAsia="黑体" w:cs="黑体"/>
          <w:b/>
          <w:color w:val="FF0000"/>
          <w:sz w:val="36"/>
          <w:szCs w:val="36"/>
        </w:rPr>
        <w:t>第</w:t>
      </w:r>
      <w:r>
        <w:rPr>
          <w:rFonts w:hint="eastAsia" w:ascii="黑体" w:hAnsi="黑体" w:eastAsia="黑体" w:cs="黑体"/>
          <w:b/>
          <w:color w:val="FF0000"/>
          <w:sz w:val="36"/>
          <w:szCs w:val="36"/>
          <w:lang w:eastAsia="zh-CN"/>
        </w:rPr>
        <w:t>七</w:t>
      </w:r>
      <w:r>
        <w:rPr>
          <w:rFonts w:hint="eastAsia" w:ascii="黑体" w:hAnsi="黑体" w:eastAsia="黑体" w:cs="黑体"/>
          <w:b/>
          <w:color w:val="FF0000"/>
          <w:sz w:val="36"/>
          <w:szCs w:val="36"/>
        </w:rPr>
        <w:t>届监事会第</w:t>
      </w:r>
      <w:r>
        <w:rPr>
          <w:rFonts w:hint="eastAsia" w:ascii="黑体" w:hAnsi="黑体" w:eastAsia="黑体" w:cs="黑体"/>
          <w:b/>
          <w:color w:val="FF0000"/>
          <w:sz w:val="36"/>
          <w:szCs w:val="36"/>
          <w:lang w:val="en-US" w:eastAsia="zh-CN"/>
        </w:rPr>
        <w:t>二十</w:t>
      </w:r>
      <w:r>
        <w:rPr>
          <w:rFonts w:hint="eastAsia" w:ascii="黑体" w:hAnsi="黑体" w:eastAsia="黑体" w:cs="黑体"/>
          <w:b/>
          <w:color w:val="FF0000"/>
          <w:sz w:val="36"/>
          <w:szCs w:val="36"/>
        </w:rPr>
        <w:t>次会议决议公告</w:t>
      </w:r>
    </w:p>
    <w:p>
      <w:pPr>
        <w:pStyle w:val="4"/>
        <w:pBdr>
          <w:top w:val="single" w:color="auto" w:sz="4" w:space="1"/>
          <w:left w:val="single" w:color="auto" w:sz="4" w:space="4"/>
          <w:bottom w:val="single" w:color="auto" w:sz="4" w:space="1"/>
          <w:right w:val="single" w:color="auto" w:sz="4" w:space="4"/>
        </w:pBdr>
        <w:spacing w:line="360" w:lineRule="auto"/>
        <w:ind w:firstLine="56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本公司监事会及全体监事保证本公告内容不存在任何虚假记载、误导性陈述或者重大遗漏，并对其内容的真实性、准确性和完整性承担个别及连带责任。</w:t>
      </w:r>
    </w:p>
    <w:p>
      <w:pPr>
        <w:keepNext w:val="0"/>
        <w:keepLines w:val="0"/>
        <w:pageBreakBefore w:val="0"/>
        <w:widowControl/>
        <w:kinsoku/>
        <w:wordWrap/>
        <w:overflowPunct/>
        <w:topLinePunct w:val="0"/>
        <w:autoSpaceDE/>
        <w:autoSpaceDN/>
        <w:bidi w:val="0"/>
        <w:adjustRightInd/>
        <w:snapToGrid w:val="0"/>
        <w:spacing w:before="0" w:beforeLines="50" w:line="360" w:lineRule="auto"/>
        <w:ind w:firstLine="460" w:firstLineChars="192"/>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格尔软件股份有限公司</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以下简称“公司”</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第</w:t>
      </w:r>
      <w:r>
        <w:rPr>
          <w:rFonts w:hint="default" w:ascii="Times New Roman" w:hAnsi="Times New Roman" w:eastAsia="宋体" w:cs="Times New Roman"/>
          <w:sz w:val="24"/>
          <w:szCs w:val="24"/>
          <w:lang w:eastAsia="zh-CN"/>
        </w:rPr>
        <w:t>七</w:t>
      </w:r>
      <w:r>
        <w:rPr>
          <w:rFonts w:hint="default" w:ascii="Times New Roman" w:hAnsi="Times New Roman" w:eastAsia="宋体" w:cs="Times New Roman"/>
          <w:sz w:val="24"/>
          <w:szCs w:val="24"/>
        </w:rPr>
        <w:t>届监事会第</w:t>
      </w:r>
      <w:r>
        <w:rPr>
          <w:rFonts w:hint="eastAsia" w:ascii="Times New Roman" w:hAnsi="Times New Roman" w:eastAsia="宋体" w:cs="Times New Roman"/>
          <w:sz w:val="24"/>
          <w:szCs w:val="24"/>
          <w:lang w:val="en-US" w:eastAsia="zh-CN"/>
        </w:rPr>
        <w:t>二十</w:t>
      </w:r>
      <w:r>
        <w:rPr>
          <w:rFonts w:hint="default" w:ascii="Times New Roman" w:hAnsi="Times New Roman" w:eastAsia="宋体" w:cs="Times New Roman"/>
          <w:sz w:val="24"/>
          <w:szCs w:val="24"/>
        </w:rPr>
        <w:t>次会议于</w:t>
      </w:r>
      <w:r>
        <w:rPr>
          <w:rFonts w:hint="default" w:ascii="Times New Roman" w:hAnsi="Times New Roman" w:eastAsia="宋体" w:cs="Times New Roman"/>
          <w:color w:val="000000"/>
          <w:sz w:val="24"/>
          <w:szCs w:val="24"/>
          <w:lang w:val="en-US" w:eastAsia="zh-CN"/>
        </w:rPr>
        <w:t>202</w:t>
      </w:r>
      <w:r>
        <w:rPr>
          <w:rFonts w:hint="eastAsia" w:ascii="Times New Roman" w:hAnsi="Times New Roman" w:cs="Times New Roman"/>
          <w:color w:val="000000"/>
          <w:sz w:val="24"/>
          <w:szCs w:val="24"/>
          <w:lang w:val="en-US" w:eastAsia="zh-CN"/>
        </w:rPr>
        <w:t>2</w:t>
      </w:r>
      <w:r>
        <w:rPr>
          <w:rFonts w:hint="default" w:ascii="Times New Roman" w:hAnsi="Times New Roman" w:eastAsia="宋体" w:cs="Times New Roman"/>
          <w:color w:val="000000"/>
          <w:sz w:val="24"/>
          <w:szCs w:val="24"/>
        </w:rPr>
        <w:t>年4月</w:t>
      </w:r>
      <w:r>
        <w:rPr>
          <w:rFonts w:hint="default" w:ascii="Times New Roman" w:hAnsi="Times New Roman" w:eastAsia="宋体" w:cs="Times New Roman"/>
          <w:color w:val="000000"/>
          <w:sz w:val="24"/>
          <w:szCs w:val="24"/>
          <w:lang w:val="en-US" w:eastAsia="zh-CN"/>
        </w:rPr>
        <w:t>1</w:t>
      </w:r>
      <w:r>
        <w:rPr>
          <w:rFonts w:hint="eastAsia" w:ascii="Times New Roman" w:hAnsi="Times New Roman" w:cs="Times New Roman"/>
          <w:color w:val="000000"/>
          <w:sz w:val="24"/>
          <w:szCs w:val="24"/>
          <w:lang w:val="en-US" w:eastAsia="zh-CN"/>
        </w:rPr>
        <w:t>5</w:t>
      </w:r>
      <w:r>
        <w:rPr>
          <w:rFonts w:hint="default" w:ascii="Times New Roman" w:hAnsi="Times New Roman" w:eastAsia="宋体" w:cs="Times New Roman"/>
          <w:color w:val="000000"/>
          <w:sz w:val="24"/>
          <w:szCs w:val="24"/>
        </w:rPr>
        <w:t>日以书面形式发出通知，并于20</w:t>
      </w:r>
      <w:r>
        <w:rPr>
          <w:rFonts w:hint="default" w:ascii="Times New Roman" w:hAnsi="Times New Roman" w:eastAsia="宋体" w:cs="Times New Roman"/>
          <w:color w:val="000000"/>
          <w:sz w:val="24"/>
          <w:szCs w:val="24"/>
          <w:lang w:val="en-US" w:eastAsia="zh-CN"/>
        </w:rPr>
        <w:t>2</w:t>
      </w:r>
      <w:r>
        <w:rPr>
          <w:rFonts w:hint="eastAsia" w:ascii="Times New Roman" w:hAnsi="Times New Roman" w:cs="Times New Roman"/>
          <w:color w:val="000000"/>
          <w:sz w:val="24"/>
          <w:szCs w:val="24"/>
          <w:lang w:val="en-US" w:eastAsia="zh-CN"/>
        </w:rPr>
        <w:t>2</w:t>
      </w:r>
      <w:r>
        <w:rPr>
          <w:rFonts w:hint="default" w:ascii="Times New Roman" w:hAnsi="Times New Roman" w:eastAsia="宋体" w:cs="Times New Roman"/>
          <w:color w:val="000000"/>
          <w:sz w:val="24"/>
          <w:szCs w:val="24"/>
        </w:rPr>
        <w:t>年</w:t>
      </w:r>
      <w:r>
        <w:rPr>
          <w:rFonts w:hint="default" w:ascii="Times New Roman" w:hAnsi="Times New Roman" w:eastAsia="宋体" w:cs="Times New Roman"/>
          <w:color w:val="000000"/>
          <w:sz w:val="24"/>
          <w:szCs w:val="24"/>
          <w:lang w:val="en-US" w:eastAsia="zh-CN"/>
        </w:rPr>
        <w:t>4</w:t>
      </w:r>
      <w:r>
        <w:rPr>
          <w:rFonts w:hint="default" w:ascii="Times New Roman" w:hAnsi="Times New Roman" w:eastAsia="宋体" w:cs="Times New Roman"/>
          <w:color w:val="000000"/>
          <w:sz w:val="24"/>
          <w:szCs w:val="24"/>
        </w:rPr>
        <w:t>月</w:t>
      </w:r>
      <w:r>
        <w:rPr>
          <w:rFonts w:hint="default" w:ascii="Times New Roman" w:hAnsi="Times New Roman" w:eastAsia="宋体" w:cs="Times New Roman"/>
          <w:color w:val="000000"/>
          <w:sz w:val="24"/>
          <w:szCs w:val="24"/>
          <w:lang w:val="en-US" w:eastAsia="zh-CN"/>
        </w:rPr>
        <w:t>2</w:t>
      </w:r>
      <w:r>
        <w:rPr>
          <w:rFonts w:hint="eastAsia" w:ascii="Times New Roman" w:hAnsi="Times New Roman" w:cs="Times New Roman"/>
          <w:color w:val="000000"/>
          <w:sz w:val="24"/>
          <w:szCs w:val="24"/>
          <w:highlight w:val="none"/>
          <w:lang w:val="en-US" w:eastAsia="zh-CN"/>
        </w:rPr>
        <w:t>5</w:t>
      </w:r>
      <w:r>
        <w:rPr>
          <w:rFonts w:hint="default" w:ascii="Times New Roman" w:hAnsi="Times New Roman" w:eastAsia="宋体" w:cs="Times New Roman"/>
          <w:color w:val="000000"/>
          <w:sz w:val="24"/>
          <w:szCs w:val="24"/>
          <w:highlight w:val="none"/>
        </w:rPr>
        <w:t>日</w:t>
      </w:r>
      <w:r>
        <w:rPr>
          <w:rFonts w:hint="eastAsia" w:ascii="Times New Roman" w:hAnsi="Times New Roman" w:cs="Times New Roman"/>
          <w:sz w:val="24"/>
          <w:szCs w:val="24"/>
          <w:highlight w:val="none"/>
          <w:lang w:val="en-US" w:eastAsia="zh-CN"/>
        </w:rPr>
        <w:t>以线上会议的形式</w:t>
      </w:r>
      <w:r>
        <w:rPr>
          <w:rFonts w:hint="default" w:ascii="Times New Roman" w:hAnsi="Times New Roman" w:eastAsia="宋体" w:cs="Times New Roman"/>
          <w:sz w:val="24"/>
          <w:szCs w:val="24"/>
          <w:highlight w:val="none"/>
        </w:rPr>
        <w:t>召开。本次会议应到监事3名，实到3名，分别为：黄振东、任伟、</w:t>
      </w:r>
      <w:r>
        <w:rPr>
          <w:rFonts w:hint="default" w:ascii="Times New Roman" w:hAnsi="Times New Roman" w:eastAsia="宋体" w:cs="Times New Roman"/>
          <w:sz w:val="24"/>
          <w:szCs w:val="24"/>
          <w:highlight w:val="none"/>
          <w:lang w:eastAsia="zh-CN"/>
        </w:rPr>
        <w:t>祝峰</w:t>
      </w:r>
      <w:r>
        <w:rPr>
          <w:rFonts w:hint="default" w:ascii="Times New Roman" w:hAnsi="Times New Roman" w:eastAsia="宋体" w:cs="Times New Roman"/>
          <w:sz w:val="24"/>
          <w:szCs w:val="24"/>
          <w:highlight w:val="none"/>
        </w:rPr>
        <w:t>。</w:t>
      </w:r>
    </w:p>
    <w:p>
      <w:pPr>
        <w:snapToGrid w:val="0"/>
        <w:spacing w:line="360" w:lineRule="auto"/>
        <w:ind w:firstLine="460" w:firstLineChars="192"/>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会议的召开符合《公司法》及本公司章程的有关规定。</w:t>
      </w:r>
    </w:p>
    <w:p>
      <w:pPr>
        <w:snapToGrid w:val="0"/>
        <w:spacing w:line="360" w:lineRule="auto"/>
        <w:ind w:firstLine="460" w:firstLineChars="192"/>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会议以投票的方式审议并通过了以下议案：</w:t>
      </w:r>
    </w:p>
    <w:p>
      <w:pPr>
        <w:pStyle w:val="4"/>
        <w:numPr>
          <w:ilvl w:val="0"/>
          <w:numId w:val="1"/>
        </w:numPr>
        <w:snapToGrid w:val="0"/>
        <w:spacing w:line="360" w:lineRule="auto"/>
        <w:ind w:left="0" w:leftChars="0" w:firstLine="420" w:firstLineChars="0"/>
        <w:jc w:val="both"/>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审议通过了《</w:t>
      </w:r>
      <w:r>
        <w:rPr>
          <w:rFonts w:hint="default" w:ascii="Times New Roman" w:hAnsi="Times New Roman" w:eastAsia="宋体" w:cs="Times New Roman"/>
          <w:b/>
          <w:sz w:val="24"/>
          <w:szCs w:val="24"/>
          <w:lang w:eastAsia="zh-CN"/>
        </w:rPr>
        <w:t>公司</w:t>
      </w:r>
      <w:r>
        <w:rPr>
          <w:rFonts w:hint="default" w:ascii="Times New Roman" w:hAnsi="Times New Roman" w:eastAsia="宋体" w:cs="Times New Roman"/>
          <w:b/>
          <w:sz w:val="24"/>
          <w:szCs w:val="24"/>
          <w:lang w:val="en-US" w:eastAsia="zh-CN"/>
        </w:rPr>
        <w:t>202</w:t>
      </w:r>
      <w:r>
        <w:rPr>
          <w:rFonts w:hint="eastAsia" w:ascii="Times New Roman" w:hAnsi="Times New Roman" w:eastAsia="宋体" w:cs="Times New Roman"/>
          <w:b/>
          <w:sz w:val="24"/>
          <w:szCs w:val="24"/>
          <w:lang w:val="en-US" w:eastAsia="zh-CN"/>
        </w:rPr>
        <w:t>1</w:t>
      </w:r>
      <w:r>
        <w:rPr>
          <w:rFonts w:hint="default" w:ascii="Times New Roman" w:hAnsi="Times New Roman" w:eastAsia="宋体" w:cs="Times New Roman"/>
          <w:b/>
          <w:sz w:val="24"/>
          <w:szCs w:val="24"/>
        </w:rPr>
        <w:t>年度监事会工作报告》</w:t>
      </w:r>
    </w:p>
    <w:p>
      <w:pPr>
        <w:autoSpaceDE w:val="0"/>
        <w:autoSpaceDN w:val="0"/>
        <w:adjustRightInd w:val="0"/>
        <w:snapToGrid w:val="0"/>
        <w:spacing w:line="360" w:lineRule="auto"/>
        <w:ind w:firstLine="446" w:firstLineChars="186"/>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监事会认为</w:t>
      </w:r>
      <w:r>
        <w:rPr>
          <w:rFonts w:hint="eastAsia" w:ascii="Times New Roman" w:hAnsi="Times New Roman" w:eastAsia="宋体"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rPr>
        <w:t>公司董事会依法运作，规范管理，决策程序合法。</w:t>
      </w:r>
      <w:r>
        <w:rPr>
          <w:rFonts w:hint="default" w:ascii="Times New Roman" w:hAnsi="Times New Roman" w:eastAsia="宋体" w:cs="Times New Roman"/>
          <w:color w:val="000000"/>
          <w:sz w:val="24"/>
          <w:szCs w:val="24"/>
          <w:highlight w:val="none"/>
          <w:lang w:val="en-US" w:eastAsia="zh-CN"/>
        </w:rPr>
        <w:t>202</w:t>
      </w:r>
      <w:r>
        <w:rPr>
          <w:rFonts w:hint="eastAsia" w:ascii="Times New Roman" w:hAnsi="Times New Roman" w:cs="Times New Roman"/>
          <w:color w:val="000000"/>
          <w:sz w:val="24"/>
          <w:szCs w:val="24"/>
          <w:highlight w:val="none"/>
          <w:lang w:val="en-US" w:eastAsia="zh-CN"/>
        </w:rPr>
        <w:t>1</w:t>
      </w:r>
      <w:r>
        <w:rPr>
          <w:rFonts w:hint="default" w:ascii="Times New Roman" w:hAnsi="Times New Roman" w:eastAsia="宋体" w:cs="Times New Roman"/>
          <w:color w:val="000000"/>
          <w:sz w:val="24"/>
          <w:szCs w:val="24"/>
          <w:highlight w:val="none"/>
        </w:rPr>
        <w:t>年内，监事会没有发现公司董事、经理执行公司职务时有违反法律、法规、公司章程或损害公司利益的行为。</w:t>
      </w:r>
    </w:p>
    <w:p>
      <w:pPr>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autoSpaceDE w:val="0"/>
        <w:autoSpaceDN w:val="0"/>
        <w:adjustRightInd w:val="0"/>
        <w:snapToGrid w:val="0"/>
        <w:spacing w:line="360" w:lineRule="auto"/>
        <w:ind w:firstLine="446" w:firstLineChars="186"/>
        <w:rPr>
          <w:rFonts w:hint="eastAsia"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rPr>
        <w:t>该议案尚需提交股东大会审议</w:t>
      </w:r>
      <w:r>
        <w:rPr>
          <w:rFonts w:hint="eastAsia" w:ascii="Times New Roman" w:hAnsi="Times New Roman" w:eastAsia="宋体" w:cs="Times New Roman"/>
          <w:color w:val="000000"/>
          <w:sz w:val="24"/>
          <w:szCs w:val="24"/>
          <w:lang w:eastAsia="zh-CN"/>
        </w:rPr>
        <w:t>。</w:t>
      </w:r>
    </w:p>
    <w:p>
      <w:pPr>
        <w:widowControl w:val="0"/>
        <w:autoSpaceDE w:val="0"/>
        <w:autoSpaceDN w:val="0"/>
        <w:adjustRightInd w:val="0"/>
        <w:spacing w:line="360" w:lineRule="auto"/>
        <w:ind w:firstLine="446" w:firstLineChars="186"/>
        <w:rPr>
          <w:rFonts w:hint="default" w:ascii="Times New Roman" w:hAnsi="Times New Roman" w:eastAsia="宋体" w:cs="Times New Roman"/>
          <w:color w:val="000000"/>
          <w:sz w:val="24"/>
          <w:szCs w:val="24"/>
        </w:rPr>
      </w:pPr>
    </w:p>
    <w:p>
      <w:pPr>
        <w:pStyle w:val="4"/>
        <w:numPr>
          <w:ilvl w:val="0"/>
          <w:numId w:val="1"/>
        </w:numPr>
        <w:snapToGrid w:val="0"/>
        <w:spacing w:line="360" w:lineRule="auto"/>
        <w:ind w:left="0" w:leftChars="0" w:firstLine="420" w:firstLineChars="0"/>
        <w:jc w:val="both"/>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审议通过了《关于&lt;公司</w:t>
      </w:r>
      <w:r>
        <w:rPr>
          <w:rFonts w:hint="default" w:ascii="Times New Roman" w:hAnsi="Times New Roman" w:eastAsia="宋体" w:cs="Times New Roman"/>
          <w:b/>
          <w:sz w:val="24"/>
          <w:szCs w:val="24"/>
          <w:lang w:val="en-US" w:eastAsia="zh-CN"/>
        </w:rPr>
        <w:t>202</w:t>
      </w:r>
      <w:r>
        <w:rPr>
          <w:rFonts w:hint="eastAsia" w:ascii="Times New Roman" w:hAnsi="Times New Roman" w:eastAsia="宋体" w:cs="Times New Roman"/>
          <w:b/>
          <w:sz w:val="24"/>
          <w:szCs w:val="24"/>
          <w:lang w:val="en-US" w:eastAsia="zh-CN"/>
        </w:rPr>
        <w:t>1</w:t>
      </w:r>
      <w:r>
        <w:rPr>
          <w:rFonts w:hint="default" w:ascii="Times New Roman" w:hAnsi="Times New Roman" w:eastAsia="宋体" w:cs="Times New Roman"/>
          <w:b/>
          <w:sz w:val="24"/>
          <w:szCs w:val="24"/>
        </w:rPr>
        <w:t>年年度报告及摘要&gt;的议案》</w:t>
      </w:r>
    </w:p>
    <w:p>
      <w:pPr>
        <w:snapToGrid w:val="0"/>
        <w:spacing w:line="360" w:lineRule="auto"/>
        <w:ind w:left="0" w:leftChars="0" w:firstLine="420" w:firstLineChars="175"/>
        <w:jc w:val="both"/>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监事会认为</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eastAsia="zh-CN"/>
        </w:rPr>
        <w:t>公司</w:t>
      </w:r>
      <w:r>
        <w:rPr>
          <w:rFonts w:hint="default" w:ascii="Times New Roman" w:hAnsi="Times New Roman" w:eastAsia="宋体" w:cs="Times New Roman"/>
          <w:sz w:val="24"/>
          <w:szCs w:val="24"/>
          <w:highlight w:val="none"/>
          <w:lang w:val="en-US" w:eastAsia="zh-CN"/>
        </w:rPr>
        <w:t>202</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年年度报告及摘要》经上会会计师事务所（特殊普通合伙）审计确认，会计师事务所出具无保留意见的审计意见。公司的财务报表能真实、客观、准确地反映公司</w:t>
      </w:r>
      <w:r>
        <w:rPr>
          <w:rFonts w:hint="default" w:ascii="Times New Roman" w:hAnsi="Times New Roman" w:eastAsia="宋体" w:cs="Times New Roman"/>
          <w:sz w:val="24"/>
          <w:szCs w:val="24"/>
          <w:highlight w:val="none"/>
          <w:lang w:val="en-US" w:eastAsia="zh-CN"/>
        </w:rPr>
        <w:t>202</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lang w:val="en-US" w:eastAsia="zh-CN"/>
        </w:rPr>
        <w:t>年</w:t>
      </w:r>
      <w:r>
        <w:rPr>
          <w:rFonts w:hint="default" w:ascii="Times New Roman" w:hAnsi="Times New Roman" w:eastAsia="宋体" w:cs="Times New Roman"/>
          <w:sz w:val="24"/>
          <w:szCs w:val="24"/>
          <w:highlight w:val="none"/>
        </w:rPr>
        <w:t>度的经营业绩、资产负债和股东权益。</w:t>
      </w:r>
    </w:p>
    <w:p>
      <w:pPr>
        <w:snapToGrid w:val="0"/>
        <w:spacing w:line="360" w:lineRule="auto"/>
        <w:ind w:left="0" w:leftChars="0" w:firstLine="420" w:firstLineChars="175"/>
        <w:jc w:val="both"/>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公司202</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年度报告的编制和审议程序符合法律、法规、公司章程和公司内部管理制度的各项规定；公司20</w:t>
      </w:r>
      <w:r>
        <w:rPr>
          <w:rFonts w:hint="eastAsia" w:ascii="Times New Roman" w:hAnsi="Times New Roman" w:cs="Times New Roman"/>
          <w:sz w:val="24"/>
          <w:szCs w:val="24"/>
          <w:highlight w:val="none"/>
          <w:lang w:val="en-US" w:eastAsia="zh-CN"/>
        </w:rPr>
        <w:t>21</w:t>
      </w:r>
      <w:r>
        <w:rPr>
          <w:rFonts w:hint="default" w:ascii="Times New Roman" w:hAnsi="Times New Roman" w:eastAsia="宋体" w:cs="Times New Roman"/>
          <w:sz w:val="24"/>
          <w:szCs w:val="24"/>
          <w:highlight w:val="none"/>
        </w:rPr>
        <w:t>年度报告的内容和格式符合中国证监会和证券交易所的各项规定，所包含的信息从各个方面真实地反映出公司本年度的经营管理和财务状况等事项；未发现参与年报编制和审议的人员有违反保密规定的行为。</w:t>
      </w:r>
    </w:p>
    <w:p>
      <w:pPr>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snapToGrid w:val="0"/>
        <w:spacing w:line="360" w:lineRule="auto"/>
        <w:ind w:firstLine="460" w:firstLineChars="192"/>
        <w:rPr>
          <w:rFonts w:hint="eastAsia" w:ascii="Times New Roman" w:hAnsi="Times New Roman" w:cs="Times New Roman"/>
          <w:color w:val="000000"/>
          <w:sz w:val="24"/>
          <w:szCs w:val="24"/>
          <w:lang w:eastAsia="zh-CN"/>
        </w:rPr>
      </w:pPr>
      <w:r>
        <w:rPr>
          <w:rFonts w:hint="default" w:ascii="Times New Roman" w:hAnsi="Times New Roman" w:eastAsia="宋体" w:cs="Times New Roman"/>
          <w:color w:val="000000"/>
          <w:sz w:val="24"/>
          <w:szCs w:val="24"/>
        </w:rPr>
        <w:t>该议案尚需提交股东大会审议</w:t>
      </w:r>
      <w:r>
        <w:rPr>
          <w:rFonts w:hint="eastAsia" w:ascii="Times New Roman" w:hAnsi="Times New Roman" w:cs="Times New Roman"/>
          <w:color w:val="000000"/>
          <w:sz w:val="24"/>
          <w:szCs w:val="24"/>
          <w:lang w:eastAsia="zh-CN"/>
        </w:rPr>
        <w:t>。</w:t>
      </w:r>
    </w:p>
    <w:p>
      <w:pPr>
        <w:snapToGrid w:val="0"/>
        <w:spacing w:line="360" w:lineRule="auto"/>
        <w:rPr>
          <w:rFonts w:hint="default" w:ascii="Times New Roman" w:hAnsi="Times New Roman" w:eastAsia="宋体" w:cs="Times New Roman"/>
          <w:sz w:val="24"/>
          <w:szCs w:val="24"/>
        </w:rPr>
      </w:pPr>
    </w:p>
    <w:p>
      <w:pPr>
        <w:pStyle w:val="4"/>
        <w:numPr>
          <w:ilvl w:val="0"/>
          <w:numId w:val="1"/>
        </w:numPr>
        <w:snapToGrid w:val="0"/>
        <w:spacing w:line="360" w:lineRule="auto"/>
        <w:ind w:left="0" w:leftChars="0" w:firstLine="420" w:firstLineChars="0"/>
        <w:jc w:val="both"/>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审议通过了《关于&lt;公司</w:t>
      </w:r>
      <w:r>
        <w:rPr>
          <w:rFonts w:hint="default" w:ascii="Times New Roman" w:hAnsi="Times New Roman" w:eastAsia="宋体" w:cs="Times New Roman"/>
          <w:b/>
          <w:sz w:val="24"/>
          <w:szCs w:val="24"/>
          <w:lang w:val="en-US" w:eastAsia="zh-CN"/>
        </w:rPr>
        <w:t>202</w:t>
      </w:r>
      <w:r>
        <w:rPr>
          <w:rFonts w:hint="eastAsia" w:ascii="Times New Roman" w:hAnsi="Times New Roman" w:eastAsia="宋体" w:cs="Times New Roman"/>
          <w:b/>
          <w:sz w:val="24"/>
          <w:szCs w:val="24"/>
          <w:lang w:val="en-US" w:eastAsia="zh-CN"/>
        </w:rPr>
        <w:t>1</w:t>
      </w:r>
      <w:r>
        <w:rPr>
          <w:rFonts w:hint="default" w:ascii="Times New Roman" w:hAnsi="Times New Roman" w:eastAsia="宋体" w:cs="Times New Roman"/>
          <w:b/>
          <w:sz w:val="24"/>
          <w:szCs w:val="24"/>
        </w:rPr>
        <w:t>年度计提</w:t>
      </w:r>
      <w:r>
        <w:rPr>
          <w:rFonts w:hint="eastAsia" w:ascii="Times New Roman" w:hAnsi="Times New Roman" w:eastAsia="宋体" w:cs="Times New Roman"/>
          <w:b/>
          <w:sz w:val="24"/>
          <w:szCs w:val="24"/>
          <w:lang w:val="en-US" w:eastAsia="zh-CN"/>
        </w:rPr>
        <w:t>信用</w:t>
      </w:r>
      <w:r>
        <w:rPr>
          <w:rFonts w:hint="default" w:ascii="Times New Roman" w:hAnsi="Times New Roman" w:eastAsia="宋体" w:cs="Times New Roman"/>
          <w:b/>
          <w:sz w:val="24"/>
          <w:szCs w:val="24"/>
        </w:rPr>
        <w:t>减值准备的报告&gt;的议案》</w:t>
      </w:r>
    </w:p>
    <w:p>
      <w:pPr>
        <w:pStyle w:val="4"/>
        <w:snapToGrid w:val="0"/>
        <w:spacing w:line="360" w:lineRule="auto"/>
        <w:ind w:firstLine="476"/>
        <w:jc w:val="both"/>
        <w:rPr>
          <w:rFonts w:hint="eastAsia" w:ascii="Times New Roman" w:hAnsi="Times New Roman" w:cs="Times New Roman" w:eastAsiaTheme="minorEastAsia"/>
          <w:kern w:val="0"/>
          <w:sz w:val="24"/>
          <w:szCs w:val="24"/>
          <w:highlight w:val="none"/>
          <w:lang w:eastAsia="zh-CN"/>
        </w:rPr>
      </w:pPr>
      <w:r>
        <w:rPr>
          <w:rFonts w:hint="default" w:ascii="Times New Roman" w:hAnsi="Times New Roman" w:eastAsia="宋体" w:cs="Times New Roman"/>
          <w:sz w:val="24"/>
          <w:szCs w:val="24"/>
          <w:highlight w:val="none"/>
        </w:rPr>
        <w:t>监事会认为</w:t>
      </w:r>
      <w:r>
        <w:rPr>
          <w:rFonts w:hint="eastAsia" w:ascii="Times New Roman" w:hAnsi="Times New Roman" w:eastAsia="宋体" w:cs="Times New Roman"/>
          <w:sz w:val="24"/>
          <w:szCs w:val="24"/>
          <w:highlight w:val="none"/>
          <w:lang w:eastAsia="zh-CN"/>
        </w:rPr>
        <w:t>：</w:t>
      </w:r>
      <w:r>
        <w:rPr>
          <w:rFonts w:hint="eastAsia" w:cs="Times New Roman" w:eastAsiaTheme="minorEastAsia"/>
          <w:sz w:val="24"/>
          <w:szCs w:val="24"/>
          <w:highlight w:val="none"/>
          <w:lang w:val="en-US" w:eastAsia="zh-CN"/>
        </w:rPr>
        <w:t>基于专业的测试和谨慎的判断，</w:t>
      </w:r>
      <w:r>
        <w:rPr>
          <w:rFonts w:hint="default" w:ascii="Times New Roman" w:hAnsi="Times New Roman" w:cs="Times New Roman" w:eastAsiaTheme="minorEastAsia"/>
          <w:kern w:val="0"/>
          <w:sz w:val="24"/>
          <w:szCs w:val="24"/>
          <w:highlight w:val="none"/>
        </w:rPr>
        <w:t>公司本次计提减值准备符合《企业会计准则》的有关规定和公司实际情况，审批程序合法合规，能够</w:t>
      </w:r>
      <w:r>
        <w:rPr>
          <w:rFonts w:hint="eastAsia" w:cs="Times New Roman" w:eastAsiaTheme="minorEastAsia"/>
          <w:kern w:val="0"/>
          <w:sz w:val="24"/>
          <w:szCs w:val="24"/>
          <w:highlight w:val="none"/>
          <w:lang w:val="en-US" w:eastAsia="zh-CN"/>
        </w:rPr>
        <w:t>充分、</w:t>
      </w:r>
      <w:r>
        <w:rPr>
          <w:rFonts w:hint="default" w:ascii="Times New Roman" w:hAnsi="Times New Roman" w:cs="Times New Roman" w:eastAsiaTheme="minorEastAsia"/>
          <w:kern w:val="0"/>
          <w:sz w:val="24"/>
          <w:szCs w:val="24"/>
          <w:highlight w:val="none"/>
        </w:rPr>
        <w:t>公允地反映公司的资产价值和经营成果。同意本次计提信用减值准备事项</w:t>
      </w:r>
      <w:r>
        <w:rPr>
          <w:rFonts w:hint="eastAsia" w:ascii="Times New Roman" w:hAnsi="Times New Roman" w:cs="Times New Roman" w:eastAsiaTheme="minorEastAsia"/>
          <w:kern w:val="0"/>
          <w:sz w:val="24"/>
          <w:szCs w:val="24"/>
          <w:highlight w:val="none"/>
          <w:lang w:eastAsia="zh-CN"/>
        </w:rPr>
        <w:t>。</w:t>
      </w:r>
    </w:p>
    <w:p>
      <w:pPr>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autoSpaceDE w:val="0"/>
        <w:autoSpaceDN w:val="0"/>
        <w:adjustRightInd w:val="0"/>
        <w:snapToGrid w:val="0"/>
        <w:spacing w:line="360" w:lineRule="auto"/>
        <w:ind w:firstLine="446" w:firstLineChars="186"/>
        <w:rPr>
          <w:rFonts w:hint="default" w:ascii="Times New Roman" w:hAnsi="Times New Roman" w:eastAsia="宋体" w:cs="Times New Roman"/>
          <w:color w:val="000000"/>
          <w:sz w:val="24"/>
          <w:szCs w:val="24"/>
        </w:rPr>
      </w:pPr>
    </w:p>
    <w:p>
      <w:pPr>
        <w:widowControl w:val="0"/>
        <w:numPr>
          <w:ilvl w:val="0"/>
          <w:numId w:val="1"/>
        </w:numPr>
        <w:tabs>
          <w:tab w:val="left" w:pos="1260"/>
        </w:tabs>
        <w:snapToGrid w:val="0"/>
        <w:spacing w:line="360" w:lineRule="auto"/>
        <w:ind w:left="0" w:leftChars="0" w:firstLine="420" w:firstLineChars="0"/>
        <w:jc w:val="both"/>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审议通过了《关于&lt;公司2021年度利润分配预案&gt;的议案》</w:t>
      </w:r>
    </w:p>
    <w:p>
      <w:pPr>
        <w:tabs>
          <w:tab w:val="left" w:pos="1260"/>
        </w:tabs>
        <w:snapToGrid w:val="0"/>
        <w:spacing w:line="360" w:lineRule="auto"/>
        <w:ind w:firstLine="420" w:firstLineChars="175"/>
        <w:jc w:val="both"/>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监事会认为</w:t>
      </w:r>
      <w:r>
        <w:rPr>
          <w:rFonts w:hint="eastAsia" w:ascii="Times New Roman" w:hAnsi="Times New Roman" w:eastAsia="宋体" w:cs="Times New Roman"/>
          <w:bCs/>
          <w:sz w:val="24"/>
          <w:szCs w:val="24"/>
          <w:lang w:eastAsia="zh-CN"/>
        </w:rPr>
        <w:t>：公司已在《公司章程》中明确了利润分配政策并能够严格执行，在《公司2021年年度报告》中对现金分红政策及其执行情况的披露真实、准确、完整。董事会在制订2021年度利润分配预案时作出了每10股派发现金红利1.30元（含税）的决定，符合相关法律法规和《公司章程》的要求，且是在综合考虑公司2021年度的业绩情况及公司未来经营发展对资金需求的情况下做出的，不存在损害中小股东合法权益的情形，决策程序合法、规范，充分回报投资者对公司发展的支持。</w:t>
      </w:r>
    </w:p>
    <w:p>
      <w:pPr>
        <w:numPr>
          <w:ilvl w:val="0"/>
          <w:numId w:val="0"/>
        </w:numPr>
        <w:spacing w:line="360" w:lineRule="auto"/>
        <w:ind w:firstLine="420" w:firstLineChars="0"/>
        <w:rPr>
          <w:rFonts w:hint="default" w:ascii="Times New Roman" w:hAnsi="Times New Roman" w:eastAsia="宋体" w:cs="Times New Roman"/>
          <w:sz w:val="24"/>
          <w:szCs w:val="24"/>
        </w:rPr>
      </w:pPr>
      <w:r>
        <w:rPr>
          <w:rFonts w:hint="default" w:ascii="Times New Roman" w:hAnsi="Times New Roman" w:eastAsia="宋体" w:cs="Times New Roman"/>
          <w:b w:val="0"/>
          <w:bCs w:val="0"/>
          <w:color w:val="000000"/>
          <w:sz w:val="24"/>
          <w:szCs w:val="24"/>
          <w:lang w:val="en-US" w:eastAsia="zh-CN"/>
        </w:rPr>
        <w:t>具体内容请详见</w:t>
      </w:r>
      <w:r>
        <w:rPr>
          <w:rFonts w:hint="eastAsia" w:ascii="Times New Roman" w:hAnsi="Times New Roman" w:eastAsia="宋体" w:cs="Times New Roman"/>
          <w:b w:val="0"/>
          <w:bCs w:val="0"/>
          <w:color w:val="000000"/>
          <w:sz w:val="24"/>
          <w:szCs w:val="24"/>
          <w:lang w:val="en-US" w:eastAsia="zh-CN"/>
        </w:rPr>
        <w:t>公司</w:t>
      </w:r>
      <w:r>
        <w:rPr>
          <w:rFonts w:hint="default" w:ascii="Times New Roman" w:hAnsi="Times New Roman" w:eastAsia="宋体" w:cs="Times New Roman"/>
          <w:b w:val="0"/>
          <w:bCs w:val="0"/>
          <w:color w:val="000000"/>
          <w:sz w:val="24"/>
          <w:szCs w:val="24"/>
          <w:lang w:val="en-US" w:eastAsia="zh-CN"/>
        </w:rPr>
        <w:t>于上海证券交易所网站（www.sse.com.cn）以及公司指定信息披露媒体《中国证券报》、《上海证券报》、《证券日报》、《证券时报》同日刊登的《格尔软件股份有限公司20</w:t>
      </w:r>
      <w:r>
        <w:rPr>
          <w:rFonts w:hint="default" w:ascii="Times New Roman" w:hAnsi="Times New Roman" w:cs="Times New Roman"/>
          <w:b w:val="0"/>
          <w:bCs w:val="0"/>
          <w:color w:val="000000"/>
          <w:sz w:val="24"/>
          <w:szCs w:val="24"/>
          <w:lang w:val="en-US" w:eastAsia="zh-CN"/>
        </w:rPr>
        <w:t>2</w:t>
      </w:r>
      <w:r>
        <w:rPr>
          <w:rFonts w:hint="eastAsia" w:ascii="Times New Roman" w:hAnsi="Times New Roman" w:cs="Times New Roman"/>
          <w:b w:val="0"/>
          <w:bCs w:val="0"/>
          <w:color w:val="000000"/>
          <w:sz w:val="24"/>
          <w:szCs w:val="24"/>
          <w:lang w:val="en-US" w:eastAsia="zh-CN"/>
        </w:rPr>
        <w:t>1</w:t>
      </w:r>
      <w:r>
        <w:rPr>
          <w:rFonts w:hint="default" w:ascii="Times New Roman" w:hAnsi="Times New Roman" w:eastAsia="宋体" w:cs="Times New Roman"/>
          <w:b w:val="0"/>
          <w:bCs w:val="0"/>
          <w:color w:val="000000"/>
          <w:sz w:val="24"/>
          <w:szCs w:val="24"/>
          <w:lang w:val="en-US" w:eastAsia="zh-CN"/>
        </w:rPr>
        <w:t>年年度报告》</w:t>
      </w:r>
      <w:r>
        <w:rPr>
          <w:rFonts w:hint="eastAsia" w:cs="Times New Roman"/>
          <w:b w:val="0"/>
          <w:bCs w:val="0"/>
          <w:color w:val="000000"/>
          <w:sz w:val="24"/>
          <w:szCs w:val="24"/>
          <w:lang w:val="en-US" w:eastAsia="zh-CN"/>
        </w:rPr>
        <w:t>、</w:t>
      </w:r>
      <w:r>
        <w:rPr>
          <w:rFonts w:hint="default" w:ascii="Times New Roman" w:hAnsi="Times New Roman" w:eastAsia="宋体" w:cs="Times New Roman"/>
          <w:b w:val="0"/>
          <w:bCs w:val="0"/>
          <w:color w:val="000000"/>
          <w:sz w:val="24"/>
          <w:szCs w:val="24"/>
          <w:lang w:val="en-US" w:eastAsia="zh-CN"/>
        </w:rPr>
        <w:t>《格尔软件股份有限公司2021年度利润分配预案</w:t>
      </w:r>
      <w:r>
        <w:rPr>
          <w:rFonts w:hint="default" w:ascii="Times New Roman" w:hAnsi="Times New Roman" w:eastAsia="宋体" w:cs="Times New Roman"/>
          <w:sz w:val="24"/>
          <w:szCs w:val="24"/>
        </w:rPr>
        <w:t>》（公告编号：</w:t>
      </w:r>
      <w:r>
        <w:rPr>
          <w:rFonts w:hint="default" w:ascii="Times New Roman" w:hAnsi="Times New Roman" w:eastAsia="宋体" w:cs="Times New Roman"/>
          <w:sz w:val="24"/>
          <w:szCs w:val="24"/>
          <w:highlight w:val="none"/>
          <w:lang w:val="en-US" w:eastAsia="zh-CN"/>
        </w:rPr>
        <w:t>202</w:t>
      </w:r>
      <w:r>
        <w:rPr>
          <w:rFonts w:hint="eastAsia" w:ascii="Times New Roman" w:hAnsi="Times New Roman"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eastAsia" w:ascii="Times New Roman" w:hAnsi="Times New Roman" w:cs="Times New Roman"/>
          <w:sz w:val="24"/>
          <w:szCs w:val="24"/>
          <w:highlight w:val="none"/>
          <w:lang w:val="en-US" w:eastAsia="zh-CN"/>
        </w:rPr>
        <w:t>010</w:t>
      </w:r>
      <w:r>
        <w:rPr>
          <w:rFonts w:hint="default" w:ascii="Times New Roman" w:hAnsi="Times New Roman" w:eastAsia="宋体" w:cs="Times New Roman"/>
          <w:sz w:val="24"/>
          <w:szCs w:val="24"/>
        </w:rPr>
        <w:t>）。</w:t>
      </w:r>
    </w:p>
    <w:p>
      <w:pPr>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autoSpaceDE w:val="0"/>
        <w:autoSpaceDN w:val="0"/>
        <w:adjustRightInd w:val="0"/>
        <w:snapToGrid w:val="0"/>
        <w:spacing w:line="360" w:lineRule="auto"/>
        <w:ind w:firstLine="446" w:firstLineChars="186"/>
        <w:rPr>
          <w:rFonts w:hint="eastAsia"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rPr>
        <w:t>该议案尚需提交股东大会审议</w:t>
      </w:r>
      <w:r>
        <w:rPr>
          <w:rFonts w:hint="eastAsia" w:ascii="Times New Roman" w:hAnsi="Times New Roman" w:eastAsia="宋体" w:cs="Times New Roman"/>
          <w:color w:val="000000"/>
          <w:sz w:val="24"/>
          <w:szCs w:val="24"/>
          <w:lang w:eastAsia="zh-CN"/>
        </w:rPr>
        <w:t>。</w:t>
      </w:r>
    </w:p>
    <w:p>
      <w:pPr>
        <w:snapToGrid w:val="0"/>
        <w:spacing w:line="360" w:lineRule="auto"/>
        <w:ind w:firstLine="460" w:firstLineChars="192"/>
        <w:rPr>
          <w:rFonts w:hint="eastAsia" w:ascii="Times New Roman" w:hAnsi="Times New Roman" w:cs="Times New Roman"/>
          <w:color w:val="000000"/>
          <w:sz w:val="24"/>
          <w:szCs w:val="24"/>
          <w:lang w:eastAsia="zh-CN"/>
        </w:rPr>
      </w:pPr>
    </w:p>
    <w:p>
      <w:pPr>
        <w:numPr>
          <w:ilvl w:val="0"/>
          <w:numId w:val="1"/>
        </w:numPr>
        <w:tabs>
          <w:tab w:val="left" w:pos="1260"/>
        </w:tabs>
        <w:snapToGrid w:val="0"/>
        <w:spacing w:line="360" w:lineRule="auto"/>
        <w:ind w:left="8" w:leftChars="0" w:firstLine="472" w:firstLineChars="0"/>
        <w:rPr>
          <w:rFonts w:hint="default" w:ascii="Times New Roman" w:hAnsi="Times New Roman" w:eastAsia="宋体" w:cs="Times New Roman"/>
          <w:b/>
          <w:sz w:val="24"/>
          <w:szCs w:val="24"/>
          <w:highlight w:val="none"/>
          <w:lang w:val="en-US" w:eastAsia="zh-CN"/>
        </w:rPr>
      </w:pPr>
      <w:r>
        <w:rPr>
          <w:rFonts w:hint="default" w:ascii="Times New Roman" w:hAnsi="Times New Roman" w:eastAsia="宋体" w:cs="Times New Roman"/>
          <w:b/>
          <w:sz w:val="24"/>
          <w:szCs w:val="24"/>
          <w:highlight w:val="none"/>
        </w:rPr>
        <w:t>审议通过了《关于&lt;</w:t>
      </w:r>
      <w:r>
        <w:rPr>
          <w:rFonts w:hint="default" w:ascii="Times New Roman" w:hAnsi="Times New Roman" w:eastAsia="宋体" w:cs="Times New Roman"/>
          <w:b/>
          <w:sz w:val="24"/>
          <w:szCs w:val="24"/>
          <w:highlight w:val="none"/>
          <w:lang w:eastAsia="zh-CN"/>
        </w:rPr>
        <w:t>公司</w:t>
      </w:r>
      <w:r>
        <w:rPr>
          <w:rFonts w:hint="default" w:ascii="Times New Roman" w:hAnsi="Times New Roman" w:eastAsia="宋体" w:cs="Times New Roman"/>
          <w:b/>
          <w:sz w:val="24"/>
          <w:szCs w:val="24"/>
          <w:highlight w:val="none"/>
          <w:lang w:val="en-US" w:eastAsia="zh-CN"/>
        </w:rPr>
        <w:t>202</w:t>
      </w:r>
      <w:r>
        <w:rPr>
          <w:rFonts w:hint="eastAsia" w:ascii="Times New Roman" w:hAnsi="Times New Roman" w:cs="Times New Roman"/>
          <w:b/>
          <w:sz w:val="24"/>
          <w:szCs w:val="24"/>
          <w:highlight w:val="none"/>
          <w:lang w:val="en-US" w:eastAsia="zh-CN"/>
        </w:rPr>
        <w:t>1</w:t>
      </w:r>
      <w:r>
        <w:rPr>
          <w:rFonts w:hint="default" w:ascii="Times New Roman" w:hAnsi="Times New Roman" w:eastAsia="宋体" w:cs="Times New Roman"/>
          <w:b/>
          <w:sz w:val="24"/>
          <w:szCs w:val="24"/>
          <w:highlight w:val="none"/>
        </w:rPr>
        <w:t>年度募集资金存放与实际使用情况专项报告&gt;的议案》</w:t>
      </w:r>
    </w:p>
    <w:p>
      <w:pPr>
        <w:numPr>
          <w:ilvl w:val="0"/>
          <w:numId w:val="0"/>
        </w:numPr>
        <w:tabs>
          <w:tab w:val="left" w:pos="1260"/>
        </w:tabs>
        <w:snapToGrid w:val="0"/>
        <w:spacing w:line="360" w:lineRule="auto"/>
        <w:ind w:left="10" w:leftChars="0" w:firstLine="458" w:firstLineChars="191"/>
        <w:rPr>
          <w:rFonts w:hint="default" w:ascii="Times New Roman" w:hAnsi="Times New Roman" w:eastAsia="宋体" w:cs="Times New Roman"/>
          <w:b/>
          <w:sz w:val="24"/>
          <w:szCs w:val="24"/>
          <w:highlight w:val="yellow"/>
          <w:lang w:val="en-US" w:eastAsia="zh-CN"/>
        </w:rPr>
      </w:pPr>
      <w:r>
        <w:rPr>
          <w:rFonts w:hint="eastAsia" w:ascii="Times New Roman" w:hAnsi="Times New Roman" w:cs="Times New Roman"/>
          <w:b w:val="0"/>
          <w:bCs/>
          <w:sz w:val="24"/>
          <w:szCs w:val="24"/>
          <w:highlight w:val="none"/>
          <w:lang w:val="en-US" w:eastAsia="zh-CN"/>
        </w:rPr>
        <w:t>监事会认为：</w:t>
      </w:r>
      <w:r>
        <w:rPr>
          <w:rFonts w:hint="default" w:ascii="Times New Roman" w:hAnsi="Times New Roman" w:cs="Times New Roman"/>
          <w:spacing w:val="3"/>
          <w:sz w:val="24"/>
          <w:szCs w:val="24"/>
          <w:highlight w:val="none"/>
          <w:lang w:val="en-US" w:eastAsia="zh-CN"/>
        </w:rPr>
        <w:t>公司</w:t>
      </w:r>
      <w:r>
        <w:rPr>
          <w:rFonts w:hint="eastAsia" w:ascii="Times New Roman" w:hAnsi="Times New Roman" w:cs="Times New Roman"/>
          <w:spacing w:val="3"/>
          <w:sz w:val="24"/>
          <w:szCs w:val="24"/>
          <w:highlight w:val="none"/>
          <w:lang w:eastAsia="zh-CN"/>
        </w:rPr>
        <w:t>2021</w:t>
      </w:r>
      <w:r>
        <w:rPr>
          <w:rFonts w:hint="default" w:ascii="Times New Roman" w:hAnsi="Times New Roman" w:cs="Times New Roman"/>
          <w:spacing w:val="3"/>
          <w:sz w:val="24"/>
          <w:szCs w:val="24"/>
          <w:highlight w:val="none"/>
          <w:lang w:eastAsia="zh-CN"/>
        </w:rPr>
        <w:t>年度募集资金的存放与实际使用符合中国证监会、上海证券交易所关于上市公司募集资金存放和使用的相关规定，</w:t>
      </w:r>
      <w:r>
        <w:rPr>
          <w:rFonts w:hint="default" w:ascii="Times New Roman" w:hAnsi="Times New Roman" w:eastAsia="宋体" w:cs="Times New Roman"/>
          <w:sz w:val="24"/>
          <w:szCs w:val="24"/>
          <w:highlight w:val="none"/>
        </w:rPr>
        <w:t>内容真实、准确、完整，不存在虚假记录、误导性陈述和重大遗漏</w:t>
      </w:r>
      <w:r>
        <w:rPr>
          <w:rFonts w:hint="default" w:ascii="Times New Roman" w:hAnsi="Times New Roman" w:cs="Times New Roman"/>
          <w:sz w:val="24"/>
          <w:szCs w:val="24"/>
          <w:highlight w:val="none"/>
          <w:lang w:eastAsia="zh-CN"/>
        </w:rPr>
        <w:t>，</w:t>
      </w:r>
      <w:r>
        <w:rPr>
          <w:rFonts w:hint="eastAsia" w:ascii="Times New Roman" w:hAnsi="Times New Roman" w:cs="Times New Roman"/>
          <w:sz w:val="24"/>
          <w:szCs w:val="24"/>
          <w:highlight w:val="none"/>
          <w:lang w:val="en-US" w:eastAsia="zh-CN"/>
        </w:rPr>
        <w:t>对募集资金实行了专户存储，</w:t>
      </w:r>
      <w:r>
        <w:rPr>
          <w:rFonts w:hint="default" w:ascii="Times New Roman" w:hAnsi="Times New Roman" w:eastAsia="宋体" w:cs="Times New Roman"/>
          <w:sz w:val="24"/>
          <w:szCs w:val="24"/>
          <w:highlight w:val="none"/>
        </w:rPr>
        <w:t>不存在变相改变募集资金投向和损害股东利益的情况，不存在违规使用募集资金的情形。</w:t>
      </w:r>
    </w:p>
    <w:p>
      <w:pPr>
        <w:numPr>
          <w:ilvl w:val="0"/>
          <w:numId w:val="0"/>
        </w:numPr>
        <w:tabs>
          <w:tab w:val="left" w:pos="1260"/>
        </w:tabs>
        <w:snapToGrid w:val="0"/>
        <w:spacing w:line="360" w:lineRule="auto"/>
        <w:ind w:left="0" w:leftChars="0" w:firstLine="480" w:firstLineChars="200"/>
        <w:rPr>
          <w:rFonts w:hint="default" w:ascii="Times New Roman" w:hAnsi="Times New Roman" w:eastAsia="宋体" w:cs="Times New Roman"/>
          <w:b/>
          <w:sz w:val="24"/>
          <w:szCs w:val="24"/>
          <w:highlight w:val="none"/>
          <w:lang w:val="en-US" w:eastAsia="zh-CN"/>
        </w:rPr>
      </w:pPr>
      <w:r>
        <w:rPr>
          <w:rFonts w:hint="default" w:ascii="Times New Roman" w:hAnsi="Times New Roman" w:eastAsia="宋体" w:cs="Times New Roman"/>
          <w:sz w:val="24"/>
          <w:szCs w:val="24"/>
        </w:rPr>
        <w:t>具体内容请详见公司于上海证券交易所网站（www.sse.com.cn）及公司指定信息披露媒体《中国证券报》、《上海证券报》、《证券日报》、《证券时报》同日刊登的《格尔软件股份有限公司</w:t>
      </w:r>
      <w:r>
        <w:rPr>
          <w:rFonts w:hint="default" w:ascii="Times New Roman" w:hAnsi="Times New Roman" w:eastAsia="宋体" w:cs="Times New Roman"/>
          <w:sz w:val="24"/>
          <w:szCs w:val="24"/>
          <w:lang w:val="en-US" w:eastAsia="zh-CN"/>
        </w:rPr>
        <w:t>20</w:t>
      </w:r>
      <w:r>
        <w:rPr>
          <w:rFonts w:hint="default" w:ascii="Times New Roman" w:hAnsi="Times New Roman" w:cs="Times New Roman"/>
          <w:sz w:val="24"/>
          <w:szCs w:val="24"/>
          <w:lang w:val="en-US" w:eastAsia="zh-CN"/>
        </w:rPr>
        <w:t>2</w:t>
      </w: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年度募集资金存放与实际使用情况专项报告》（公告编号：</w:t>
      </w:r>
      <w:r>
        <w:rPr>
          <w:rFonts w:hint="default" w:ascii="Times New Roman" w:hAnsi="Times New Roman" w:eastAsia="宋体" w:cs="Times New Roman"/>
          <w:sz w:val="24"/>
          <w:szCs w:val="24"/>
          <w:highlight w:val="none"/>
          <w:lang w:val="en-US" w:eastAsia="zh-CN"/>
        </w:rPr>
        <w:t>202</w:t>
      </w:r>
      <w:r>
        <w:rPr>
          <w:rFonts w:hint="eastAsia" w:ascii="Times New Roman" w:hAnsi="Times New Roman"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default" w:ascii="Times New Roman" w:hAnsi="Times New Roman" w:cs="Times New Roman"/>
          <w:sz w:val="24"/>
          <w:szCs w:val="24"/>
          <w:highlight w:val="none"/>
          <w:lang w:val="en-US" w:eastAsia="zh-CN"/>
        </w:rPr>
        <w:t>01</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w:t>
      </w:r>
      <w:r>
        <w:rPr>
          <w:rFonts w:hint="eastAsia" w:ascii="Times New Roman" w:hAnsi="Times New Roman" w:cs="Times New Roman"/>
          <w:sz w:val="24"/>
          <w:szCs w:val="24"/>
          <w:highlight w:val="none"/>
          <w:lang w:eastAsia="zh-CN"/>
        </w:rPr>
        <w:t>。</w:t>
      </w:r>
    </w:p>
    <w:p>
      <w:pPr>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snapToGrid w:val="0"/>
        <w:spacing w:line="360" w:lineRule="auto"/>
        <w:ind w:firstLine="480" w:firstLineChars="200"/>
        <w:rPr>
          <w:rFonts w:hint="default" w:ascii="Times New Roman" w:hAnsi="Times New Roman" w:eastAsia="宋体" w:cs="Times New Roman"/>
          <w:sz w:val="24"/>
          <w:szCs w:val="24"/>
        </w:rPr>
      </w:pPr>
    </w:p>
    <w:p>
      <w:pPr>
        <w:numPr>
          <w:ilvl w:val="0"/>
          <w:numId w:val="1"/>
        </w:numPr>
        <w:snapToGrid w:val="0"/>
        <w:spacing w:line="360" w:lineRule="auto"/>
        <w:ind w:left="0" w:leftChars="0" w:firstLine="420" w:firstLineChars="0"/>
        <w:rPr>
          <w:rFonts w:hint="eastAsia" w:asciiTheme="minorEastAsia" w:hAnsiTheme="minorEastAsia" w:eastAsiaTheme="minorEastAsia" w:cstheme="minorEastAsia"/>
          <w:b/>
          <w:bCs/>
          <w:color w:val="000000"/>
          <w:lang w:val="en-US" w:eastAsia="zh-CN"/>
        </w:rPr>
      </w:pPr>
      <w:r>
        <w:rPr>
          <w:rFonts w:hint="eastAsia" w:asciiTheme="minorEastAsia" w:hAnsiTheme="minorEastAsia" w:eastAsiaTheme="minorEastAsia" w:cstheme="minorEastAsia"/>
          <w:b/>
          <w:bCs/>
          <w:color w:val="000000"/>
          <w:lang w:val="en-US" w:eastAsia="zh-CN"/>
        </w:rPr>
        <w:t>《关于使用部分闲置募集资金进行现金管理的议案》</w:t>
      </w:r>
    </w:p>
    <w:p>
      <w:pPr>
        <w:snapToGrid w:val="0"/>
        <w:spacing w:line="360" w:lineRule="auto"/>
        <w:ind w:left="0" w:leftChars="0" w:firstLine="480" w:firstLineChars="200"/>
        <w:jc w:val="both"/>
        <w:rPr>
          <w:rFonts w:hint="default" w:ascii="Times New Roman" w:hAnsi="Times New Roman" w:cs="Times New Roman"/>
          <w:sz w:val="24"/>
          <w:szCs w:val="24"/>
          <w:highlight w:val="yellow"/>
        </w:rPr>
      </w:pPr>
      <w:r>
        <w:rPr>
          <w:rFonts w:hint="default" w:ascii="Times New Roman" w:hAnsi="Times New Roman" w:eastAsia="宋体" w:cs="Times New Roman"/>
          <w:color w:val="auto"/>
          <w:sz w:val="24"/>
          <w:szCs w:val="24"/>
          <w:highlight w:val="none"/>
          <w:lang w:val="en-US" w:eastAsia="zh-CN" w:bidi="ar-SA"/>
        </w:rPr>
        <w:t>监事会认为：公司在有效控制风险的前提下，为提高暂时闲置的募集资金的使用效率以增加存储收益，使用闲置募集资金进行现金管理，购买安全性高、流动性好、保本型、低风险且符合相关法律法规及监管要求的现金管理类产品，符合中国证监会《上市公司监管指引第2号——上市公司募集资金管理和使用的监管要求》（2022年修订）《上海证券交易所上市公司自律监管指引第1号——规范运作》</w:t>
      </w:r>
      <w:r>
        <w:rPr>
          <w:rFonts w:hint="eastAsia" w:ascii="Times New Roman" w:hAnsi="Times New Roman" w:cs="Times New Roman"/>
          <w:color w:val="auto"/>
          <w:sz w:val="24"/>
          <w:szCs w:val="24"/>
          <w:highlight w:val="none"/>
          <w:lang w:val="en-US" w:eastAsia="zh-CN" w:bidi="ar-SA"/>
        </w:rPr>
        <w:t>（</w:t>
      </w:r>
      <w:r>
        <w:rPr>
          <w:rFonts w:hint="default" w:ascii="Times New Roman" w:hAnsi="Times New Roman" w:eastAsia="宋体" w:cs="Times New Roman"/>
          <w:color w:val="auto"/>
          <w:sz w:val="24"/>
          <w:szCs w:val="24"/>
          <w:highlight w:val="none"/>
          <w:lang w:val="en-US" w:eastAsia="zh-CN" w:bidi="ar-SA"/>
        </w:rPr>
        <w:t>上证发[2022]2号</w:t>
      </w:r>
      <w:r>
        <w:rPr>
          <w:rFonts w:hint="eastAsia" w:ascii="Times New Roman" w:hAnsi="Times New Roman" w:cs="Times New Roman"/>
          <w:color w:val="auto"/>
          <w:sz w:val="24"/>
          <w:szCs w:val="24"/>
          <w:highlight w:val="none"/>
          <w:lang w:val="en-US" w:eastAsia="zh-CN" w:bidi="ar-SA"/>
        </w:rPr>
        <w:t>）</w:t>
      </w:r>
      <w:r>
        <w:rPr>
          <w:rFonts w:hint="default" w:ascii="Times New Roman" w:hAnsi="Times New Roman" w:eastAsia="宋体" w:cs="Times New Roman"/>
          <w:color w:val="auto"/>
          <w:sz w:val="24"/>
          <w:szCs w:val="24"/>
          <w:highlight w:val="none"/>
          <w:lang w:val="en-US" w:eastAsia="zh-CN" w:bidi="ar-SA"/>
        </w:rPr>
        <w:t>的相关规定，不会对公司未来主营业务、财务状况、经营成果、现金流量产生重大影响，符合相关审批程序符合法律法规及《公司章程》的相关规定，不存在损害公司及股东利益的情形。</w:t>
      </w:r>
    </w:p>
    <w:p>
      <w:pPr>
        <w:pStyle w:val="4"/>
        <w:snapToGrid w:val="0"/>
        <w:spacing w:line="360" w:lineRule="auto"/>
        <w:ind w:firstLine="476"/>
        <w:jc w:val="both"/>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具体内容请详见公司刊登于上海证券交易所网站（www.sse.com.cn）及公司指定信息披露媒体《中国证券报》、《上海证券报》、《证券日报》、《证券时报》同日刊登的《格尔软件股份有限公司关于使用部分闲置募集资金进行现金管理的公告》（公告编号</w:t>
      </w:r>
      <w:r>
        <w:rPr>
          <w:rFonts w:hint="default" w:ascii="Times New Roman" w:hAnsi="Times New Roman" w:eastAsia="宋体" w:cs="Times New Roman"/>
          <w:bCs/>
          <w:sz w:val="24"/>
          <w:szCs w:val="24"/>
          <w:highlight w:val="none"/>
        </w:rPr>
        <w:t>：2022-0</w:t>
      </w:r>
      <w:r>
        <w:rPr>
          <w:rFonts w:hint="eastAsia" w:ascii="Times New Roman" w:hAnsi="Times New Roman" w:eastAsia="宋体" w:cs="Times New Roman"/>
          <w:bCs/>
          <w:sz w:val="24"/>
          <w:szCs w:val="24"/>
          <w:highlight w:val="none"/>
          <w:lang w:val="en-US" w:eastAsia="zh-CN"/>
        </w:rPr>
        <w:t>13</w:t>
      </w:r>
      <w:r>
        <w:rPr>
          <w:rFonts w:hint="default" w:ascii="Times New Roman" w:hAnsi="Times New Roman" w:eastAsia="宋体" w:cs="Times New Roman"/>
          <w:bCs/>
          <w:sz w:val="24"/>
          <w:szCs w:val="24"/>
          <w:highlight w:val="none"/>
        </w:rPr>
        <w:t>）</w:t>
      </w:r>
      <w:r>
        <w:rPr>
          <w:rFonts w:hint="default" w:ascii="Times New Roman" w:hAnsi="Times New Roman" w:eastAsia="宋体" w:cs="Times New Roman"/>
          <w:bCs/>
          <w:sz w:val="24"/>
          <w:szCs w:val="24"/>
        </w:rPr>
        <w:t>。</w:t>
      </w:r>
    </w:p>
    <w:p>
      <w:pPr>
        <w:pStyle w:val="4"/>
        <w:snapToGrid w:val="0"/>
        <w:spacing w:line="360" w:lineRule="auto"/>
        <w:ind w:firstLine="476"/>
        <w:jc w:val="both"/>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表决结果：同意票3票，反对票0票，弃权票0票，表决通过。</w:t>
      </w:r>
    </w:p>
    <w:p>
      <w:pPr>
        <w:spacing w:line="360" w:lineRule="auto"/>
        <w:ind w:left="0" w:leftChars="0" w:firstLine="480" w:firstLineChars="0"/>
        <w:rPr>
          <w:rFonts w:hint="eastAsia" w:ascii="Times New Roman" w:hAnsi="Times New Roman" w:eastAsia="宋体" w:cs="Times New Roman"/>
          <w:color w:val="000000"/>
          <w:sz w:val="24"/>
          <w:szCs w:val="24"/>
          <w:lang w:eastAsia="zh-CN"/>
        </w:rPr>
      </w:pPr>
    </w:p>
    <w:p>
      <w:pPr>
        <w:numPr>
          <w:ilvl w:val="0"/>
          <w:numId w:val="1"/>
        </w:numPr>
        <w:snapToGrid w:val="0"/>
        <w:spacing w:line="360" w:lineRule="auto"/>
        <w:ind w:left="0" w:leftChars="0" w:firstLine="420" w:firstLineChars="0"/>
        <w:rPr>
          <w:rFonts w:hint="eastAsia" w:asciiTheme="minorEastAsia" w:hAnsiTheme="minorEastAsia" w:eastAsiaTheme="minorEastAsia" w:cstheme="minorEastAsia"/>
          <w:b/>
          <w:bCs/>
          <w:color w:val="000000"/>
          <w:lang w:val="en-US" w:eastAsia="zh-CN"/>
        </w:rPr>
      </w:pPr>
      <w:r>
        <w:rPr>
          <w:rFonts w:hint="default" w:ascii="Times New Roman" w:hAnsi="Times New Roman" w:eastAsia="宋体" w:cs="Times New Roman"/>
          <w:b/>
          <w:sz w:val="24"/>
          <w:szCs w:val="24"/>
        </w:rPr>
        <w:t>审议通过了</w:t>
      </w:r>
      <w:r>
        <w:rPr>
          <w:rFonts w:hint="eastAsia" w:asciiTheme="minorEastAsia" w:hAnsiTheme="minorEastAsia" w:eastAsiaTheme="minorEastAsia" w:cstheme="minorEastAsia"/>
          <w:b/>
          <w:bCs/>
          <w:color w:val="000000"/>
          <w:lang w:val="en-US" w:eastAsia="zh-CN"/>
        </w:rPr>
        <w:t>《关于使用部分闲置自有资金进行现金管理的议案》</w:t>
      </w:r>
    </w:p>
    <w:p>
      <w:pPr>
        <w:pStyle w:val="4"/>
        <w:snapToGrid w:val="0"/>
        <w:spacing w:line="360" w:lineRule="auto"/>
        <w:ind w:firstLine="476"/>
        <w:jc w:val="both"/>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监事会认为：在符合国家法律法规、确保公司日常运营和资金安全的前提下对暂时闲置的自有资金进行适度、适时的现金管理，有利于提高公司闲置自有资金使用效率，通过稳健的资金增值来维护和提升公司效益。符合公司及全体股东的利益，不会影响公司日常资金正常周转需要，不会影响公司主营业务的正常发展，不存在损害公司及中小股东利益的情形。</w:t>
      </w:r>
    </w:p>
    <w:p>
      <w:pPr>
        <w:pStyle w:val="4"/>
        <w:snapToGrid w:val="0"/>
        <w:spacing w:line="360" w:lineRule="auto"/>
        <w:ind w:firstLine="476"/>
        <w:jc w:val="both"/>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具体内容请详见公司刊登于上海证券交易所网站（www.sse.com.cn）及公司指定信息披露媒体《中国证券报》、《上海证券报》、《证券日报》、《证券时报》同日刊登的《格尔软件股份</w:t>
      </w:r>
      <w:r>
        <w:rPr>
          <w:rFonts w:hint="default" w:ascii="Times New Roman" w:hAnsi="Times New Roman" w:eastAsia="宋体" w:cs="Times New Roman"/>
          <w:color w:val="auto"/>
          <w:sz w:val="24"/>
          <w:szCs w:val="24"/>
          <w:lang w:val="en-US" w:eastAsia="zh-CN" w:bidi="ar-SA"/>
        </w:rPr>
        <w:t>有限公司关于使用部分闲置</w:t>
      </w:r>
      <w:r>
        <w:rPr>
          <w:rFonts w:hint="eastAsia" w:ascii="Times New Roman" w:hAnsi="Times New Roman" w:eastAsia="宋体" w:cs="Times New Roman"/>
          <w:color w:val="auto"/>
          <w:sz w:val="24"/>
          <w:szCs w:val="24"/>
          <w:lang w:val="en-US" w:eastAsia="zh-CN" w:bidi="ar-SA"/>
        </w:rPr>
        <w:t>自有</w:t>
      </w:r>
      <w:r>
        <w:rPr>
          <w:rFonts w:hint="default" w:ascii="Times New Roman" w:hAnsi="Times New Roman" w:eastAsia="宋体" w:cs="Times New Roman"/>
          <w:color w:val="auto"/>
          <w:sz w:val="24"/>
          <w:szCs w:val="24"/>
          <w:lang w:val="en-US" w:eastAsia="zh-CN" w:bidi="ar-SA"/>
        </w:rPr>
        <w:t>资金进行现金管理的公告》（公告编</w:t>
      </w:r>
      <w:r>
        <w:rPr>
          <w:rFonts w:hint="default" w:ascii="Times New Roman" w:hAnsi="Times New Roman" w:eastAsia="宋体" w:cs="Times New Roman"/>
          <w:bCs/>
          <w:sz w:val="24"/>
          <w:szCs w:val="24"/>
        </w:rPr>
        <w:t>号</w:t>
      </w:r>
      <w:r>
        <w:rPr>
          <w:rFonts w:hint="default" w:ascii="Times New Roman" w:hAnsi="Times New Roman" w:eastAsia="宋体" w:cs="Times New Roman"/>
          <w:bCs/>
          <w:sz w:val="24"/>
          <w:szCs w:val="24"/>
          <w:highlight w:val="none"/>
        </w:rPr>
        <w:t>：202</w:t>
      </w:r>
      <w:r>
        <w:rPr>
          <w:rFonts w:hint="eastAsia" w:ascii="Times New Roman" w:hAnsi="Times New Roman" w:eastAsia="宋体" w:cs="Times New Roman"/>
          <w:bCs/>
          <w:sz w:val="24"/>
          <w:szCs w:val="24"/>
          <w:highlight w:val="none"/>
          <w:lang w:val="en-US" w:eastAsia="zh-CN"/>
        </w:rPr>
        <w:t>2</w:t>
      </w:r>
      <w:r>
        <w:rPr>
          <w:rFonts w:hint="default" w:ascii="Times New Roman" w:hAnsi="Times New Roman" w:eastAsia="宋体" w:cs="Times New Roman"/>
          <w:bCs/>
          <w:sz w:val="24"/>
          <w:szCs w:val="24"/>
          <w:highlight w:val="none"/>
        </w:rPr>
        <w:t>-</w:t>
      </w:r>
      <w:r>
        <w:rPr>
          <w:rFonts w:hint="default" w:ascii="Times New Roman" w:hAnsi="Times New Roman" w:eastAsia="宋体" w:cs="Times New Roman"/>
          <w:bCs/>
          <w:sz w:val="24"/>
          <w:szCs w:val="24"/>
          <w:highlight w:val="none"/>
          <w:lang w:val="en-US" w:eastAsia="zh-CN"/>
        </w:rPr>
        <w:t>0</w:t>
      </w:r>
      <w:r>
        <w:rPr>
          <w:rFonts w:hint="eastAsia" w:ascii="Times New Roman" w:hAnsi="Times New Roman" w:eastAsia="宋体" w:cs="Times New Roman"/>
          <w:bCs/>
          <w:sz w:val="24"/>
          <w:szCs w:val="24"/>
          <w:highlight w:val="none"/>
          <w:lang w:val="en-US" w:eastAsia="zh-CN"/>
        </w:rPr>
        <w:t>14</w:t>
      </w:r>
      <w:r>
        <w:rPr>
          <w:rFonts w:hint="default" w:ascii="Times New Roman" w:hAnsi="Times New Roman" w:eastAsia="宋体" w:cs="Times New Roman"/>
          <w:bCs/>
          <w:sz w:val="24"/>
          <w:szCs w:val="24"/>
          <w:highlight w:val="none"/>
        </w:rPr>
        <w:t>）</w:t>
      </w:r>
      <w:r>
        <w:rPr>
          <w:rFonts w:hint="default" w:ascii="Times New Roman" w:hAnsi="Times New Roman" w:eastAsia="宋体" w:cs="Times New Roman"/>
          <w:bCs/>
          <w:sz w:val="24"/>
          <w:szCs w:val="24"/>
        </w:rPr>
        <w:t>。</w:t>
      </w:r>
    </w:p>
    <w:p>
      <w:pPr>
        <w:pStyle w:val="4"/>
        <w:snapToGrid w:val="0"/>
        <w:spacing w:line="360" w:lineRule="auto"/>
        <w:ind w:firstLine="476"/>
        <w:jc w:val="both"/>
        <w:rPr>
          <w:rFonts w:hint="eastAsia" w:ascii="Times New Roman" w:hAnsi="Times New Roman" w:eastAsia="宋体" w:cs="Times New Roman"/>
          <w:color w:val="000000"/>
          <w:sz w:val="24"/>
          <w:szCs w:val="24"/>
          <w:lang w:eastAsia="zh-CN"/>
        </w:rPr>
      </w:pPr>
      <w:r>
        <w:rPr>
          <w:rFonts w:hint="default" w:ascii="Times New Roman" w:hAnsi="Times New Roman" w:eastAsia="宋体" w:cs="Times New Roman"/>
          <w:bCs/>
          <w:sz w:val="24"/>
          <w:szCs w:val="24"/>
        </w:rPr>
        <w:t>表决结果：同意票3票，反对票0票，弃权票0票，表决通过。</w:t>
      </w:r>
    </w:p>
    <w:p>
      <w:pPr>
        <w:spacing w:line="360" w:lineRule="auto"/>
        <w:rPr>
          <w:rFonts w:hint="eastAsia" w:ascii="Times New Roman" w:hAnsi="Times New Roman" w:eastAsia="宋体" w:cs="Times New Roman"/>
          <w:color w:val="000000"/>
          <w:sz w:val="24"/>
          <w:szCs w:val="24"/>
          <w:lang w:eastAsia="zh-CN"/>
        </w:rPr>
      </w:pPr>
    </w:p>
    <w:p>
      <w:pPr>
        <w:pStyle w:val="4"/>
        <w:numPr>
          <w:ilvl w:val="0"/>
          <w:numId w:val="1"/>
        </w:numPr>
        <w:snapToGrid w:val="0"/>
        <w:spacing w:line="360" w:lineRule="auto"/>
        <w:ind w:left="0" w:leftChars="0" w:firstLine="420" w:firstLineChars="0"/>
        <w:jc w:val="both"/>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审议通过了《关于&lt;公司</w:t>
      </w:r>
      <w:r>
        <w:rPr>
          <w:rFonts w:hint="default" w:ascii="Times New Roman" w:hAnsi="Times New Roman" w:eastAsia="宋体" w:cs="Times New Roman"/>
          <w:b/>
          <w:sz w:val="24"/>
          <w:szCs w:val="24"/>
          <w:lang w:val="en-US" w:eastAsia="zh-CN"/>
        </w:rPr>
        <w:t>202</w:t>
      </w:r>
      <w:r>
        <w:rPr>
          <w:rFonts w:hint="eastAsia" w:ascii="Times New Roman" w:hAnsi="Times New Roman" w:eastAsia="宋体" w:cs="Times New Roman"/>
          <w:b/>
          <w:sz w:val="24"/>
          <w:szCs w:val="24"/>
          <w:lang w:val="en-US" w:eastAsia="zh-CN"/>
        </w:rPr>
        <w:t>1</w:t>
      </w:r>
      <w:r>
        <w:rPr>
          <w:rFonts w:hint="default" w:ascii="Times New Roman" w:hAnsi="Times New Roman" w:eastAsia="宋体" w:cs="Times New Roman"/>
          <w:b/>
          <w:sz w:val="24"/>
          <w:szCs w:val="24"/>
        </w:rPr>
        <w:t>年度内部控制评价报告&gt;的议案》</w:t>
      </w:r>
    </w:p>
    <w:p>
      <w:pPr>
        <w:pStyle w:val="4"/>
        <w:snapToGrid w:val="0"/>
        <w:spacing w:line="360" w:lineRule="auto"/>
        <w:ind w:firstLine="476"/>
        <w:jc w:val="both"/>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监事会认为</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格尔软件股份有限公司</w:t>
      </w:r>
      <w:r>
        <w:rPr>
          <w:rFonts w:hint="eastAsia" w:ascii="Times New Roman" w:eastAsia="宋体" w:cs="Times New Roman"/>
          <w:sz w:val="24"/>
          <w:szCs w:val="24"/>
          <w:highlight w:val="none"/>
          <w:lang w:val="en-US" w:eastAsia="zh-CN"/>
        </w:rPr>
        <w:t>2021</w:t>
      </w:r>
      <w:r>
        <w:rPr>
          <w:rFonts w:hint="default" w:ascii="Times New Roman" w:hAnsi="Times New Roman" w:eastAsia="宋体" w:cs="Times New Roman"/>
          <w:sz w:val="24"/>
          <w:szCs w:val="24"/>
          <w:highlight w:val="none"/>
        </w:rPr>
        <w:t>年度内部控制评价报告》真实、客观反映了公司内部控制体系建设和运作的实际情况，</w:t>
      </w:r>
      <w:r>
        <w:rPr>
          <w:rFonts w:hint="default" w:ascii="Times New Roman" w:hAnsi="Times New Roman" w:eastAsia="宋体" w:cs="Times New Roman"/>
          <w:sz w:val="24"/>
          <w:szCs w:val="24"/>
          <w:highlight w:val="none"/>
          <w:lang w:eastAsia="zh-CN"/>
        </w:rPr>
        <w:t>未发现公司</w:t>
      </w:r>
      <w:r>
        <w:rPr>
          <w:rFonts w:hint="default" w:ascii="Times New Roman" w:hAnsi="Times New Roman" w:eastAsia="宋体" w:cs="Times New Roman"/>
          <w:sz w:val="24"/>
          <w:szCs w:val="24"/>
          <w:highlight w:val="none"/>
        </w:rPr>
        <w:t>存在内部控制设计或执行方面的重大缺陷</w:t>
      </w:r>
      <w:r>
        <w:rPr>
          <w:rFonts w:hint="default" w:ascii="Times New Roman" w:hAnsi="Times New Roman" w:eastAsia="宋体" w:cs="Times New Roman"/>
          <w:sz w:val="24"/>
          <w:szCs w:val="24"/>
          <w:highlight w:val="none"/>
          <w:lang w:eastAsia="zh-CN"/>
        </w:rPr>
        <w:t>以及</w:t>
      </w:r>
      <w:r>
        <w:rPr>
          <w:rFonts w:hint="default" w:ascii="Times New Roman" w:hAnsi="Times New Roman" w:eastAsia="宋体" w:cs="Times New Roman"/>
          <w:sz w:val="24"/>
          <w:szCs w:val="24"/>
          <w:highlight w:val="none"/>
        </w:rPr>
        <w:t>损害公司和中小股东利益的行为，符合公司整体利益</w:t>
      </w:r>
      <w:r>
        <w:rPr>
          <w:rFonts w:hint="default" w:ascii="Times New Roman" w:hAnsi="Times New Roman" w:eastAsia="宋体" w:cs="Times New Roman"/>
          <w:sz w:val="24"/>
          <w:szCs w:val="24"/>
          <w:highlight w:val="none"/>
          <w:lang w:eastAsia="zh-CN"/>
        </w:rPr>
        <w:t>。</w:t>
      </w:r>
    </w:p>
    <w:p>
      <w:pPr>
        <w:pStyle w:val="4"/>
        <w:snapToGrid w:val="0"/>
        <w:spacing w:line="360" w:lineRule="auto"/>
        <w:ind w:firstLine="476"/>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具体内容请详见公司于上海证券交易所网站（www.sse.com.cn）同日刊登的《格尔软件股份有限公司</w:t>
      </w:r>
      <w:r>
        <w:rPr>
          <w:rFonts w:hint="default" w:ascii="Times New Roman" w:hAnsi="Times New Roman" w:eastAsia="宋体" w:cs="Times New Roman"/>
          <w:sz w:val="24"/>
          <w:szCs w:val="24"/>
          <w:lang w:val="en-US" w:eastAsia="zh-CN"/>
        </w:rPr>
        <w:t>202</w:t>
      </w:r>
      <w:r>
        <w:rPr>
          <w:rFonts w:hint="eastAsia"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年度内部控制评价报告》</w:t>
      </w:r>
      <w:r>
        <w:rPr>
          <w:rFonts w:hint="default" w:ascii="Times New Roman" w:hAnsi="Times New Roman" w:eastAsia="宋体" w:cs="Times New Roman"/>
          <w:sz w:val="24"/>
          <w:szCs w:val="24"/>
          <w:lang w:eastAsia="zh-CN"/>
        </w:rPr>
        <w:t>。</w:t>
      </w:r>
    </w:p>
    <w:p>
      <w:pPr>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snapToGrid w:val="0"/>
        <w:spacing w:line="360" w:lineRule="auto"/>
        <w:ind w:firstLine="480" w:firstLineChars="200"/>
        <w:rPr>
          <w:rFonts w:hint="default" w:ascii="Times New Roman" w:hAnsi="Times New Roman" w:eastAsia="宋体" w:cs="Times New Roman"/>
          <w:sz w:val="24"/>
          <w:szCs w:val="24"/>
        </w:rPr>
      </w:pPr>
    </w:p>
    <w:p>
      <w:pPr>
        <w:pStyle w:val="4"/>
        <w:numPr>
          <w:ilvl w:val="0"/>
          <w:numId w:val="1"/>
        </w:numPr>
        <w:snapToGrid w:val="0"/>
        <w:spacing w:line="360" w:lineRule="auto"/>
        <w:ind w:left="0" w:leftChars="0" w:firstLine="420" w:firstLineChars="0"/>
        <w:jc w:val="both"/>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审议通过了《关于&lt;公司20</w:t>
      </w:r>
      <w:r>
        <w:rPr>
          <w:rFonts w:hint="default" w:ascii="Times New Roman" w:hAnsi="Times New Roman" w:eastAsia="宋体" w:cs="Times New Roman"/>
          <w:b/>
          <w:sz w:val="24"/>
          <w:szCs w:val="24"/>
          <w:lang w:val="en-US" w:eastAsia="zh-CN"/>
        </w:rPr>
        <w:t>2</w:t>
      </w:r>
      <w:r>
        <w:rPr>
          <w:rFonts w:hint="eastAsia" w:ascii="Times New Roman" w:hAnsi="Times New Roman" w:eastAsia="宋体" w:cs="Times New Roman"/>
          <w:b/>
          <w:sz w:val="24"/>
          <w:szCs w:val="24"/>
          <w:lang w:val="en-US" w:eastAsia="zh-CN"/>
        </w:rPr>
        <w:t>1</w:t>
      </w:r>
      <w:r>
        <w:rPr>
          <w:rFonts w:hint="default" w:ascii="Times New Roman" w:hAnsi="Times New Roman" w:eastAsia="宋体" w:cs="Times New Roman"/>
          <w:b/>
          <w:sz w:val="24"/>
          <w:szCs w:val="24"/>
        </w:rPr>
        <w:t>年度社会责任报告&gt;的议案》</w:t>
      </w:r>
    </w:p>
    <w:p>
      <w:pPr>
        <w:pStyle w:val="4"/>
        <w:snapToGrid w:val="0"/>
        <w:spacing w:line="360" w:lineRule="auto"/>
        <w:ind w:firstLine="476"/>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监事会已经审阅了《格尔软件股份有限公司20</w:t>
      </w:r>
      <w:r>
        <w:rPr>
          <w:rFonts w:hint="default"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年度社会责任报告》，对其无异议。认为：公司以实际行动回报社会，创建和谐的经营与发展环境，客观地反映了公司在履行社会责任方面的情况。</w:t>
      </w:r>
    </w:p>
    <w:p>
      <w:pPr>
        <w:pStyle w:val="4"/>
        <w:snapToGrid w:val="0"/>
        <w:spacing w:line="360" w:lineRule="auto"/>
        <w:ind w:firstLine="476"/>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具体内容请详见公司于上海证券交易所网站（www.sse.com.cn）同日刊登的《格尔软件股份有限公司</w:t>
      </w:r>
      <w:r>
        <w:rPr>
          <w:rFonts w:hint="default" w:ascii="Times New Roman" w:hAnsi="Times New Roman" w:eastAsia="宋体" w:cs="Times New Roman"/>
          <w:sz w:val="24"/>
          <w:szCs w:val="24"/>
          <w:lang w:val="en-US" w:eastAsia="zh-CN"/>
        </w:rPr>
        <w:t>202</w:t>
      </w:r>
      <w:r>
        <w:rPr>
          <w:rFonts w:hint="eastAsia"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年度社会责任报告》</w:t>
      </w:r>
      <w:r>
        <w:rPr>
          <w:rFonts w:hint="default" w:ascii="Times New Roman" w:hAnsi="Times New Roman" w:eastAsia="宋体" w:cs="Times New Roman"/>
          <w:sz w:val="24"/>
          <w:szCs w:val="24"/>
          <w:lang w:eastAsia="zh-CN"/>
        </w:rPr>
        <w:t>。</w:t>
      </w:r>
    </w:p>
    <w:p>
      <w:pPr>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snapToGrid w:val="0"/>
        <w:spacing w:line="360" w:lineRule="auto"/>
        <w:ind w:firstLine="480" w:firstLineChars="200"/>
        <w:rPr>
          <w:rFonts w:hint="default" w:ascii="Times New Roman" w:hAnsi="Times New Roman" w:eastAsia="宋体" w:cs="Times New Roman"/>
          <w:sz w:val="24"/>
          <w:szCs w:val="24"/>
        </w:rPr>
      </w:pPr>
    </w:p>
    <w:p>
      <w:pPr>
        <w:pStyle w:val="4"/>
        <w:numPr>
          <w:ilvl w:val="0"/>
          <w:numId w:val="1"/>
        </w:numPr>
        <w:snapToGrid w:val="0"/>
        <w:spacing w:line="360" w:lineRule="auto"/>
        <w:ind w:left="0" w:leftChars="0" w:firstLine="420" w:firstLineChars="0"/>
        <w:jc w:val="both"/>
        <w:rPr>
          <w:rFonts w:hint="eastAsia" w:ascii="宋体" w:hAnsi="宋体" w:eastAsia="宋体" w:cs="宋体"/>
          <w:b/>
          <w:highlight w:val="none"/>
        </w:rPr>
      </w:pPr>
      <w:r>
        <w:rPr>
          <w:rFonts w:hint="eastAsia" w:ascii="宋体" w:hAnsi="宋体" w:eastAsia="宋体" w:cs="宋体"/>
          <w:b/>
          <w:highlight w:val="none"/>
        </w:rPr>
        <w:t>审议通过了《关于会计政策变更的议案》</w:t>
      </w:r>
    </w:p>
    <w:p>
      <w:pPr>
        <w:pStyle w:val="5"/>
        <w:tabs>
          <w:tab w:val="left" w:pos="1017"/>
          <w:tab w:val="left" w:pos="1018"/>
        </w:tabs>
        <w:spacing w:before="0" w:line="360" w:lineRule="auto"/>
        <w:ind w:left="0" w:right="0" w:firstLine="420" w:firstLineChars="175"/>
        <w:jc w:val="left"/>
        <w:rPr>
          <w:rFonts w:hint="default" w:ascii="Times New Roman" w:hAnsi="Times New Roman" w:eastAsia="宋体" w:cs="Times New Roman"/>
          <w:bCs/>
        </w:rPr>
      </w:pPr>
      <w:r>
        <w:rPr>
          <w:rFonts w:hint="eastAsia" w:ascii="宋体" w:hAnsi="宋体" w:eastAsia="宋体" w:cs="宋体"/>
          <w:bCs/>
        </w:rPr>
        <w:t>监事会认为</w:t>
      </w:r>
      <w:r>
        <w:rPr>
          <w:rFonts w:hint="eastAsia" w:ascii="宋体" w:hAnsi="宋体" w:eastAsia="宋体" w:cs="宋体"/>
          <w:bCs/>
          <w:lang w:eastAsia="zh-CN"/>
        </w:rPr>
        <w:t>：</w:t>
      </w:r>
      <w:r>
        <w:rPr>
          <w:sz w:val="24"/>
          <w:szCs w:val="24"/>
          <w:lang w:val="en-US"/>
        </w:rPr>
        <w:t>公司本次变更会计政策，是根据财政部</w:t>
      </w:r>
      <w:r>
        <w:rPr>
          <w:rFonts w:hint="eastAsia"/>
          <w:sz w:val="24"/>
          <w:szCs w:val="24"/>
        </w:rPr>
        <w:t>发布的《企业会计</w:t>
      </w:r>
      <w:r>
        <w:rPr>
          <w:rFonts w:ascii="Times New Roman" w:hAnsi="Times New Roman" w:cs="Times New Roman"/>
          <w:sz w:val="24"/>
          <w:szCs w:val="24"/>
        </w:rPr>
        <w:t>准则第21号——租赁》</w:t>
      </w:r>
      <w:r>
        <w:rPr>
          <w:rFonts w:hint="eastAsia"/>
          <w:sz w:val="24"/>
          <w:szCs w:val="24"/>
        </w:rPr>
        <w:t>（</w:t>
      </w:r>
      <w:r>
        <w:rPr>
          <w:rFonts w:hint="eastAsia" w:ascii="Times New Roman" w:hAnsi="Times New Roman" w:cs="Times New Roman"/>
          <w:sz w:val="24"/>
          <w:szCs w:val="24"/>
        </w:rPr>
        <w:t>财会【2018】35号</w:t>
      </w:r>
      <w:r>
        <w:rPr>
          <w:rFonts w:hint="eastAsia"/>
          <w:sz w:val="24"/>
          <w:szCs w:val="24"/>
        </w:rPr>
        <w:t>）</w:t>
      </w:r>
      <w:r>
        <w:rPr>
          <w:rFonts w:hint="eastAsia" w:ascii="Times New Roman" w:hAnsi="Times New Roman" w:cs="Times New Roman"/>
          <w:sz w:val="24"/>
          <w:szCs w:val="24"/>
        </w:rPr>
        <w:t>和2021年第五批</w:t>
      </w:r>
      <w:r>
        <w:rPr>
          <w:rFonts w:hint="eastAsia"/>
          <w:sz w:val="24"/>
          <w:szCs w:val="24"/>
        </w:rPr>
        <w:t>《企业会计准则实施问答》</w:t>
      </w:r>
      <w:r>
        <w:rPr>
          <w:sz w:val="24"/>
          <w:szCs w:val="24"/>
          <w:lang w:val="en-US"/>
        </w:rPr>
        <w:t>而进行相应变更</w:t>
      </w:r>
      <w:r>
        <w:rPr>
          <w:rFonts w:hint="eastAsia"/>
          <w:sz w:val="24"/>
          <w:szCs w:val="24"/>
          <w:lang w:val="en-US"/>
        </w:rPr>
        <w:t>。变更后的会计政策有利于更加客观、公允地反应公司的财务状况和经验成果，符合公司及所有股东的利益。</w:t>
      </w:r>
    </w:p>
    <w:p>
      <w:pPr>
        <w:pStyle w:val="4"/>
        <w:snapToGrid w:val="0"/>
        <w:spacing w:line="360" w:lineRule="auto"/>
        <w:ind w:firstLine="476"/>
        <w:jc w:val="both"/>
        <w:rPr>
          <w:rFonts w:hint="default" w:ascii="Times New Roman" w:hAnsi="Times New Roman" w:eastAsia="宋体" w:cs="Times New Roman"/>
          <w:bCs/>
        </w:rPr>
      </w:pPr>
      <w:r>
        <w:rPr>
          <w:rFonts w:hint="default" w:ascii="Times New Roman" w:hAnsi="Times New Roman" w:eastAsia="宋体" w:cs="Times New Roman"/>
          <w:bCs/>
        </w:rPr>
        <w:t>具体内容请详见公司刊登于上海证券交易所网站（www.sse.com.cn）及公司指定信息披露媒体《中国证券报》、《上海证券报》、《证券日报》、《证券时报》同日刊登的《格尔软件股份有限公司</w:t>
      </w:r>
      <w:r>
        <w:rPr>
          <w:rFonts w:hint="default" w:ascii="Times New Roman" w:hAnsi="Times New Roman" w:eastAsia="宋体" w:cs="Times New Roman"/>
          <w:bCs/>
          <w:lang w:eastAsia="zh-CN"/>
        </w:rPr>
        <w:t>关于会计政策变更的公告</w:t>
      </w:r>
      <w:r>
        <w:rPr>
          <w:rFonts w:hint="default" w:ascii="Times New Roman" w:hAnsi="Times New Roman" w:eastAsia="宋体" w:cs="Times New Roman"/>
          <w:bCs/>
        </w:rPr>
        <w:t>》（公告编号：</w:t>
      </w:r>
      <w:r>
        <w:rPr>
          <w:rFonts w:hint="default" w:ascii="Times New Roman" w:hAnsi="Times New Roman" w:eastAsia="宋体" w:cs="Times New Roman"/>
          <w:bCs/>
          <w:highlight w:val="none"/>
        </w:rPr>
        <w:t>202</w:t>
      </w:r>
      <w:r>
        <w:rPr>
          <w:rFonts w:hint="default" w:ascii="Times New Roman" w:hAnsi="Times New Roman" w:eastAsia="宋体" w:cs="Times New Roman"/>
          <w:bCs/>
          <w:highlight w:val="none"/>
          <w:lang w:val="en-US" w:eastAsia="zh-CN"/>
        </w:rPr>
        <w:t>2</w:t>
      </w:r>
      <w:r>
        <w:rPr>
          <w:rFonts w:hint="default" w:ascii="Times New Roman" w:hAnsi="Times New Roman" w:eastAsia="宋体" w:cs="Times New Roman"/>
          <w:bCs/>
          <w:highlight w:val="none"/>
        </w:rPr>
        <w:t>-0</w:t>
      </w:r>
      <w:r>
        <w:rPr>
          <w:rFonts w:hint="default" w:ascii="Times New Roman" w:hAnsi="Times New Roman" w:eastAsia="宋体" w:cs="Times New Roman"/>
          <w:bCs/>
          <w:highlight w:val="none"/>
          <w:lang w:val="en-US" w:eastAsia="zh-CN"/>
        </w:rPr>
        <w:t>1</w:t>
      </w:r>
      <w:r>
        <w:rPr>
          <w:rFonts w:hint="eastAsia" w:ascii="Times New Roman" w:hAnsi="Times New Roman" w:eastAsia="宋体" w:cs="Times New Roman"/>
          <w:bCs/>
          <w:highlight w:val="none"/>
          <w:lang w:val="en-US" w:eastAsia="zh-CN"/>
        </w:rPr>
        <w:t>6</w:t>
      </w:r>
      <w:r>
        <w:rPr>
          <w:rFonts w:hint="default" w:ascii="Times New Roman" w:hAnsi="Times New Roman" w:eastAsia="宋体" w:cs="Times New Roman"/>
          <w:bCs/>
          <w:highlight w:val="none"/>
        </w:rPr>
        <w:t>）。</w:t>
      </w:r>
    </w:p>
    <w:p>
      <w:pPr>
        <w:pStyle w:val="4"/>
        <w:snapToGrid w:val="0"/>
        <w:spacing w:line="360" w:lineRule="auto"/>
        <w:ind w:firstLine="476"/>
        <w:jc w:val="both"/>
        <w:rPr>
          <w:rFonts w:hint="default" w:ascii="Times New Roman" w:hAnsi="Times New Roman" w:eastAsia="宋体" w:cs="Times New Roman"/>
          <w:bCs/>
        </w:rPr>
      </w:pPr>
      <w:r>
        <w:rPr>
          <w:rFonts w:hint="default" w:ascii="Times New Roman" w:hAnsi="Times New Roman" w:eastAsia="宋体" w:cs="Times New Roman"/>
          <w:bCs/>
        </w:rPr>
        <w:t>表决结果：同意票3票，反对票0票，弃权票0票，表决通过。</w:t>
      </w:r>
    </w:p>
    <w:p>
      <w:pPr>
        <w:pStyle w:val="4"/>
        <w:snapToGrid w:val="0"/>
        <w:spacing w:line="360" w:lineRule="auto"/>
        <w:ind w:firstLine="476"/>
        <w:jc w:val="both"/>
        <w:rPr>
          <w:rFonts w:hint="default" w:ascii="宋体" w:hAnsi="宋体" w:eastAsia="宋体" w:cs="宋体"/>
          <w:bCs/>
        </w:rPr>
      </w:pPr>
    </w:p>
    <w:p>
      <w:pPr>
        <w:numPr>
          <w:ilvl w:val="0"/>
          <w:numId w:val="1"/>
        </w:numPr>
        <w:snapToGrid w:val="0"/>
        <w:spacing w:line="324" w:lineRule="auto"/>
        <w:ind w:left="0" w:leftChars="0" w:firstLine="420" w:firstLineChars="0"/>
        <w:jc w:val="both"/>
        <w:rPr>
          <w:rFonts w:hint="default" w:ascii="Times New Roman" w:hAnsi="Times New Roman" w:cs="Times New Roman" w:eastAsiaTheme="minorEastAsia"/>
          <w:b/>
          <w:bCs/>
          <w:sz w:val="24"/>
          <w:szCs w:val="24"/>
          <w:highlight w:val="none"/>
          <w:lang w:eastAsia="zh-CN"/>
        </w:rPr>
      </w:pPr>
      <w:r>
        <w:rPr>
          <w:rFonts w:hint="eastAsia" w:ascii="Times New Roman" w:hAnsi="Times New Roman" w:cs="Times New Roman" w:eastAsiaTheme="minorEastAsia"/>
          <w:b/>
          <w:bCs/>
          <w:sz w:val="24"/>
          <w:szCs w:val="24"/>
          <w:highlight w:val="none"/>
          <w:lang w:val="en-US" w:eastAsia="zh-CN"/>
        </w:rPr>
        <w:t>审议通过了</w:t>
      </w:r>
      <w:r>
        <w:rPr>
          <w:rFonts w:hint="default" w:ascii="Times New Roman" w:hAnsi="Times New Roman" w:cs="Times New Roman" w:eastAsiaTheme="minorEastAsia"/>
          <w:b/>
          <w:bCs/>
          <w:sz w:val="24"/>
          <w:szCs w:val="24"/>
          <w:highlight w:val="none"/>
          <w:lang w:eastAsia="zh-CN"/>
        </w:rPr>
        <w:t>《关于修订</w:t>
      </w:r>
      <w:r>
        <w:rPr>
          <w:rFonts w:hint="default" w:ascii="Times New Roman" w:hAnsi="Times New Roman" w:cs="Times New Roman" w:eastAsiaTheme="minorEastAsia"/>
          <w:b/>
          <w:bCs/>
          <w:sz w:val="24"/>
          <w:szCs w:val="24"/>
          <w:highlight w:val="none"/>
          <w:lang w:val="en-US" w:eastAsia="zh-CN"/>
        </w:rPr>
        <w:t>&lt;公司章程&gt;的议案</w:t>
      </w:r>
      <w:r>
        <w:rPr>
          <w:rFonts w:hint="default" w:ascii="Times New Roman" w:hAnsi="Times New Roman" w:cs="Times New Roman" w:eastAsiaTheme="minorEastAsia"/>
          <w:b/>
          <w:bCs/>
          <w:sz w:val="24"/>
          <w:szCs w:val="24"/>
          <w:highlight w:val="none"/>
          <w:lang w:eastAsia="zh-CN"/>
        </w:rPr>
        <w:t>》</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Cs/>
          <w:snapToGrid w:val="0"/>
          <w:color w:val="000000"/>
          <w:highlight w:val="none"/>
        </w:rPr>
      </w:pPr>
      <w:r>
        <w:rPr>
          <w:rFonts w:hint="default" w:ascii="Times New Roman" w:hAnsi="Times New Roman" w:eastAsia="宋体" w:cs="Times New Roman"/>
          <w:b w:val="0"/>
          <w:bCs/>
          <w:sz w:val="24"/>
          <w:szCs w:val="24"/>
        </w:rPr>
        <w:t>因2022年1月，中国证监会、上海证券交易所先后发布修订后的《上市公司章程指引》、《上海证券交易所股票上市规则》及系列指引。为进一步提高公司规范治理水平，完善公司治理结构，根据《中国共产党章程》、《上市公司章程指引》、《上海证券交易所股票上市规则》等有关规定，结合公司的实际情况，拟对《公司章程》进行修订</w:t>
      </w:r>
      <w:r>
        <w:rPr>
          <w:rFonts w:hint="eastAsia" w:ascii="Times New Roman" w:cs="Times New Roman"/>
          <w:b w:val="0"/>
          <w:bCs/>
          <w:sz w:val="24"/>
          <w:szCs w:val="24"/>
          <w:lang w:eastAsia="zh-CN"/>
        </w:rPr>
        <w:t>。</w:t>
      </w:r>
    </w:p>
    <w:p>
      <w:pPr>
        <w:pStyle w:val="4"/>
        <w:snapToGrid w:val="0"/>
        <w:spacing w:line="360" w:lineRule="auto"/>
        <w:ind w:firstLine="476"/>
        <w:jc w:val="both"/>
        <w:rPr>
          <w:rFonts w:hint="default" w:ascii="Times New Roman" w:hAnsi="Times New Roman" w:cs="Times New Roman" w:eastAsiaTheme="minorEastAsia"/>
          <w:color w:val="000000"/>
          <w:lang w:eastAsia="zh-CN"/>
        </w:rPr>
      </w:pPr>
      <w:r>
        <w:rPr>
          <w:rFonts w:hint="eastAsia" w:ascii="宋体" w:hAnsi="宋体" w:eastAsia="宋体" w:cs="宋体"/>
          <w:bCs/>
        </w:rPr>
        <w:t>具体内容请详见公司刊登于上海证券交易所网站（www.sse.com.cn）及公司指定信息披露媒体《中国证券报》、《上海证券报》、《证券日报》、《证券时报》同日刊登的《</w:t>
      </w:r>
      <w:r>
        <w:rPr>
          <w:rFonts w:hint="default" w:ascii="Times New Roman" w:hAnsi="Times New Roman" w:cs="Times New Roman" w:eastAsiaTheme="minorEastAsia"/>
          <w:sz w:val="24"/>
          <w:szCs w:val="24"/>
        </w:rPr>
        <w:t>格尔软</w:t>
      </w:r>
      <w:r>
        <w:rPr>
          <w:rFonts w:hint="default" w:ascii="Times New Roman" w:hAnsi="Times New Roman" w:eastAsia="宋体" w:cs="Times New Roman"/>
          <w:bCs/>
          <w:snapToGrid w:val="0"/>
          <w:color w:val="000000"/>
        </w:rPr>
        <w:t>件股份有限公司关于修订</w:t>
      </w:r>
      <w:r>
        <w:rPr>
          <w:rFonts w:hint="default" w:ascii="Times New Roman" w:hAnsi="Times New Roman" w:cs="Times New Roman"/>
          <w:bCs/>
          <w:snapToGrid w:val="0"/>
          <w:color w:val="000000"/>
          <w:lang w:val="en-US" w:eastAsia="zh-CN"/>
        </w:rPr>
        <w:t>&lt;</w:t>
      </w:r>
      <w:r>
        <w:rPr>
          <w:rFonts w:hint="default" w:ascii="Times New Roman" w:hAnsi="Times New Roman" w:eastAsia="宋体" w:cs="Times New Roman"/>
          <w:bCs/>
          <w:snapToGrid w:val="0"/>
          <w:color w:val="000000"/>
        </w:rPr>
        <w:t>公司章程</w:t>
      </w:r>
      <w:r>
        <w:rPr>
          <w:rFonts w:hint="default" w:ascii="Times New Roman" w:hAnsi="Times New Roman" w:cs="Times New Roman"/>
          <w:bCs/>
          <w:snapToGrid w:val="0"/>
          <w:color w:val="000000"/>
          <w:lang w:val="en-US" w:eastAsia="zh-CN"/>
        </w:rPr>
        <w:t>&gt;</w:t>
      </w:r>
      <w:r>
        <w:rPr>
          <w:rFonts w:hint="default" w:ascii="Times New Roman" w:hAnsi="Times New Roman" w:eastAsia="宋体" w:cs="Times New Roman"/>
          <w:bCs/>
          <w:snapToGrid w:val="0"/>
          <w:color w:val="000000"/>
        </w:rPr>
        <w:t>的公告</w:t>
      </w:r>
      <w:r>
        <w:rPr>
          <w:rFonts w:hint="eastAsia" w:ascii="宋体" w:hAnsi="宋体" w:eastAsia="宋体" w:cs="宋体"/>
          <w:bCs/>
        </w:rPr>
        <w:t>》（公告编</w:t>
      </w:r>
      <w:r>
        <w:rPr>
          <w:rFonts w:hint="eastAsia" w:ascii="宋体" w:hAnsi="宋体" w:eastAsia="宋体" w:cs="宋体"/>
          <w:bCs/>
          <w:highlight w:val="none"/>
        </w:rPr>
        <w:t>号：</w:t>
      </w:r>
      <w:r>
        <w:rPr>
          <w:rFonts w:hint="default" w:ascii="Times New Roman" w:hAnsi="Times New Roman" w:eastAsia="宋体" w:cs="Times New Roman"/>
          <w:bCs/>
          <w:highlight w:val="none"/>
        </w:rPr>
        <w:t>202</w:t>
      </w:r>
      <w:r>
        <w:rPr>
          <w:rFonts w:hint="default" w:ascii="Times New Roman" w:hAnsi="Times New Roman" w:eastAsia="宋体" w:cs="Times New Roman"/>
          <w:bCs/>
          <w:highlight w:val="none"/>
          <w:lang w:val="en-US" w:eastAsia="zh-CN"/>
        </w:rPr>
        <w:t>2</w:t>
      </w:r>
      <w:r>
        <w:rPr>
          <w:rFonts w:hint="default" w:ascii="Times New Roman" w:hAnsi="Times New Roman" w:eastAsia="宋体" w:cs="Times New Roman"/>
          <w:bCs/>
          <w:highlight w:val="none"/>
        </w:rPr>
        <w:t>-0</w:t>
      </w:r>
      <w:r>
        <w:rPr>
          <w:rFonts w:hint="default" w:ascii="Times New Roman" w:hAnsi="Times New Roman" w:eastAsia="宋体" w:cs="Times New Roman"/>
          <w:bCs/>
          <w:highlight w:val="none"/>
          <w:lang w:val="en-US" w:eastAsia="zh-CN"/>
        </w:rPr>
        <w:t>1</w:t>
      </w:r>
      <w:r>
        <w:rPr>
          <w:rFonts w:hint="eastAsia" w:ascii="Times New Roman" w:hAnsi="Times New Roman" w:eastAsia="宋体" w:cs="Times New Roman"/>
          <w:bCs/>
          <w:highlight w:val="none"/>
          <w:lang w:val="en-US" w:eastAsia="zh-CN"/>
        </w:rPr>
        <w:t>7</w:t>
      </w:r>
      <w:r>
        <w:rPr>
          <w:rFonts w:hint="eastAsia" w:ascii="宋体" w:hAnsi="宋体" w:eastAsia="宋体" w:cs="宋体"/>
          <w:bCs/>
          <w:highlight w:val="none"/>
        </w:rPr>
        <w:t>）</w:t>
      </w:r>
      <w:r>
        <w:rPr>
          <w:rFonts w:hint="eastAsia" w:ascii="宋体" w:hAnsi="宋体" w:eastAsia="宋体" w:cs="宋体"/>
          <w:bCs/>
        </w:rPr>
        <w:t>。</w:t>
      </w:r>
      <w:r>
        <w:rPr>
          <w:rFonts w:hint="default" w:ascii="Times New Roman" w:hAnsi="Times New Roman" w:cs="Times New Roman" w:eastAsiaTheme="minorEastAsia"/>
          <w:color w:val="000000"/>
          <w:highlight w:val="none"/>
          <w:lang w:eastAsia="zh-CN"/>
        </w:rPr>
        <w:t>修订后的</w:t>
      </w:r>
      <w:r>
        <w:rPr>
          <w:rFonts w:hint="default" w:ascii="Times New Roman" w:hAnsi="Times New Roman" w:cs="Times New Roman" w:eastAsiaTheme="minorEastAsia"/>
          <w:color w:val="000000"/>
          <w:lang w:eastAsia="zh-CN"/>
        </w:rPr>
        <w:t>《公司章程》请详见上海证券交易所网站（www.sse.com.cn）。</w:t>
      </w:r>
    </w:p>
    <w:p>
      <w:pPr>
        <w:snapToGrid w:val="0"/>
        <w:spacing w:line="360" w:lineRule="auto"/>
        <w:ind w:left="0" w:leftChars="0" w:firstLine="480" w:firstLineChars="200"/>
        <w:jc w:val="both"/>
        <w:rPr>
          <w:rFonts w:hint="default" w:ascii="Times New Roman" w:hAnsi="Times New Roman" w:cs="Times New Roman"/>
          <w:sz w:val="24"/>
        </w:rPr>
      </w:pPr>
      <w:r>
        <w:rPr>
          <w:rFonts w:hint="default" w:ascii="Times New Roman" w:hAnsi="Times New Roman" w:cs="Times New Roman"/>
          <w:sz w:val="24"/>
        </w:rPr>
        <w:t>表决结果：同意票3票，反对票0票，弃权票0票</w:t>
      </w:r>
      <w:r>
        <w:rPr>
          <w:rFonts w:hint="default" w:ascii="Times New Roman" w:hAnsi="Times New Roman" w:cs="Times New Roman"/>
          <w:kern w:val="0"/>
          <w:sz w:val="24"/>
        </w:rPr>
        <w:t>，表决通过。</w:t>
      </w:r>
    </w:p>
    <w:p>
      <w:pPr>
        <w:snapToGrid w:val="0"/>
        <w:spacing w:line="360" w:lineRule="auto"/>
        <w:ind w:left="0" w:leftChars="0" w:firstLine="480" w:firstLineChars="200"/>
        <w:jc w:val="both"/>
        <w:rPr>
          <w:rFonts w:hint="default" w:ascii="Times New Roman" w:hAnsi="Times New Roman" w:cs="Times New Roman"/>
          <w:sz w:val="24"/>
        </w:rPr>
      </w:pPr>
      <w:r>
        <w:rPr>
          <w:rFonts w:hint="default" w:ascii="Times New Roman" w:hAnsi="Times New Roman" w:cs="Times New Roman" w:eastAsiaTheme="minorEastAsia"/>
          <w:sz w:val="24"/>
          <w:szCs w:val="24"/>
        </w:rPr>
        <w:t>本议案尚需提交公司股东大会审议，并经出席会议的股东所持表决权的三分之二以上表决通过。</w:t>
      </w:r>
    </w:p>
    <w:p>
      <w:pPr>
        <w:snapToGrid w:val="0"/>
        <w:spacing w:line="360" w:lineRule="auto"/>
        <w:ind w:firstLine="482" w:firstLineChars="200"/>
        <w:rPr>
          <w:rFonts w:hint="default" w:ascii="Times New Roman" w:hAnsi="Times New Roman" w:eastAsia="宋体" w:cs="Times New Roman"/>
          <w:b/>
          <w:sz w:val="24"/>
          <w:szCs w:val="24"/>
        </w:rPr>
      </w:pPr>
    </w:p>
    <w:p>
      <w:pPr>
        <w:numPr>
          <w:ilvl w:val="0"/>
          <w:numId w:val="1"/>
        </w:numPr>
        <w:snapToGrid w:val="0"/>
        <w:spacing w:line="360" w:lineRule="auto"/>
        <w:ind w:left="0" w:leftChars="0" w:firstLine="420" w:firstLineChars="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审议通过了《关于&lt;公司</w:t>
      </w:r>
      <w:r>
        <w:rPr>
          <w:rFonts w:hint="default" w:ascii="Times New Roman" w:hAnsi="Times New Roman" w:eastAsia="宋体" w:cs="Times New Roman"/>
          <w:b/>
          <w:sz w:val="24"/>
          <w:szCs w:val="24"/>
          <w:lang w:val="en-US" w:eastAsia="zh-CN"/>
        </w:rPr>
        <w:t>202</w:t>
      </w:r>
      <w:r>
        <w:rPr>
          <w:rFonts w:hint="eastAsia" w:ascii="Times New Roman" w:hAnsi="Times New Roman" w:cs="Times New Roman"/>
          <w:b/>
          <w:sz w:val="24"/>
          <w:szCs w:val="24"/>
          <w:lang w:val="en-US" w:eastAsia="zh-CN"/>
        </w:rPr>
        <w:t>2</w:t>
      </w:r>
      <w:r>
        <w:rPr>
          <w:rFonts w:hint="default" w:ascii="Times New Roman" w:hAnsi="Times New Roman" w:eastAsia="宋体" w:cs="Times New Roman"/>
          <w:b/>
          <w:sz w:val="24"/>
          <w:szCs w:val="24"/>
        </w:rPr>
        <w:t>年第一季度报告&gt;的议案》</w:t>
      </w:r>
    </w:p>
    <w:p>
      <w:pPr>
        <w:pStyle w:val="4"/>
        <w:snapToGrid w:val="0"/>
        <w:spacing w:line="360" w:lineRule="auto"/>
        <w:ind w:firstLine="476"/>
        <w:jc w:val="both"/>
        <w:rPr>
          <w:rFonts w:hint="default" w:ascii="Times New Roman" w:hAnsi="Times New Roman" w:eastAsia="宋体" w:cs="Times New Roman"/>
          <w:sz w:val="24"/>
          <w:szCs w:val="24"/>
        </w:rPr>
      </w:pPr>
      <w:r>
        <w:rPr>
          <w:rFonts w:hint="eastAsia" w:eastAsia="宋体" w:cs="Times New Roman"/>
          <w:sz w:val="24"/>
          <w:szCs w:val="24"/>
          <w:lang w:val="en-US" w:eastAsia="zh-CN"/>
        </w:rPr>
        <w:t>监事会认为：</w:t>
      </w:r>
      <w:r>
        <w:rPr>
          <w:rFonts w:hint="default" w:ascii="Times New Roman" w:hAnsi="Times New Roman" w:cs="Times New Roman" w:eastAsiaTheme="minorEastAsia"/>
          <w:sz w:val="24"/>
          <w:szCs w:val="24"/>
          <w:highlight w:val="none"/>
        </w:rPr>
        <w:t>公司202</w:t>
      </w:r>
      <w:r>
        <w:rPr>
          <w:rFonts w:hint="default" w:ascii="Times New Roman" w:hAnsi="Times New Roman" w:cs="Times New Roman" w:eastAsiaTheme="minorEastAsia"/>
          <w:sz w:val="24"/>
          <w:szCs w:val="24"/>
          <w:highlight w:val="none"/>
          <w:lang w:val="en-US" w:eastAsia="zh-CN"/>
        </w:rPr>
        <w:t>2</w:t>
      </w:r>
      <w:r>
        <w:rPr>
          <w:rFonts w:hint="default" w:ascii="Times New Roman" w:hAnsi="Times New Roman" w:cs="Times New Roman" w:eastAsiaTheme="minorEastAsia"/>
          <w:sz w:val="24"/>
          <w:szCs w:val="24"/>
          <w:highlight w:val="none"/>
        </w:rPr>
        <w:t>年一季度报告的编制和审议程序符合法律、法规、公司章程和公司内部管理制度的各项规定；公司202</w:t>
      </w:r>
      <w:r>
        <w:rPr>
          <w:rFonts w:hint="default" w:ascii="Times New Roman" w:hAnsi="Times New Roman" w:cs="Times New Roman" w:eastAsiaTheme="minorEastAsia"/>
          <w:sz w:val="24"/>
          <w:szCs w:val="24"/>
          <w:highlight w:val="none"/>
          <w:lang w:val="en-US" w:eastAsia="zh-CN"/>
        </w:rPr>
        <w:t>2</w:t>
      </w:r>
      <w:r>
        <w:rPr>
          <w:rFonts w:hint="default" w:ascii="Times New Roman" w:hAnsi="Times New Roman" w:cs="Times New Roman" w:eastAsiaTheme="minorEastAsia"/>
          <w:sz w:val="24"/>
          <w:szCs w:val="24"/>
          <w:highlight w:val="none"/>
        </w:rPr>
        <w:t>年一季度报告的内容和格式符合中国证监会和证券交易所的各项规定，所包含的信息从各个方面真实地反映出公司</w:t>
      </w:r>
      <w:r>
        <w:rPr>
          <w:rFonts w:hint="eastAsia" w:cs="Times New Roman" w:eastAsiaTheme="minorEastAsia"/>
          <w:sz w:val="24"/>
          <w:szCs w:val="24"/>
          <w:highlight w:val="none"/>
          <w:lang w:val="en-US" w:eastAsia="zh-CN"/>
        </w:rPr>
        <w:t>一季度</w:t>
      </w:r>
      <w:r>
        <w:rPr>
          <w:rFonts w:hint="default" w:ascii="Times New Roman" w:hAnsi="Times New Roman" w:cs="Times New Roman" w:eastAsiaTheme="minorEastAsia"/>
          <w:sz w:val="24"/>
          <w:szCs w:val="24"/>
          <w:highlight w:val="none"/>
        </w:rPr>
        <w:t>的经营管理和财务状况等事项；未发现参与一季报编制和审议的人员有违反保密规定的行为。</w:t>
      </w:r>
    </w:p>
    <w:p>
      <w:pPr>
        <w:pStyle w:val="4"/>
        <w:snapToGrid w:val="0"/>
        <w:spacing w:line="360" w:lineRule="auto"/>
        <w:ind w:firstLine="476"/>
        <w:jc w:val="both"/>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highlight w:val="none"/>
        </w:rPr>
        <w:t>具体内容请详见刊登于上海证券交易所网站（www.sse.com.cn）的《格尔软件股份有限公司</w:t>
      </w:r>
      <w:r>
        <w:rPr>
          <w:rFonts w:hint="default" w:ascii="Times New Roman" w:hAnsi="Times New Roman" w:eastAsia="宋体" w:cs="Times New Roman"/>
          <w:sz w:val="24"/>
          <w:szCs w:val="24"/>
          <w:highlight w:val="none"/>
          <w:lang w:val="en-US" w:eastAsia="zh-CN"/>
        </w:rPr>
        <w:t>202</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年第一季度报告》以及公司指定信息披露媒体《中国证券报》、《上海证券报》、《证券日报》、《证券时报》同日刊登的《格尔软件股份有限公司</w:t>
      </w:r>
      <w:r>
        <w:rPr>
          <w:rFonts w:hint="default" w:ascii="Times New Roman" w:hAnsi="Times New Roman" w:eastAsia="宋体" w:cs="Times New Roman"/>
          <w:sz w:val="24"/>
          <w:szCs w:val="24"/>
          <w:highlight w:val="none"/>
          <w:lang w:val="en-US" w:eastAsia="zh-CN"/>
        </w:rPr>
        <w:t>202</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年第一季度报告》</w:t>
      </w:r>
      <w:r>
        <w:rPr>
          <w:rFonts w:hint="eastAsia" w:ascii="Times New Roman" w:hAnsi="Times New Roman" w:eastAsia="宋体" w:cs="Times New Roman"/>
          <w:sz w:val="24"/>
          <w:szCs w:val="24"/>
          <w:highlight w:val="none"/>
          <w:lang w:eastAsia="zh-CN"/>
        </w:rPr>
        <w:t>。</w:t>
      </w:r>
    </w:p>
    <w:p>
      <w:pPr>
        <w:snapToGrid w:val="0"/>
        <w:spacing w:line="360" w:lineRule="auto"/>
        <w:ind w:firstLine="544" w:firstLineChars="227"/>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表决结果：同意票3票，反对票0票，弃权票0票，表决通过。</w:t>
      </w:r>
    </w:p>
    <w:p>
      <w:pPr>
        <w:snapToGrid w:val="0"/>
        <w:spacing w:line="324" w:lineRule="auto"/>
        <w:ind w:firstLine="420" w:firstLineChars="0"/>
        <w:rPr>
          <w:rFonts w:hint="default" w:ascii="Times New Roman" w:hAnsi="Times New Roman" w:eastAsia="宋体" w:cs="Times New Roman"/>
          <w:sz w:val="24"/>
          <w:szCs w:val="24"/>
          <w:lang w:val="en-US" w:eastAsia="zh-CN"/>
        </w:rPr>
      </w:pPr>
    </w:p>
    <w:p>
      <w:pPr>
        <w:pStyle w:val="4"/>
        <w:spacing w:line="360" w:lineRule="auto"/>
        <w:ind w:firstLine="476"/>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特此公告。</w:t>
      </w:r>
    </w:p>
    <w:p>
      <w:pPr>
        <w:widowControl w:val="0"/>
        <w:autoSpaceDE w:val="0"/>
        <w:autoSpaceDN w:val="0"/>
        <w:adjustRightInd w:val="0"/>
        <w:spacing w:line="360" w:lineRule="auto"/>
        <w:ind w:firstLine="446" w:firstLineChars="186"/>
        <w:rPr>
          <w:rFonts w:hint="default" w:ascii="Times New Roman" w:hAnsi="Times New Roman" w:eastAsia="宋体" w:cs="Times New Roman"/>
          <w:color w:val="000000"/>
          <w:sz w:val="24"/>
          <w:szCs w:val="24"/>
        </w:rPr>
      </w:pPr>
    </w:p>
    <w:p>
      <w:pPr>
        <w:widowControl w:val="0"/>
        <w:tabs>
          <w:tab w:val="left" w:pos="8640"/>
        </w:tabs>
        <w:wordWrap w:val="0"/>
        <w:autoSpaceDE w:val="0"/>
        <w:autoSpaceDN w:val="0"/>
        <w:adjustRightInd w:val="0"/>
        <w:spacing w:line="360" w:lineRule="auto"/>
        <w:ind w:right="0" w:rightChars="0"/>
        <w:jc w:val="right"/>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rPr>
        <w:t>格尔软件股份有限公司</w:t>
      </w:r>
      <w:r>
        <w:rPr>
          <w:rFonts w:hint="eastAsia" w:ascii="Times New Roman" w:hAnsi="Times New Roman" w:eastAsia="宋体" w:cs="Times New Roman"/>
          <w:color w:val="000000"/>
          <w:sz w:val="24"/>
          <w:szCs w:val="24"/>
          <w:lang w:val="en-US" w:eastAsia="zh-CN"/>
        </w:rPr>
        <w:t>监</w:t>
      </w:r>
      <w:r>
        <w:rPr>
          <w:rFonts w:hint="default" w:ascii="Times New Roman" w:hAnsi="Times New Roman" w:eastAsia="宋体" w:cs="Times New Roman"/>
          <w:color w:val="000000"/>
          <w:sz w:val="24"/>
          <w:szCs w:val="24"/>
          <w:lang w:val="en-US" w:eastAsia="zh-CN"/>
        </w:rPr>
        <w:t>事会</w:t>
      </w:r>
    </w:p>
    <w:p>
      <w:pPr>
        <w:widowControl w:val="0"/>
        <w:wordWrap w:val="0"/>
        <w:autoSpaceDE w:val="0"/>
        <w:autoSpaceDN w:val="0"/>
        <w:adjustRightInd w:val="0"/>
        <w:spacing w:line="360" w:lineRule="auto"/>
        <w:ind w:right="0" w:rightChars="0"/>
        <w:jc w:val="right"/>
        <w:rPr>
          <w:rFonts w:hint="eastAsia" w:ascii="Times New Roman" w:hAnsi="Times New Roman" w:eastAsia="宋体" w:cs="Times New Roman"/>
          <w:color w:val="000000"/>
          <w:sz w:val="24"/>
          <w:szCs w:val="24"/>
          <w:lang w:eastAsia="zh-CN"/>
        </w:rPr>
      </w:pPr>
      <w:r>
        <w:rPr>
          <w:rFonts w:hint="default" w:ascii="Times New Roman" w:hAnsi="Times New Roman" w:eastAsia="宋体" w:cs="Times New Roman"/>
          <w:color w:val="000000"/>
          <w:sz w:val="24"/>
          <w:szCs w:val="24"/>
          <w:highlight w:val="none"/>
          <w:lang w:val="en-US" w:eastAsia="zh-CN"/>
        </w:rPr>
        <w:t>202</w:t>
      </w:r>
      <w:r>
        <w:rPr>
          <w:rFonts w:hint="eastAsia" w:ascii="Times New Roman" w:hAnsi="Times New Roman"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rPr>
        <w:t>年4月</w:t>
      </w:r>
      <w:r>
        <w:rPr>
          <w:rFonts w:hint="default" w:ascii="Times New Roman" w:hAnsi="Times New Roman" w:eastAsia="宋体" w:cs="Times New Roman"/>
          <w:color w:val="000000"/>
          <w:sz w:val="24"/>
          <w:szCs w:val="24"/>
          <w:highlight w:val="none"/>
          <w:lang w:val="en-US" w:eastAsia="zh-CN"/>
        </w:rPr>
        <w:t>2</w:t>
      </w:r>
      <w:r>
        <w:rPr>
          <w:rFonts w:hint="eastAsia" w:ascii="Times New Roman" w:hAnsi="Times New Roman"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B4D978"/>
    <w:multiLevelType w:val="singleLevel"/>
    <w:tmpl w:val="FEB4D978"/>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F9164A"/>
    <w:rsid w:val="00491A48"/>
    <w:rsid w:val="018E4822"/>
    <w:rsid w:val="027576DF"/>
    <w:rsid w:val="02AF4FED"/>
    <w:rsid w:val="0340634D"/>
    <w:rsid w:val="049C0D81"/>
    <w:rsid w:val="04BC2DF0"/>
    <w:rsid w:val="04BD6B13"/>
    <w:rsid w:val="050F3BF1"/>
    <w:rsid w:val="051D5553"/>
    <w:rsid w:val="05202816"/>
    <w:rsid w:val="05B5678A"/>
    <w:rsid w:val="075E313A"/>
    <w:rsid w:val="07832D9E"/>
    <w:rsid w:val="083E47F0"/>
    <w:rsid w:val="08977F70"/>
    <w:rsid w:val="08C60F31"/>
    <w:rsid w:val="08F9164A"/>
    <w:rsid w:val="097203F7"/>
    <w:rsid w:val="0AC149D4"/>
    <w:rsid w:val="0BC4590D"/>
    <w:rsid w:val="0BE8347C"/>
    <w:rsid w:val="0F34760A"/>
    <w:rsid w:val="0FBD3F46"/>
    <w:rsid w:val="100E2521"/>
    <w:rsid w:val="11535FD3"/>
    <w:rsid w:val="11B55FCB"/>
    <w:rsid w:val="11FA498B"/>
    <w:rsid w:val="15462F97"/>
    <w:rsid w:val="15E54F66"/>
    <w:rsid w:val="17391ED0"/>
    <w:rsid w:val="17965A93"/>
    <w:rsid w:val="17A17C4F"/>
    <w:rsid w:val="17E62CEF"/>
    <w:rsid w:val="1A041605"/>
    <w:rsid w:val="1D36117A"/>
    <w:rsid w:val="1DE640C3"/>
    <w:rsid w:val="1E125A00"/>
    <w:rsid w:val="1F6C3676"/>
    <w:rsid w:val="24342933"/>
    <w:rsid w:val="246F3D27"/>
    <w:rsid w:val="26E17AB5"/>
    <w:rsid w:val="29792ABC"/>
    <w:rsid w:val="29A7485D"/>
    <w:rsid w:val="2A777470"/>
    <w:rsid w:val="2DF44503"/>
    <w:rsid w:val="2E4E7A2B"/>
    <w:rsid w:val="2E80779D"/>
    <w:rsid w:val="2F5A6993"/>
    <w:rsid w:val="319378E2"/>
    <w:rsid w:val="3340749F"/>
    <w:rsid w:val="34E7249A"/>
    <w:rsid w:val="356419B4"/>
    <w:rsid w:val="37A1560B"/>
    <w:rsid w:val="384D6E76"/>
    <w:rsid w:val="38725EE0"/>
    <w:rsid w:val="38D05A6D"/>
    <w:rsid w:val="390212BA"/>
    <w:rsid w:val="397D10DC"/>
    <w:rsid w:val="39B02A11"/>
    <w:rsid w:val="3AF7441B"/>
    <w:rsid w:val="3C295A99"/>
    <w:rsid w:val="3EE1443F"/>
    <w:rsid w:val="3EE71B36"/>
    <w:rsid w:val="3EFB2631"/>
    <w:rsid w:val="40461D28"/>
    <w:rsid w:val="40502228"/>
    <w:rsid w:val="41840FC3"/>
    <w:rsid w:val="42FD048C"/>
    <w:rsid w:val="432B625C"/>
    <w:rsid w:val="433B62FA"/>
    <w:rsid w:val="43426F87"/>
    <w:rsid w:val="447B1478"/>
    <w:rsid w:val="463E060B"/>
    <w:rsid w:val="48000720"/>
    <w:rsid w:val="49721DBB"/>
    <w:rsid w:val="4A0E310F"/>
    <w:rsid w:val="4AFD1F57"/>
    <w:rsid w:val="4B501A2D"/>
    <w:rsid w:val="4C565D83"/>
    <w:rsid w:val="4CAD5B18"/>
    <w:rsid w:val="4EB268E1"/>
    <w:rsid w:val="516C6209"/>
    <w:rsid w:val="549A5A7A"/>
    <w:rsid w:val="56AF6ADB"/>
    <w:rsid w:val="56FD7F32"/>
    <w:rsid w:val="59DB62D9"/>
    <w:rsid w:val="5B215250"/>
    <w:rsid w:val="5C646231"/>
    <w:rsid w:val="5D633BC6"/>
    <w:rsid w:val="604E6A0A"/>
    <w:rsid w:val="609A26F5"/>
    <w:rsid w:val="61FC78BC"/>
    <w:rsid w:val="64274C3E"/>
    <w:rsid w:val="65AC5B21"/>
    <w:rsid w:val="66066C4D"/>
    <w:rsid w:val="6736715E"/>
    <w:rsid w:val="67BF6746"/>
    <w:rsid w:val="683A721E"/>
    <w:rsid w:val="688A543D"/>
    <w:rsid w:val="68BA5CE9"/>
    <w:rsid w:val="692A202C"/>
    <w:rsid w:val="693D6027"/>
    <w:rsid w:val="69760C36"/>
    <w:rsid w:val="6B797D08"/>
    <w:rsid w:val="6B7F203F"/>
    <w:rsid w:val="6C115050"/>
    <w:rsid w:val="6C360C93"/>
    <w:rsid w:val="6DBF37EC"/>
    <w:rsid w:val="6E471F02"/>
    <w:rsid w:val="6FE038CD"/>
    <w:rsid w:val="6FF274AB"/>
    <w:rsid w:val="70170448"/>
    <w:rsid w:val="70BD7855"/>
    <w:rsid w:val="716E7BB1"/>
    <w:rsid w:val="73911D1F"/>
    <w:rsid w:val="75A620CB"/>
    <w:rsid w:val="76CC503A"/>
    <w:rsid w:val="776179CD"/>
    <w:rsid w:val="7A656D7F"/>
    <w:rsid w:val="7A75045A"/>
    <w:rsid w:val="7B1B3353"/>
    <w:rsid w:val="7BC13C07"/>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paragraph" w:styleId="5">
    <w:name w:val="List Paragraph"/>
    <w:basedOn w:val="1"/>
    <w:qFormat/>
    <w:uiPriority w:val="1"/>
    <w:pPr>
      <w:spacing w:before="159"/>
      <w:ind w:left="1018" w:right="213" w:hanging="42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3683</Words>
  <Characters>3987</Characters>
  <Lines>0</Lines>
  <Paragraphs>0</Paragraphs>
  <TotalTime>23</TotalTime>
  <ScaleCrop>false</ScaleCrop>
  <LinksUpToDate>false</LinksUpToDate>
  <CharactersWithSpaces>4007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2022-02-23T02:40:00Z</dcterms:created>
  <dc:creator>邹岩</dc:creator>
  <cp:lastModifiedBy>邹岩</cp:lastModifiedBy>
  <dcterms:modified xsi:type="dcterms:W3CDTF">2022-04-23T06:36:05Z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E9A70BBED14943BE8DF905B52A1973A3</vt:lpwstr>
  </property>
  <property fmtid="{D5CDD505-2E9C-101B-9397-08002B2CF9AE}" pid="4" name="commondata">
    <vt:lpwstr>eyJoZGlkIjoiZWUyYWQ5MTRiODJkMzMyNTEyOWUyNjA4ZWY1NmI1OTUifQ==</vt:lpwstr>
  </property>
</Properties>
</file>