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ascii="Times New Roman" w:hAnsi="Times New Roman" w:cs="Times New Roman"/>
          <w:color w:val="000000"/>
          <w:szCs w:val="21"/>
        </w:rPr>
      </w:pPr>
      <w:bookmarkStart w:id="0" w:name="_GoBack"/>
      <w:bookmarkEnd w:id="0"/>
      <w:r>
        <w:rPr>
          <w:rFonts w:hint="eastAsia" w:ascii="Times New Roman" w:hAnsi="Times New Roman" w:cs="Times New Roman"/>
          <w:szCs w:val="21"/>
        </w:rPr>
        <w:t>证</w:t>
      </w:r>
      <w:r>
        <w:rPr>
          <w:rFonts w:ascii="Times New Roman" w:hAnsi="Times New Roman" w:cs="Times New Roman"/>
          <w:szCs w:val="21"/>
        </w:rPr>
        <w:t>券代码：603232                证券简称：格尔软件             公告编号：202</w:t>
      </w:r>
      <w:r>
        <w:rPr>
          <w:rFonts w:hint="eastAsia" w:ascii="Times New Roman" w:hAnsi="Times New Roman" w:cs="Times New Roman"/>
          <w:szCs w:val="21"/>
        </w:rPr>
        <w:t>2-036</w:t>
      </w:r>
    </w:p>
    <w:p>
      <w:pPr>
        <w:autoSpaceDE w:val="0"/>
        <w:autoSpaceDN w:val="0"/>
        <w:adjustRightInd w:val="0"/>
        <w:spacing w:before="156" w:beforeLines="50" w:line="360" w:lineRule="auto"/>
        <w:jc w:val="center"/>
        <w:rPr>
          <w:rFonts w:ascii="Times New Roman" w:hAnsi="Times New Roman" w:eastAsia="黑体" w:cs="Times New Roman"/>
          <w:b/>
          <w:color w:val="FF0000"/>
          <w:sz w:val="36"/>
          <w:szCs w:val="36"/>
        </w:rPr>
      </w:pPr>
      <w:r>
        <w:rPr>
          <w:rFonts w:ascii="Times New Roman" w:hAnsi="Times New Roman" w:eastAsia="黑体" w:cs="Times New Roman"/>
          <w:b/>
          <w:color w:val="FF0000"/>
          <w:sz w:val="36"/>
          <w:szCs w:val="36"/>
        </w:rPr>
        <w:t>格尔软件股份有限公司</w:t>
      </w:r>
    </w:p>
    <w:p>
      <w:pPr>
        <w:autoSpaceDE w:val="0"/>
        <w:autoSpaceDN w:val="0"/>
        <w:adjustRightInd w:val="0"/>
        <w:spacing w:line="360" w:lineRule="auto"/>
        <w:jc w:val="center"/>
        <w:rPr>
          <w:rFonts w:ascii="Times New Roman" w:hAnsi="Times New Roman" w:eastAsia="黑体" w:cs="Times New Roman"/>
          <w:b/>
          <w:color w:val="FF0000"/>
          <w:sz w:val="36"/>
          <w:szCs w:val="36"/>
        </w:rPr>
      </w:pPr>
      <w:r>
        <w:rPr>
          <w:rFonts w:ascii="Times New Roman" w:hAnsi="Times New Roman" w:eastAsia="黑体" w:cs="Times New Roman"/>
          <w:b/>
          <w:color w:val="FF0000"/>
          <w:sz w:val="36"/>
          <w:szCs w:val="36"/>
        </w:rPr>
        <w:t>第</w:t>
      </w:r>
      <w:r>
        <w:rPr>
          <w:rFonts w:hint="eastAsia" w:ascii="Times New Roman" w:hAnsi="Times New Roman" w:eastAsia="黑体" w:cs="Times New Roman"/>
          <w:b/>
          <w:color w:val="FF0000"/>
          <w:sz w:val="36"/>
          <w:szCs w:val="36"/>
        </w:rPr>
        <w:t>八</w:t>
      </w:r>
      <w:r>
        <w:rPr>
          <w:rFonts w:ascii="Times New Roman" w:hAnsi="Times New Roman" w:eastAsia="黑体" w:cs="Times New Roman"/>
          <w:b/>
          <w:color w:val="FF0000"/>
          <w:sz w:val="36"/>
          <w:szCs w:val="36"/>
        </w:rPr>
        <w:t>届监事会第</w:t>
      </w:r>
      <w:r>
        <w:rPr>
          <w:rFonts w:hint="eastAsia" w:ascii="Times New Roman" w:hAnsi="Times New Roman" w:eastAsia="黑体" w:cs="Times New Roman"/>
          <w:b/>
          <w:color w:val="FF0000"/>
          <w:sz w:val="36"/>
          <w:szCs w:val="36"/>
        </w:rPr>
        <w:t>二</w:t>
      </w:r>
      <w:r>
        <w:rPr>
          <w:rFonts w:ascii="Times New Roman" w:hAnsi="Times New Roman" w:eastAsia="黑体" w:cs="Times New Roman"/>
          <w:b/>
          <w:color w:val="FF0000"/>
          <w:sz w:val="36"/>
          <w:szCs w:val="36"/>
        </w:rPr>
        <w:t>次会议决议公告</w:t>
      </w:r>
    </w:p>
    <w:p>
      <w:pPr>
        <w:pStyle w:val="9"/>
        <w:pBdr>
          <w:top w:val="single" w:color="auto" w:sz="4" w:space="1"/>
          <w:left w:val="single" w:color="auto" w:sz="4" w:space="4"/>
          <w:bottom w:val="single" w:color="auto" w:sz="4" w:space="1"/>
          <w:right w:val="single" w:color="auto" w:sz="4" w:space="4"/>
        </w:pBdr>
        <w:spacing w:line="360" w:lineRule="auto"/>
        <w:ind w:firstLine="560"/>
        <w:jc w:val="both"/>
        <w:rPr>
          <w:rFonts w:ascii="Times New Roman" w:hAnsi="Times New Roman" w:eastAsia="宋体"/>
        </w:rPr>
      </w:pPr>
      <w:r>
        <w:rPr>
          <w:rFonts w:ascii="Times New Roman" w:hAnsi="Times New Roman" w:eastAsia="宋体"/>
        </w:rPr>
        <w:t>本公司监事会及全体监事保证本公告内容不存在任何虚假记载、误导性陈述或者重大遗漏，并对其内容的真实性、准确性和完整性承担</w:t>
      </w:r>
      <w:r>
        <w:rPr>
          <w:rFonts w:hint="eastAsia" w:ascii="Times New Roman" w:hAnsi="Times New Roman" w:eastAsia="宋体"/>
        </w:rPr>
        <w:t>法律</w:t>
      </w:r>
      <w:r>
        <w:rPr>
          <w:rFonts w:ascii="Times New Roman" w:hAnsi="Times New Roman" w:eastAsia="宋体"/>
        </w:rPr>
        <w:t>责任。</w:t>
      </w:r>
    </w:p>
    <w:p>
      <w:pPr>
        <w:widowControl/>
        <w:snapToGrid w:val="0"/>
        <w:spacing w:before="156" w:beforeLines="50" w:line="360" w:lineRule="auto"/>
        <w:ind w:firstLine="480" w:firstLineChars="200"/>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格尔软件股份有限公司（以下简称</w:t>
      </w:r>
      <w:r>
        <w:rPr>
          <w:rFonts w:hint="eastAsia" w:ascii="Times New Roman" w:hAnsi="Times New Roman" w:eastAsia="宋体" w:cs="Times New Roman"/>
          <w:color w:val="000000"/>
          <w:kern w:val="0"/>
          <w:sz w:val="24"/>
        </w:rPr>
        <w:t>“</w:t>
      </w:r>
      <w:r>
        <w:rPr>
          <w:rFonts w:ascii="Times New Roman" w:hAnsi="Times New Roman" w:eastAsia="宋体" w:cs="Times New Roman"/>
          <w:color w:val="000000"/>
          <w:kern w:val="0"/>
          <w:sz w:val="24"/>
        </w:rPr>
        <w:t>公司</w:t>
      </w:r>
      <w:r>
        <w:rPr>
          <w:rFonts w:hint="eastAsia" w:ascii="Times New Roman" w:hAnsi="Times New Roman" w:eastAsia="宋体" w:cs="Times New Roman"/>
          <w:color w:val="000000"/>
          <w:kern w:val="0"/>
          <w:sz w:val="24"/>
        </w:rPr>
        <w:t>”</w:t>
      </w:r>
      <w:r>
        <w:rPr>
          <w:rFonts w:ascii="Times New Roman" w:hAnsi="Times New Roman" w:eastAsia="宋体" w:cs="Times New Roman"/>
          <w:color w:val="000000"/>
          <w:kern w:val="0"/>
          <w:sz w:val="24"/>
        </w:rPr>
        <w:t>）第</w:t>
      </w:r>
      <w:r>
        <w:rPr>
          <w:rFonts w:hint="eastAsia" w:ascii="Times New Roman" w:hAnsi="Times New Roman" w:eastAsia="宋体" w:cs="Times New Roman"/>
          <w:color w:val="000000"/>
          <w:kern w:val="0"/>
          <w:sz w:val="24"/>
        </w:rPr>
        <w:t>八</w:t>
      </w:r>
      <w:r>
        <w:rPr>
          <w:rFonts w:ascii="Times New Roman" w:hAnsi="Times New Roman" w:eastAsia="宋体" w:cs="Times New Roman"/>
          <w:color w:val="000000"/>
          <w:kern w:val="0"/>
          <w:sz w:val="24"/>
        </w:rPr>
        <w:t>届监事会第</w:t>
      </w:r>
      <w:r>
        <w:rPr>
          <w:rFonts w:hint="eastAsia" w:ascii="Times New Roman" w:hAnsi="Times New Roman" w:eastAsia="宋体" w:cs="Times New Roman"/>
          <w:color w:val="000000"/>
          <w:kern w:val="0"/>
          <w:sz w:val="24"/>
        </w:rPr>
        <w:t>二</w:t>
      </w:r>
      <w:r>
        <w:rPr>
          <w:rFonts w:ascii="Times New Roman" w:hAnsi="Times New Roman" w:eastAsia="宋体" w:cs="Times New Roman"/>
          <w:color w:val="000000"/>
          <w:kern w:val="0"/>
          <w:sz w:val="24"/>
        </w:rPr>
        <w:t>次会议于202</w:t>
      </w:r>
      <w:r>
        <w:rPr>
          <w:rFonts w:hint="eastAsia" w:ascii="Times New Roman" w:hAnsi="Times New Roman" w:eastAsia="宋体" w:cs="Times New Roman"/>
          <w:color w:val="000000"/>
          <w:kern w:val="0"/>
          <w:sz w:val="24"/>
        </w:rPr>
        <w:t>2</w:t>
      </w:r>
      <w:r>
        <w:rPr>
          <w:rFonts w:ascii="Times New Roman" w:hAnsi="Times New Roman" w:eastAsia="宋体" w:cs="Times New Roman"/>
          <w:color w:val="000000"/>
          <w:kern w:val="0"/>
          <w:sz w:val="24"/>
        </w:rPr>
        <w:t>年</w:t>
      </w:r>
      <w:r>
        <w:rPr>
          <w:rFonts w:hint="eastAsia" w:ascii="Times New Roman" w:hAnsi="Times New Roman" w:eastAsia="宋体" w:cs="Times New Roman"/>
          <w:color w:val="000000"/>
          <w:kern w:val="0"/>
          <w:sz w:val="24"/>
        </w:rPr>
        <w:t>7</w:t>
      </w:r>
      <w:r>
        <w:rPr>
          <w:rFonts w:ascii="Times New Roman" w:hAnsi="Times New Roman" w:eastAsia="宋体" w:cs="Times New Roman"/>
          <w:color w:val="000000"/>
          <w:kern w:val="0"/>
          <w:sz w:val="24"/>
        </w:rPr>
        <w:t>月</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日以书面形式发出通知，并于20</w:t>
      </w:r>
      <w:r>
        <w:rPr>
          <w:rFonts w:hint="eastAsia" w:ascii="Times New Roman" w:hAnsi="Times New Roman" w:eastAsia="宋体" w:cs="Times New Roman"/>
          <w:color w:val="000000"/>
          <w:kern w:val="0"/>
          <w:sz w:val="24"/>
        </w:rPr>
        <w:t>22</w:t>
      </w:r>
      <w:r>
        <w:rPr>
          <w:rFonts w:ascii="Times New Roman" w:hAnsi="Times New Roman" w:eastAsia="宋体" w:cs="Times New Roman"/>
          <w:color w:val="000000"/>
          <w:kern w:val="0"/>
          <w:sz w:val="24"/>
        </w:rPr>
        <w:t>年</w:t>
      </w:r>
      <w:r>
        <w:rPr>
          <w:rFonts w:hint="eastAsia" w:ascii="Times New Roman" w:hAnsi="Times New Roman" w:eastAsia="宋体" w:cs="Times New Roman"/>
          <w:color w:val="000000"/>
          <w:kern w:val="0"/>
          <w:sz w:val="24"/>
        </w:rPr>
        <w:t>7</w:t>
      </w:r>
      <w:r>
        <w:rPr>
          <w:rFonts w:ascii="Times New Roman" w:hAnsi="Times New Roman" w:eastAsia="宋体" w:cs="Times New Roman"/>
          <w:color w:val="000000"/>
          <w:kern w:val="0"/>
          <w:sz w:val="24"/>
        </w:rPr>
        <w:t>月</w:t>
      </w:r>
      <w:r>
        <w:rPr>
          <w:rFonts w:hint="eastAsia" w:ascii="Times New Roman" w:hAnsi="Times New Roman" w:eastAsia="宋体" w:cs="Times New Roman"/>
          <w:color w:val="000000"/>
          <w:kern w:val="0"/>
          <w:sz w:val="24"/>
        </w:rPr>
        <w:t>15</w:t>
      </w:r>
      <w:r>
        <w:rPr>
          <w:rFonts w:ascii="Times New Roman" w:hAnsi="Times New Roman" w:eastAsia="宋体" w:cs="Times New Roman"/>
          <w:color w:val="000000"/>
          <w:kern w:val="0"/>
          <w:sz w:val="24"/>
        </w:rPr>
        <w:t>日下午1</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:00在公司会议室召开。本次会议应到监事3名，实到3名，分别为：黄振东、任伟、</w:t>
      </w:r>
      <w:r>
        <w:rPr>
          <w:rFonts w:hint="eastAsia" w:ascii="Times New Roman" w:hAnsi="Times New Roman" w:eastAsia="宋体" w:cs="Times New Roman"/>
          <w:color w:val="000000"/>
          <w:kern w:val="0"/>
          <w:sz w:val="24"/>
        </w:rPr>
        <w:t>徐英</w:t>
      </w:r>
      <w:r>
        <w:rPr>
          <w:rFonts w:ascii="Times New Roman" w:hAnsi="Times New Roman" w:eastAsia="宋体" w:cs="Times New Roman"/>
          <w:color w:val="000000"/>
          <w:kern w:val="0"/>
          <w:sz w:val="24"/>
        </w:rPr>
        <w:t>。会议的召开符合</w:t>
      </w:r>
      <w:r>
        <w:rPr>
          <w:rFonts w:hint="eastAsia" w:ascii="Times New Roman" w:hAnsi="Times New Roman" w:eastAsia="宋体" w:cs="Times New Roman"/>
          <w:color w:val="000000"/>
          <w:kern w:val="0"/>
          <w:sz w:val="24"/>
        </w:rPr>
        <w:t>《公司法》</w:t>
      </w:r>
      <w:r>
        <w:rPr>
          <w:rFonts w:ascii="Times New Roman" w:hAnsi="Times New Roman" w:eastAsia="宋体" w:cs="Times New Roman"/>
          <w:color w:val="000000"/>
          <w:kern w:val="0"/>
          <w:sz w:val="24"/>
        </w:rPr>
        <w:t>及《公司章程》的有关规定。</w:t>
      </w:r>
    </w:p>
    <w:p>
      <w:pPr>
        <w:snapToGrid w:val="0"/>
        <w:spacing w:line="360" w:lineRule="auto"/>
        <w:ind w:firstLine="480" w:firstLineChars="200"/>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会议以投票的方式审议并通过了以下议案：</w:t>
      </w:r>
    </w:p>
    <w:p>
      <w:pPr>
        <w:numPr>
          <w:ilvl w:val="0"/>
          <w:numId w:val="1"/>
        </w:numPr>
        <w:snapToGrid w:val="0"/>
        <w:spacing w:line="360" w:lineRule="auto"/>
        <w:ind w:firstLine="482"/>
        <w:rPr>
          <w:rFonts w:ascii="Times New Roman" w:hAnsi="Times New Roman" w:eastAsia="宋体" w:cs="Times New Roman"/>
          <w:b/>
          <w:bCs/>
          <w:color w:val="000000"/>
          <w:kern w:val="0"/>
          <w:sz w:val="24"/>
        </w:rPr>
      </w:pPr>
      <w:r>
        <w:rPr>
          <w:rFonts w:hint="eastAsia" w:ascii="Times New Roman" w:hAnsi="Times New Roman" w:cs="Times New Roman"/>
          <w:b/>
          <w:bCs/>
          <w:sz w:val="24"/>
        </w:rPr>
        <w:t>《关于拟注销部分已获授但尚未行权股票期权的议案</w:t>
      </w:r>
      <w:r>
        <w:rPr>
          <w:rFonts w:hint="eastAsia" w:ascii="Times New Roman" w:hAnsi="Times New Roman" w:eastAsia="宋体" w:cs="Times New Roman"/>
          <w:b/>
          <w:bCs/>
          <w:color w:val="000000"/>
          <w:kern w:val="0"/>
          <w:sz w:val="24"/>
        </w:rPr>
        <w:t>》</w:t>
      </w:r>
    </w:p>
    <w:p>
      <w:pPr>
        <w:spacing w:line="360" w:lineRule="auto"/>
        <w:ind w:firstLine="420"/>
        <w:rPr>
          <w:rFonts w:ascii="Times New Roman" w:hAnsi="Times New Roman" w:cs="Times New Roman"/>
          <w:sz w:val="24"/>
          <w:szCs w:val="32"/>
        </w:rPr>
      </w:pPr>
      <w:r>
        <w:rPr>
          <w:rFonts w:hint="eastAsia" w:ascii="Times New Roman" w:hAnsi="Times New Roman" w:cs="Times New Roman"/>
          <w:sz w:val="24"/>
          <w:szCs w:val="32"/>
        </w:rPr>
        <w:t>监事会对本次激励计划部分股票期权注销事项进行核查后，认为：公司2021年股票期权激励计划</w:t>
      </w:r>
      <w:r>
        <w:rPr>
          <w:rFonts w:hint="eastAsia" w:ascii="Times New Roman" w:hAnsi="Times New Roman" w:cs="Times New Roman"/>
          <w:sz w:val="24"/>
          <w:szCs w:val="32"/>
          <w:highlight w:val="none"/>
        </w:rPr>
        <w:t>的7名激励对象已离职，公司注销其已获授但尚未行权的股票期权，符合</w:t>
      </w:r>
      <w:r>
        <w:rPr>
          <w:rFonts w:hint="eastAsia" w:ascii="Times New Roman" w:hAnsi="Times New Roman" w:eastAsia="宋体" w:cs="Times New Roman"/>
          <w:color w:val="000000"/>
          <w:kern w:val="0"/>
          <w:sz w:val="24"/>
          <w:highlight w:val="none"/>
        </w:rPr>
        <w:t>《上市公司股权激励管理办法》（以下简称“《管理办法》）</w:t>
      </w:r>
      <w:r>
        <w:rPr>
          <w:rFonts w:hint="eastAsia" w:ascii="Times New Roman" w:hAnsi="Times New Roman" w:cs="Times New Roman"/>
          <w:sz w:val="24"/>
          <w:szCs w:val="32"/>
          <w:highlight w:val="none"/>
        </w:rPr>
        <w:t>及</w:t>
      </w:r>
      <w:r>
        <w:rPr>
          <w:rFonts w:hint="eastAsia" w:ascii="Times New Roman" w:hAnsi="Times New Roman" w:eastAsia="宋体" w:cs="Times New Roman"/>
          <w:color w:val="000000"/>
          <w:kern w:val="0"/>
          <w:sz w:val="24"/>
          <w:highlight w:val="none"/>
        </w:rPr>
        <w:t>《公司2021年股票期权激励计划（草案）》</w:t>
      </w:r>
      <w:r>
        <w:rPr>
          <w:rFonts w:hint="eastAsia" w:ascii="Times New Roman" w:hAnsi="Times New Roman" w:cs="Times New Roman"/>
          <w:sz w:val="24"/>
          <w:szCs w:val="32"/>
          <w:highlight w:val="none"/>
        </w:rPr>
        <w:t>的相关规定，不会对公司的财务状况和经营成果产生实质影响，不存在损害公司及全体股东利益的情形。本次注销审议决策程序合法合规，关联董事均回避表决，公司独立董事对注销相关事项发表了独立意见，符合公司2021年第一次临时股东大会的相关授权。公司监事会同意对上述已离职激励对象已授予但尚未行权的股票期权合计41.50万份进行注</w:t>
      </w:r>
      <w:r>
        <w:rPr>
          <w:rFonts w:hint="eastAsia" w:ascii="Times New Roman" w:hAnsi="Times New Roman" w:cs="Times New Roman"/>
          <w:sz w:val="24"/>
          <w:szCs w:val="32"/>
        </w:rPr>
        <w:t>销。</w:t>
      </w:r>
    </w:p>
    <w:p>
      <w:pPr>
        <w:spacing w:line="360" w:lineRule="auto"/>
        <w:ind w:firstLine="420"/>
        <w:rPr>
          <w:rFonts w:ascii="Times New Roman" w:hAnsi="Times New Roman" w:cs="Times New Roman"/>
          <w:sz w:val="24"/>
        </w:rPr>
      </w:pPr>
      <w:r>
        <w:rPr>
          <w:rFonts w:ascii="Times New Roman" w:hAnsi="Times New Roman" w:eastAsia="宋体" w:cs="Times New Roman"/>
          <w:sz w:val="24"/>
        </w:rPr>
        <w:t>具体内容请详见公司于202</w:t>
      </w:r>
      <w:r>
        <w:rPr>
          <w:rFonts w:ascii="Times New Roman" w:hAnsi="Times New Roman" w:cs="Times New Roman"/>
          <w:sz w:val="24"/>
        </w:rPr>
        <w:t>2</w:t>
      </w:r>
      <w:r>
        <w:rPr>
          <w:rFonts w:ascii="Times New Roman" w:hAnsi="Times New Roman" w:eastAsia="宋体" w:cs="Times New Roman"/>
          <w:sz w:val="24"/>
        </w:rPr>
        <w:t>年7月</w:t>
      </w:r>
      <w:r>
        <w:rPr>
          <w:rFonts w:ascii="Times New Roman" w:hAnsi="Times New Roman" w:cs="Times New Roman"/>
          <w:sz w:val="24"/>
        </w:rPr>
        <w:t>16</w:t>
      </w:r>
      <w:r>
        <w:rPr>
          <w:rFonts w:ascii="Times New Roman" w:hAnsi="Times New Roman" w:eastAsia="宋体" w:cs="Times New Roman"/>
          <w:sz w:val="24"/>
        </w:rPr>
        <w:t>日刊登于上海证券交易所网站（www.sse.com.cn）及公司指定信息披露媒体《中国证券报》、《上海证券报》、《证券日报》、《证券时报》同日刊登的《</w:t>
      </w:r>
      <w:r>
        <w:rPr>
          <w:rFonts w:hint="eastAsia" w:ascii="Times New Roman" w:hAnsi="Times New Roman" w:eastAsia="宋体" w:cs="Times New Roman"/>
          <w:sz w:val="24"/>
          <w:lang w:eastAsia="zh-CN"/>
        </w:rPr>
        <w:t>格尔软件股份有限公司</w:t>
      </w:r>
      <w:r>
        <w:rPr>
          <w:rFonts w:ascii="Times New Roman" w:hAnsi="Times New Roman" w:eastAsia="宋体" w:cs="Times New Roman"/>
          <w:sz w:val="24"/>
        </w:rPr>
        <w:t>关于2021年股票期权激励计划注销部分股票期权及调整首次授予股票期权行权价格的公告》（公告编号：202</w:t>
      </w:r>
      <w:r>
        <w:rPr>
          <w:rFonts w:hint="eastAsia" w:ascii="Times New Roman" w:hAnsi="Times New Roman" w:eastAsia="宋体" w:cs="Times New Roman"/>
          <w:sz w:val="24"/>
        </w:rPr>
        <w:t>2</w:t>
      </w:r>
      <w:r>
        <w:rPr>
          <w:rFonts w:ascii="Times New Roman" w:hAnsi="Times New Roman" w:eastAsia="宋体" w:cs="Times New Roman"/>
          <w:sz w:val="24"/>
        </w:rPr>
        <w:t>-</w:t>
      </w:r>
      <w:r>
        <w:rPr>
          <w:rFonts w:hint="eastAsia" w:ascii="Times New Roman" w:hAnsi="Times New Roman" w:eastAsia="宋体" w:cs="Times New Roman"/>
          <w:sz w:val="24"/>
        </w:rPr>
        <w:t>037</w:t>
      </w:r>
      <w:r>
        <w:rPr>
          <w:rFonts w:ascii="Times New Roman" w:hAnsi="Times New Roman" w:eastAsia="宋体" w:cs="Times New Roman"/>
          <w:sz w:val="24"/>
        </w:rPr>
        <w:t>）</w:t>
      </w:r>
      <w:r>
        <w:rPr>
          <w:rFonts w:hint="eastAsia" w:ascii="Times New Roman" w:hAnsi="Times New Roman" w:cs="Times New Roman"/>
          <w:sz w:val="24"/>
        </w:rPr>
        <w:t>。</w:t>
      </w:r>
    </w:p>
    <w:p>
      <w:pPr>
        <w:spacing w:line="360" w:lineRule="auto"/>
        <w:ind w:firstLine="420"/>
        <w:rPr>
          <w:rFonts w:ascii="Times New Roman" w:hAnsi="Times New Roman" w:cs="Times New Roman"/>
          <w:sz w:val="24"/>
          <w:szCs w:val="32"/>
        </w:rPr>
      </w:pPr>
      <w:r>
        <w:rPr>
          <w:rFonts w:hint="eastAsia" w:ascii="Times New Roman" w:hAnsi="Times New Roman" w:cs="Times New Roman"/>
          <w:sz w:val="24"/>
          <w:szCs w:val="32"/>
        </w:rPr>
        <w:t>表决结果：同意票3票，反对票0票，弃权票0票，表决通过。</w:t>
      </w:r>
    </w:p>
    <w:p>
      <w:pPr>
        <w:spacing w:line="360" w:lineRule="auto"/>
        <w:ind w:firstLine="420"/>
        <w:rPr>
          <w:rFonts w:ascii="Times New Roman" w:hAnsi="Times New Roman" w:cs="Times New Roman"/>
          <w:sz w:val="24"/>
          <w:szCs w:val="32"/>
        </w:rPr>
      </w:pPr>
    </w:p>
    <w:p>
      <w:pPr>
        <w:numPr>
          <w:ilvl w:val="0"/>
          <w:numId w:val="1"/>
        </w:numPr>
        <w:snapToGrid w:val="0"/>
        <w:spacing w:line="360" w:lineRule="auto"/>
        <w:ind w:firstLine="482"/>
        <w:rPr>
          <w:rFonts w:ascii="Times New Roman" w:hAnsi="Times New Roman" w:eastAsia="宋体" w:cs="Times New Roman"/>
          <w:b/>
          <w:bCs/>
          <w:color w:val="000000"/>
          <w:kern w:val="0"/>
          <w:sz w:val="24"/>
        </w:rPr>
      </w:pPr>
      <w:r>
        <w:rPr>
          <w:rFonts w:hint="eastAsia" w:ascii="Times New Roman" w:hAnsi="Times New Roman" w:cs="Times New Roman"/>
          <w:b/>
          <w:bCs/>
          <w:sz w:val="24"/>
        </w:rPr>
        <w:t>《关于调整公司2021年股票期权激励计划股票期权行权价格的议案</w:t>
      </w:r>
      <w:r>
        <w:rPr>
          <w:rFonts w:hint="eastAsia" w:ascii="Times New Roman" w:hAnsi="Times New Roman" w:eastAsia="宋体" w:cs="Times New Roman"/>
          <w:b/>
          <w:bCs/>
          <w:color w:val="000000"/>
          <w:kern w:val="0"/>
          <w:sz w:val="24"/>
        </w:rPr>
        <w:t>》</w:t>
      </w:r>
    </w:p>
    <w:p>
      <w:pPr>
        <w:snapToGrid w:val="0"/>
        <w:spacing w:line="360" w:lineRule="auto"/>
        <w:ind w:firstLine="420"/>
        <w:rPr>
          <w:rFonts w:ascii="Times New Roman" w:hAnsi="Times New Roman" w:eastAsia="宋体" w:cs="Times New Roman"/>
          <w:color w:val="000000"/>
          <w:kern w:val="0"/>
          <w:sz w:val="24"/>
        </w:rPr>
      </w:pPr>
      <w:r>
        <w:rPr>
          <w:rFonts w:hint="eastAsia" w:ascii="Times New Roman" w:hAnsi="Times New Roman" w:eastAsia="宋体" w:cs="Times New Roman"/>
          <w:color w:val="000000"/>
          <w:kern w:val="0"/>
          <w:sz w:val="24"/>
        </w:rPr>
        <w:t>监事会对本次调整首次授予行权价格事项进行核查后，认为：本次调整符合</w:t>
      </w:r>
      <w:r>
        <w:rPr>
          <w:rFonts w:hint="eastAsia" w:ascii="Times New Roman" w:hAnsi="Times New Roman" w:eastAsia="宋体" w:cs="Times New Roman"/>
          <w:color w:val="000000"/>
          <w:kern w:val="0"/>
          <w:sz w:val="24"/>
          <w:highlight w:val="none"/>
        </w:rPr>
        <w:t>《管理办法》</w:t>
      </w:r>
      <w:r>
        <w:rPr>
          <w:rFonts w:hint="eastAsia" w:ascii="Times New Roman" w:hAnsi="Times New Roman" w:eastAsia="宋体" w:cs="Times New Roman"/>
          <w:color w:val="000000"/>
          <w:kern w:val="0"/>
          <w:sz w:val="24"/>
        </w:rPr>
        <w:t>及《公司2021年股票期权激励计划（草案）》中关于价格调整方法的规定。</w:t>
      </w:r>
      <w:r>
        <w:rPr>
          <w:rFonts w:hint="eastAsia" w:ascii="Times New Roman" w:hAnsi="Times New Roman" w:cs="Times New Roman"/>
          <w:sz w:val="24"/>
          <w:szCs w:val="32"/>
        </w:rPr>
        <w:t>本次调整事项审议决策程序合法合规，关联董事均回避表决，公司独立董事对</w:t>
      </w:r>
      <w:r>
        <w:rPr>
          <w:rFonts w:hint="eastAsia" w:ascii="Times New Roman" w:hAnsi="Times New Roman" w:cs="Times New Roman"/>
          <w:sz w:val="24"/>
        </w:rPr>
        <w:t>调整公司2021年股票期权激励计划</w:t>
      </w:r>
      <w:r>
        <w:rPr>
          <w:rFonts w:ascii="Times New Roman" w:hAnsi="Times New Roman" w:cs="Times New Roman"/>
          <w:color w:val="000000"/>
          <w:sz w:val="24"/>
        </w:rPr>
        <w:t>首次授予股票期权行权价格</w:t>
      </w:r>
      <w:r>
        <w:rPr>
          <w:rFonts w:hint="eastAsia" w:ascii="Times New Roman" w:hAnsi="Times New Roman" w:cs="Times New Roman"/>
          <w:color w:val="000000"/>
          <w:sz w:val="24"/>
        </w:rPr>
        <w:t>的</w:t>
      </w:r>
      <w:r>
        <w:rPr>
          <w:rFonts w:hint="eastAsia" w:ascii="Times New Roman" w:hAnsi="Times New Roman" w:cs="Times New Roman"/>
          <w:sz w:val="24"/>
          <w:szCs w:val="32"/>
        </w:rPr>
        <w:t>相关事项发表了独立意见。</w:t>
      </w:r>
      <w:r>
        <w:rPr>
          <w:rFonts w:hint="eastAsia" w:ascii="Times New Roman" w:hAnsi="Times New Roman" w:eastAsia="宋体" w:cs="Times New Roman"/>
          <w:color w:val="000000"/>
          <w:kern w:val="0"/>
          <w:sz w:val="24"/>
        </w:rPr>
        <w:t>公司监事会同意本次激励计划首次授予股票期权的行权价格由13.58元/股调整为13.45元/股。</w:t>
      </w:r>
    </w:p>
    <w:p>
      <w:pPr>
        <w:snapToGrid w:val="0"/>
        <w:spacing w:line="360" w:lineRule="auto"/>
        <w:ind w:firstLine="420"/>
        <w:rPr>
          <w:rFonts w:ascii="Times New Roman" w:hAnsi="Times New Roman" w:eastAsia="宋体" w:cs="Times New Roman"/>
          <w:color w:val="000000"/>
          <w:kern w:val="0"/>
          <w:sz w:val="24"/>
        </w:rPr>
      </w:pPr>
      <w:r>
        <w:rPr>
          <w:rFonts w:ascii="Times New Roman" w:hAnsi="Times New Roman" w:eastAsia="宋体" w:cs="Times New Roman"/>
          <w:sz w:val="24"/>
        </w:rPr>
        <w:t>具体内容请详见公司于202</w:t>
      </w:r>
      <w:r>
        <w:rPr>
          <w:rFonts w:ascii="Times New Roman" w:hAnsi="Times New Roman" w:cs="Times New Roman"/>
          <w:sz w:val="24"/>
        </w:rPr>
        <w:t>2</w:t>
      </w:r>
      <w:r>
        <w:rPr>
          <w:rFonts w:ascii="Times New Roman" w:hAnsi="Times New Roman" w:eastAsia="宋体" w:cs="Times New Roman"/>
          <w:sz w:val="24"/>
        </w:rPr>
        <w:t>年7月</w:t>
      </w:r>
      <w:r>
        <w:rPr>
          <w:rFonts w:ascii="Times New Roman" w:hAnsi="Times New Roman" w:cs="Times New Roman"/>
          <w:sz w:val="24"/>
        </w:rPr>
        <w:t>16</w:t>
      </w:r>
      <w:r>
        <w:rPr>
          <w:rFonts w:ascii="Times New Roman" w:hAnsi="Times New Roman" w:eastAsia="宋体" w:cs="Times New Roman"/>
          <w:sz w:val="24"/>
        </w:rPr>
        <w:t>日刊登于上海证券交易所网站（www.sse.com.cn）及公司指定信息披露媒体《中国证券报》、《上海证券报》、《证券日报》、《证券时报》同日刊登的《</w:t>
      </w:r>
      <w:r>
        <w:rPr>
          <w:rFonts w:hint="eastAsia" w:ascii="Times New Roman" w:hAnsi="Times New Roman" w:eastAsia="宋体" w:cs="Times New Roman"/>
          <w:sz w:val="24"/>
          <w:lang w:eastAsia="zh-CN"/>
        </w:rPr>
        <w:t>格尔软件股份有限公司</w:t>
      </w:r>
      <w:r>
        <w:rPr>
          <w:rFonts w:ascii="Times New Roman" w:hAnsi="Times New Roman" w:eastAsia="宋体" w:cs="Times New Roman"/>
          <w:sz w:val="24"/>
        </w:rPr>
        <w:t>关于2021年股票期权激励计划注销部分股票期权及调整首次授予股票期权行权价格的公告》（公告编号：202</w:t>
      </w:r>
      <w:r>
        <w:rPr>
          <w:rFonts w:ascii="Times New Roman" w:hAnsi="Times New Roman" w:cs="Times New Roman"/>
          <w:sz w:val="24"/>
        </w:rPr>
        <w:t>2</w:t>
      </w:r>
      <w:r>
        <w:rPr>
          <w:rFonts w:ascii="Times New Roman" w:hAnsi="Times New Roman" w:eastAsia="宋体" w:cs="Times New Roman"/>
          <w:sz w:val="24"/>
        </w:rPr>
        <w:t>-</w:t>
      </w:r>
      <w:r>
        <w:rPr>
          <w:rFonts w:ascii="Times New Roman" w:hAnsi="Times New Roman" w:cs="Times New Roman"/>
          <w:sz w:val="24"/>
        </w:rPr>
        <w:t>03</w:t>
      </w:r>
      <w:r>
        <w:rPr>
          <w:rFonts w:hint="eastAsia" w:ascii="Times New Roman" w:hAnsi="Times New Roman" w:cs="Times New Roman"/>
          <w:sz w:val="24"/>
        </w:rPr>
        <w:t>7</w:t>
      </w:r>
      <w:r>
        <w:rPr>
          <w:rFonts w:ascii="Times New Roman" w:hAnsi="Times New Roman" w:eastAsia="宋体" w:cs="Times New Roman"/>
          <w:sz w:val="24"/>
        </w:rPr>
        <w:t>）</w:t>
      </w:r>
      <w:r>
        <w:rPr>
          <w:rFonts w:hint="eastAsia" w:ascii="Times New Roman" w:hAnsi="Times New Roman" w:cs="Times New Roman"/>
          <w:sz w:val="24"/>
        </w:rPr>
        <w:t>。</w:t>
      </w:r>
    </w:p>
    <w:p>
      <w:pPr>
        <w:spacing w:line="360" w:lineRule="auto"/>
        <w:ind w:firstLine="420"/>
        <w:rPr>
          <w:rFonts w:ascii="Times New Roman" w:hAnsi="Times New Roman" w:cs="Times New Roman"/>
          <w:sz w:val="24"/>
          <w:szCs w:val="32"/>
        </w:rPr>
      </w:pPr>
      <w:r>
        <w:rPr>
          <w:rFonts w:hint="eastAsia" w:ascii="Times New Roman" w:hAnsi="Times New Roman" w:cs="Times New Roman"/>
          <w:sz w:val="24"/>
          <w:szCs w:val="32"/>
        </w:rPr>
        <w:t>表决结果：同意票3票，反对票0票，弃权票0票，表决通过。</w:t>
      </w:r>
    </w:p>
    <w:p>
      <w:pPr>
        <w:snapToGrid w:val="0"/>
        <w:spacing w:line="360" w:lineRule="auto"/>
        <w:ind w:firstLine="420"/>
        <w:rPr>
          <w:rFonts w:ascii="Times New Roman" w:hAnsi="Times New Roman" w:eastAsia="宋体" w:cs="Times New Roman"/>
          <w:color w:val="000000"/>
          <w:kern w:val="0"/>
          <w:sz w:val="24"/>
        </w:rPr>
      </w:pPr>
    </w:p>
    <w:p>
      <w:pPr>
        <w:numPr>
          <w:ilvl w:val="0"/>
          <w:numId w:val="1"/>
        </w:numPr>
        <w:snapToGrid w:val="0"/>
        <w:spacing w:line="360" w:lineRule="auto"/>
        <w:ind w:firstLine="482"/>
        <w:rPr>
          <w:rFonts w:ascii="Times New Roman" w:hAnsi="Times New Roman" w:eastAsia="宋体" w:cs="Times New Roman"/>
          <w:b/>
          <w:bCs/>
          <w:color w:val="000000"/>
          <w:kern w:val="0"/>
          <w:sz w:val="24"/>
        </w:rPr>
      </w:pPr>
      <w:r>
        <w:rPr>
          <w:rFonts w:hint="eastAsia" w:ascii="Times New Roman" w:hAnsi="Times New Roman" w:cs="Times New Roman"/>
          <w:b/>
          <w:bCs/>
          <w:sz w:val="24"/>
        </w:rPr>
        <w:t>《关于2021年股票期权激励计划首次授予股票期权第一个行权期行权条件达成的议案</w:t>
      </w:r>
      <w:r>
        <w:rPr>
          <w:rFonts w:hint="eastAsia" w:ascii="Times New Roman" w:hAnsi="Times New Roman" w:eastAsia="宋体" w:cs="Times New Roman"/>
          <w:b/>
          <w:bCs/>
          <w:color w:val="000000"/>
          <w:kern w:val="0"/>
          <w:sz w:val="24"/>
        </w:rPr>
        <w:t>》</w:t>
      </w:r>
    </w:p>
    <w:p>
      <w:pPr>
        <w:snapToGrid w:val="0"/>
        <w:spacing w:line="360" w:lineRule="auto"/>
        <w:ind w:firstLine="420"/>
        <w:rPr>
          <w:rFonts w:ascii="Times New Roman" w:hAnsi="Times New Roman" w:eastAsia="宋体" w:cs="Times New Roman"/>
          <w:color w:val="000000"/>
          <w:kern w:val="0"/>
          <w:sz w:val="24"/>
        </w:rPr>
      </w:pPr>
      <w:r>
        <w:rPr>
          <w:rFonts w:hint="eastAsia" w:ascii="Times New Roman" w:hAnsi="Times New Roman" w:eastAsia="宋体" w:cs="Times New Roman"/>
          <w:color w:val="000000"/>
          <w:kern w:val="0"/>
          <w:sz w:val="24"/>
        </w:rPr>
        <w:t>监事会根据《公司2021年股票期权激励计划（草案）</w:t>
      </w:r>
      <w:r>
        <w:rPr>
          <w:rFonts w:ascii="Times New Roman" w:hAnsi="Times New Roman" w:eastAsia="宋体" w:cs="Times New Roman"/>
          <w:color w:val="000000"/>
          <w:kern w:val="0"/>
          <w:sz w:val="24"/>
        </w:rPr>
        <w:t>》及《公司2021年股票期权激励计划实施考核管理办法》中规定的行权条件进行了审核，</w:t>
      </w:r>
      <w:r>
        <w:rPr>
          <w:rFonts w:hint="eastAsia" w:ascii="Times New Roman" w:hAnsi="Times New Roman" w:eastAsia="宋体" w:cs="Times New Roman"/>
          <w:color w:val="000000"/>
          <w:kern w:val="0"/>
          <w:sz w:val="24"/>
        </w:rPr>
        <w:t>认为：</w:t>
      </w:r>
      <w:r>
        <w:rPr>
          <w:rFonts w:ascii="Times New Roman" w:hAnsi="Times New Roman" w:eastAsia="宋体" w:cs="Times New Roman"/>
          <w:color w:val="000000"/>
          <w:kern w:val="0"/>
          <w:sz w:val="24"/>
        </w:rPr>
        <w:t>公司2021年股票期权激励计划的第一个行权期行权条件已达成，各激励对象个人绩效考核结果合规、真实，不存在虚假、故意隐瞒或致人重大误解之处</w:t>
      </w:r>
      <w:r>
        <w:rPr>
          <w:rFonts w:hint="eastAsia" w:ascii="Times New Roman" w:hAnsi="Times New Roman" w:eastAsia="宋体" w:cs="Times New Roman"/>
          <w:color w:val="000000"/>
          <w:kern w:val="0"/>
          <w:sz w:val="24"/>
        </w:rPr>
        <w:t>，</w:t>
      </w:r>
      <w:r>
        <w:rPr>
          <w:rFonts w:ascii="Times New Roman" w:hAnsi="Times New Roman" w:eastAsia="宋体" w:cs="Times New Roman"/>
          <w:color w:val="000000"/>
          <w:kern w:val="0"/>
          <w:sz w:val="24"/>
        </w:rPr>
        <w:t>符合相关法律、法规及规范性文件所规定的条件，不存在损害公司及全体股东利益的情形。</w:t>
      </w:r>
    </w:p>
    <w:p>
      <w:pPr>
        <w:snapToGrid w:val="0"/>
        <w:spacing w:line="360" w:lineRule="auto"/>
        <w:ind w:firstLine="420"/>
        <w:rPr>
          <w:rFonts w:ascii="Times New Roman" w:hAnsi="Times New Roman" w:eastAsia="宋体" w:cs="Times New Roman"/>
          <w:sz w:val="24"/>
        </w:rPr>
      </w:pPr>
      <w:r>
        <w:rPr>
          <w:rFonts w:ascii="Times New Roman" w:hAnsi="Times New Roman" w:eastAsia="宋体" w:cs="Times New Roman"/>
          <w:sz w:val="24"/>
        </w:rPr>
        <w:t>具体内容请详见公司于202</w:t>
      </w:r>
      <w:r>
        <w:rPr>
          <w:rFonts w:ascii="Times New Roman" w:hAnsi="Times New Roman" w:cs="Times New Roman"/>
          <w:sz w:val="24"/>
        </w:rPr>
        <w:t>2</w:t>
      </w:r>
      <w:r>
        <w:rPr>
          <w:rFonts w:ascii="Times New Roman" w:hAnsi="Times New Roman" w:eastAsia="宋体" w:cs="Times New Roman"/>
          <w:sz w:val="24"/>
        </w:rPr>
        <w:t>年7月</w:t>
      </w:r>
      <w:r>
        <w:rPr>
          <w:rFonts w:ascii="Times New Roman" w:hAnsi="Times New Roman" w:cs="Times New Roman"/>
          <w:sz w:val="24"/>
        </w:rPr>
        <w:t>16</w:t>
      </w:r>
      <w:r>
        <w:rPr>
          <w:rFonts w:ascii="Times New Roman" w:hAnsi="Times New Roman" w:eastAsia="宋体" w:cs="Times New Roman"/>
          <w:sz w:val="24"/>
        </w:rPr>
        <w:t>日刊登于上海证券交易所网站（www.sse.com.cn）及公司指定信息披露媒体《中国证券报》、《上海证券报》、《证券日报》、《证券时报》同日刊登的《</w:t>
      </w:r>
      <w:r>
        <w:rPr>
          <w:rFonts w:hint="eastAsia" w:ascii="Times New Roman" w:hAnsi="Times New Roman" w:eastAsia="宋体" w:cs="Times New Roman"/>
          <w:sz w:val="24"/>
          <w:lang w:eastAsia="zh-CN"/>
        </w:rPr>
        <w:t>格尔软件股份有限公司</w:t>
      </w:r>
      <w:r>
        <w:rPr>
          <w:rFonts w:hint="eastAsia" w:ascii="Times New Roman" w:hAnsi="Times New Roman" w:eastAsia="宋体" w:cs="Times New Roman"/>
          <w:sz w:val="24"/>
        </w:rPr>
        <w:t>关于</w:t>
      </w:r>
      <w:r>
        <w:rPr>
          <w:rFonts w:ascii="Times New Roman" w:hAnsi="Times New Roman" w:eastAsia="宋体" w:cs="Times New Roman"/>
          <w:sz w:val="24"/>
        </w:rPr>
        <w:t>2021</w:t>
      </w:r>
      <w:r>
        <w:rPr>
          <w:rFonts w:hint="eastAsia" w:ascii="Times New Roman" w:hAnsi="Times New Roman" w:eastAsia="宋体" w:cs="Times New Roman"/>
          <w:sz w:val="24"/>
        </w:rPr>
        <w:t>年股票期权激励计划首次授予股票期权第一个行权期行权条件达成的公告</w:t>
      </w:r>
      <w:r>
        <w:rPr>
          <w:rFonts w:ascii="Times New Roman" w:hAnsi="Times New Roman" w:eastAsia="宋体" w:cs="Times New Roman"/>
          <w:sz w:val="24"/>
        </w:rPr>
        <w:t>》（公告编号：2022-</w:t>
      </w:r>
      <w:r>
        <w:rPr>
          <w:rFonts w:ascii="Times New Roman" w:hAnsi="Times New Roman" w:cs="Times New Roman"/>
          <w:sz w:val="24"/>
        </w:rPr>
        <w:t>03</w:t>
      </w:r>
      <w:r>
        <w:rPr>
          <w:rFonts w:hint="eastAsia" w:ascii="Times New Roman" w:hAnsi="Times New Roman" w:cs="Times New Roman"/>
          <w:sz w:val="24"/>
        </w:rPr>
        <w:t>8</w:t>
      </w:r>
      <w:r>
        <w:rPr>
          <w:rFonts w:ascii="Times New Roman" w:hAnsi="Times New Roman" w:eastAsia="宋体" w:cs="Times New Roman"/>
          <w:sz w:val="24"/>
        </w:rPr>
        <w:t>）</w:t>
      </w:r>
      <w:r>
        <w:rPr>
          <w:rFonts w:hint="eastAsia" w:ascii="Times New Roman" w:hAnsi="Times New Roman" w:eastAsia="宋体" w:cs="Times New Roman"/>
          <w:sz w:val="24"/>
        </w:rPr>
        <w:t>。</w:t>
      </w:r>
    </w:p>
    <w:p>
      <w:pPr>
        <w:spacing w:line="360" w:lineRule="auto"/>
        <w:ind w:firstLine="420"/>
        <w:rPr>
          <w:rFonts w:ascii="Times New Roman" w:hAnsi="Times New Roman" w:cs="Times New Roman"/>
          <w:sz w:val="24"/>
          <w:szCs w:val="32"/>
        </w:rPr>
      </w:pPr>
      <w:r>
        <w:rPr>
          <w:rFonts w:hint="eastAsia" w:ascii="Times New Roman" w:hAnsi="Times New Roman" w:cs="Times New Roman"/>
          <w:sz w:val="24"/>
          <w:szCs w:val="32"/>
        </w:rPr>
        <w:t>表决结果：同意票3票，反对票0票，弃权票0票，表决通过。</w:t>
      </w:r>
    </w:p>
    <w:p>
      <w:pPr>
        <w:snapToGrid w:val="0"/>
        <w:spacing w:line="360" w:lineRule="auto"/>
        <w:ind w:firstLine="420"/>
        <w:rPr>
          <w:rFonts w:ascii="Times New Roman" w:hAnsi="Times New Roman" w:eastAsia="宋体" w:cs="Times New Roman"/>
          <w:sz w:val="24"/>
        </w:rPr>
      </w:pPr>
    </w:p>
    <w:p>
      <w:pPr>
        <w:spacing w:line="360" w:lineRule="auto"/>
        <w:ind w:firstLine="420"/>
        <w:rPr>
          <w:rFonts w:ascii="Times New Roman" w:hAnsi="Times New Roman" w:cs="Times New Roman"/>
          <w:sz w:val="24"/>
          <w:szCs w:val="32"/>
        </w:rPr>
      </w:pPr>
      <w:r>
        <w:rPr>
          <w:rFonts w:hint="eastAsia" w:ascii="Times New Roman" w:hAnsi="Times New Roman" w:cs="Times New Roman"/>
          <w:sz w:val="24"/>
          <w:szCs w:val="32"/>
        </w:rPr>
        <w:t>特此公告。</w:t>
      </w:r>
    </w:p>
    <w:p>
      <w:pPr>
        <w:spacing w:line="360" w:lineRule="auto"/>
        <w:ind w:firstLine="420"/>
        <w:rPr>
          <w:rFonts w:ascii="Times New Roman" w:hAnsi="Times New Roman" w:cs="Times New Roman"/>
          <w:sz w:val="24"/>
          <w:szCs w:val="32"/>
        </w:rPr>
      </w:pPr>
    </w:p>
    <w:p>
      <w:pPr>
        <w:snapToGrid w:val="0"/>
        <w:spacing w:line="360" w:lineRule="auto"/>
        <w:ind w:firstLine="480" w:firstLineChars="200"/>
        <w:jc w:val="righ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格尔软件股份有限公司监事会</w:t>
      </w:r>
    </w:p>
    <w:p>
      <w:pPr>
        <w:snapToGrid w:val="0"/>
        <w:spacing w:line="360" w:lineRule="auto"/>
        <w:ind w:firstLine="480" w:firstLineChars="200"/>
        <w:jc w:val="right"/>
        <w:rPr>
          <w:rFonts w:ascii="Times New Roman" w:hAnsi="Times New Roman" w:cs="Times New Roman"/>
        </w:rPr>
      </w:pPr>
      <w:r>
        <w:rPr>
          <w:rFonts w:ascii="Times New Roman" w:hAnsi="Times New Roman" w:eastAsia="宋体" w:cs="Times New Roman"/>
          <w:color w:val="000000"/>
          <w:kern w:val="0"/>
          <w:sz w:val="24"/>
        </w:rPr>
        <w:t>202</w:t>
      </w:r>
      <w:r>
        <w:rPr>
          <w:rFonts w:hint="eastAsia" w:ascii="Times New Roman" w:hAnsi="Times New Roman" w:eastAsia="宋体" w:cs="Times New Roman"/>
          <w:color w:val="000000"/>
          <w:kern w:val="0"/>
          <w:sz w:val="24"/>
        </w:rPr>
        <w:t>2</w:t>
      </w:r>
      <w:r>
        <w:rPr>
          <w:rFonts w:ascii="Times New Roman" w:hAnsi="Times New Roman" w:eastAsia="宋体" w:cs="Times New Roman"/>
          <w:color w:val="000000"/>
          <w:kern w:val="0"/>
          <w:sz w:val="24"/>
        </w:rPr>
        <w:t>年</w:t>
      </w:r>
      <w:r>
        <w:rPr>
          <w:rFonts w:hint="eastAsia" w:ascii="Times New Roman" w:hAnsi="Times New Roman" w:eastAsia="宋体" w:cs="Times New Roman"/>
          <w:color w:val="000000"/>
          <w:kern w:val="0"/>
          <w:sz w:val="24"/>
        </w:rPr>
        <w:t>7</w:t>
      </w:r>
      <w:r>
        <w:rPr>
          <w:rFonts w:ascii="Times New Roman" w:hAnsi="Times New Roman" w:eastAsia="宋体" w:cs="Times New Roman"/>
          <w:color w:val="000000"/>
          <w:kern w:val="0"/>
          <w:sz w:val="24"/>
        </w:rPr>
        <w:t>月</w:t>
      </w:r>
      <w:r>
        <w:rPr>
          <w:rFonts w:hint="eastAsia" w:ascii="Times New Roman" w:hAnsi="Times New Roman" w:eastAsia="宋体" w:cs="Times New Roman"/>
          <w:color w:val="000000"/>
          <w:kern w:val="0"/>
          <w:sz w:val="24"/>
        </w:rPr>
        <w:t>16</w:t>
      </w:r>
      <w:r>
        <w:rPr>
          <w:rFonts w:ascii="Times New Roman" w:hAnsi="Times New Roman" w:eastAsia="宋体" w:cs="Times New Roman"/>
          <w:color w:val="000000"/>
          <w:kern w:val="0"/>
          <w:sz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5C97D4"/>
    <w:multiLevelType w:val="singleLevel"/>
    <w:tmpl w:val="8F5C97D4"/>
    <w:lvl w:ilvl="0" w:tentative="0">
      <w:start w:val="1"/>
      <w:numFmt w:val="chineseCounting"/>
      <w:suff w:val="nothing"/>
      <w:lvlText w:val="%1、"/>
      <w:lvlJc w:val="left"/>
      <w:pPr>
        <w:ind w:left="-6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2NGEzY2E5YjE4NDIwNDY2ODJjNzRhYTZlYjMzZTIifQ=="/>
  </w:docVars>
  <w:rsids>
    <w:rsidRoot w:val="0FF77FBC"/>
    <w:rsid w:val="00066EAF"/>
    <w:rsid w:val="000F0EE1"/>
    <w:rsid w:val="001412EF"/>
    <w:rsid w:val="001F1F79"/>
    <w:rsid w:val="00324497"/>
    <w:rsid w:val="00491A48"/>
    <w:rsid w:val="006B605B"/>
    <w:rsid w:val="006E2D6A"/>
    <w:rsid w:val="007B5F91"/>
    <w:rsid w:val="008E57B2"/>
    <w:rsid w:val="00961EC7"/>
    <w:rsid w:val="00AF5811"/>
    <w:rsid w:val="00D84D2B"/>
    <w:rsid w:val="00E20E55"/>
    <w:rsid w:val="00E65AA3"/>
    <w:rsid w:val="012004B8"/>
    <w:rsid w:val="014943C9"/>
    <w:rsid w:val="01514253"/>
    <w:rsid w:val="018E4822"/>
    <w:rsid w:val="019B553E"/>
    <w:rsid w:val="01B752FA"/>
    <w:rsid w:val="01D428E1"/>
    <w:rsid w:val="01E55C12"/>
    <w:rsid w:val="02325B21"/>
    <w:rsid w:val="0248443E"/>
    <w:rsid w:val="027576DF"/>
    <w:rsid w:val="02982C02"/>
    <w:rsid w:val="02AF4FED"/>
    <w:rsid w:val="03B4054E"/>
    <w:rsid w:val="048F7ADE"/>
    <w:rsid w:val="049C0D81"/>
    <w:rsid w:val="04BC2DF0"/>
    <w:rsid w:val="04BD6B13"/>
    <w:rsid w:val="050F3BF1"/>
    <w:rsid w:val="051D5553"/>
    <w:rsid w:val="05202816"/>
    <w:rsid w:val="05305716"/>
    <w:rsid w:val="055C3C6E"/>
    <w:rsid w:val="05846F5A"/>
    <w:rsid w:val="05B5678A"/>
    <w:rsid w:val="060416A7"/>
    <w:rsid w:val="062F6119"/>
    <w:rsid w:val="066E4F28"/>
    <w:rsid w:val="072E6603"/>
    <w:rsid w:val="07832D9E"/>
    <w:rsid w:val="07912289"/>
    <w:rsid w:val="07C73762"/>
    <w:rsid w:val="083E47F0"/>
    <w:rsid w:val="08977F70"/>
    <w:rsid w:val="08AA1C74"/>
    <w:rsid w:val="08C60F31"/>
    <w:rsid w:val="09047A57"/>
    <w:rsid w:val="0936639C"/>
    <w:rsid w:val="097203F7"/>
    <w:rsid w:val="09A6028D"/>
    <w:rsid w:val="0A684D06"/>
    <w:rsid w:val="0AC149D4"/>
    <w:rsid w:val="0AC25FFD"/>
    <w:rsid w:val="0AF10312"/>
    <w:rsid w:val="0B3108C1"/>
    <w:rsid w:val="0B702F58"/>
    <w:rsid w:val="0BC369E1"/>
    <w:rsid w:val="0BC4590D"/>
    <w:rsid w:val="0BCD600B"/>
    <w:rsid w:val="0BE8347C"/>
    <w:rsid w:val="0BF61875"/>
    <w:rsid w:val="0C6F3073"/>
    <w:rsid w:val="0C75428E"/>
    <w:rsid w:val="0C917A3E"/>
    <w:rsid w:val="0CFD4DC1"/>
    <w:rsid w:val="0D0B00EC"/>
    <w:rsid w:val="0D8A2593"/>
    <w:rsid w:val="0DD5749F"/>
    <w:rsid w:val="0E0A32BE"/>
    <w:rsid w:val="0E1E25FB"/>
    <w:rsid w:val="0F34760A"/>
    <w:rsid w:val="0F37618C"/>
    <w:rsid w:val="0F3D735E"/>
    <w:rsid w:val="0F9F53C9"/>
    <w:rsid w:val="0FBD3F46"/>
    <w:rsid w:val="0FEE6879"/>
    <w:rsid w:val="0FF77FBC"/>
    <w:rsid w:val="100E2521"/>
    <w:rsid w:val="10622A64"/>
    <w:rsid w:val="112F2BB4"/>
    <w:rsid w:val="11535FD3"/>
    <w:rsid w:val="116256D8"/>
    <w:rsid w:val="116305F9"/>
    <w:rsid w:val="11B55FCB"/>
    <w:rsid w:val="11D85012"/>
    <w:rsid w:val="11FA498B"/>
    <w:rsid w:val="13D06940"/>
    <w:rsid w:val="13E34C02"/>
    <w:rsid w:val="13ED276A"/>
    <w:rsid w:val="142762EF"/>
    <w:rsid w:val="1428170E"/>
    <w:rsid w:val="14325C20"/>
    <w:rsid w:val="149A4343"/>
    <w:rsid w:val="15212654"/>
    <w:rsid w:val="15462F97"/>
    <w:rsid w:val="15632C16"/>
    <w:rsid w:val="15895A16"/>
    <w:rsid w:val="15BA3C42"/>
    <w:rsid w:val="15DD471C"/>
    <w:rsid w:val="15E54F66"/>
    <w:rsid w:val="1644793F"/>
    <w:rsid w:val="16460004"/>
    <w:rsid w:val="16711ACF"/>
    <w:rsid w:val="16D96ED9"/>
    <w:rsid w:val="16FE701F"/>
    <w:rsid w:val="17391ED0"/>
    <w:rsid w:val="17542E0E"/>
    <w:rsid w:val="17965A93"/>
    <w:rsid w:val="17A17C4F"/>
    <w:rsid w:val="17A829E2"/>
    <w:rsid w:val="17AF41AF"/>
    <w:rsid w:val="17E62CEF"/>
    <w:rsid w:val="17EC1C0A"/>
    <w:rsid w:val="18143391"/>
    <w:rsid w:val="18344404"/>
    <w:rsid w:val="18362483"/>
    <w:rsid w:val="184C57FA"/>
    <w:rsid w:val="186E04C9"/>
    <w:rsid w:val="19283A36"/>
    <w:rsid w:val="1A041605"/>
    <w:rsid w:val="1A447172"/>
    <w:rsid w:val="1A6C0366"/>
    <w:rsid w:val="1A7520C5"/>
    <w:rsid w:val="1A7B41F9"/>
    <w:rsid w:val="1AD31E1B"/>
    <w:rsid w:val="1AE378D1"/>
    <w:rsid w:val="1AF841BE"/>
    <w:rsid w:val="1B3131FB"/>
    <w:rsid w:val="1B4E20F0"/>
    <w:rsid w:val="1BF9228F"/>
    <w:rsid w:val="1C255C0D"/>
    <w:rsid w:val="1C3D2907"/>
    <w:rsid w:val="1C5C244E"/>
    <w:rsid w:val="1C7D2391"/>
    <w:rsid w:val="1CBA29E7"/>
    <w:rsid w:val="1CC81A8E"/>
    <w:rsid w:val="1D36117A"/>
    <w:rsid w:val="1D860E9D"/>
    <w:rsid w:val="1DE640C3"/>
    <w:rsid w:val="1DF15C7D"/>
    <w:rsid w:val="1E125A00"/>
    <w:rsid w:val="1E195D86"/>
    <w:rsid w:val="1E7B13C5"/>
    <w:rsid w:val="1EC03FAC"/>
    <w:rsid w:val="1F677A7A"/>
    <w:rsid w:val="1F6C3676"/>
    <w:rsid w:val="201C2745"/>
    <w:rsid w:val="21002234"/>
    <w:rsid w:val="212C6943"/>
    <w:rsid w:val="213D657D"/>
    <w:rsid w:val="21431A7D"/>
    <w:rsid w:val="21A25532"/>
    <w:rsid w:val="21F42001"/>
    <w:rsid w:val="22842391"/>
    <w:rsid w:val="229958FB"/>
    <w:rsid w:val="22B67ECE"/>
    <w:rsid w:val="22EC73A6"/>
    <w:rsid w:val="234D0967"/>
    <w:rsid w:val="23590C2A"/>
    <w:rsid w:val="244B0FA4"/>
    <w:rsid w:val="24561892"/>
    <w:rsid w:val="25053BCC"/>
    <w:rsid w:val="25180F97"/>
    <w:rsid w:val="26010EE8"/>
    <w:rsid w:val="26023801"/>
    <w:rsid w:val="26114A34"/>
    <w:rsid w:val="26290859"/>
    <w:rsid w:val="271E19F2"/>
    <w:rsid w:val="275A1CC0"/>
    <w:rsid w:val="27756961"/>
    <w:rsid w:val="27F07DF2"/>
    <w:rsid w:val="28B54147"/>
    <w:rsid w:val="29300240"/>
    <w:rsid w:val="29412132"/>
    <w:rsid w:val="2959488B"/>
    <w:rsid w:val="29A7485D"/>
    <w:rsid w:val="29B6156B"/>
    <w:rsid w:val="2A570F2A"/>
    <w:rsid w:val="2B035939"/>
    <w:rsid w:val="2B1805E4"/>
    <w:rsid w:val="2B3B26B7"/>
    <w:rsid w:val="2B412143"/>
    <w:rsid w:val="2BF567D2"/>
    <w:rsid w:val="2BF87F43"/>
    <w:rsid w:val="2C30427D"/>
    <w:rsid w:val="2C8279BC"/>
    <w:rsid w:val="2C99703D"/>
    <w:rsid w:val="2CCE79B1"/>
    <w:rsid w:val="2CE95D7B"/>
    <w:rsid w:val="2CEC0D59"/>
    <w:rsid w:val="2D3F04F7"/>
    <w:rsid w:val="2D442EEB"/>
    <w:rsid w:val="2DF44503"/>
    <w:rsid w:val="2E4E7A2B"/>
    <w:rsid w:val="2E80779D"/>
    <w:rsid w:val="2ED263E2"/>
    <w:rsid w:val="2F0C2040"/>
    <w:rsid w:val="2F812C9E"/>
    <w:rsid w:val="2FAE79EF"/>
    <w:rsid w:val="303C2551"/>
    <w:rsid w:val="303D0490"/>
    <w:rsid w:val="305C12EA"/>
    <w:rsid w:val="30D71F64"/>
    <w:rsid w:val="315F41DE"/>
    <w:rsid w:val="317C64EF"/>
    <w:rsid w:val="31A53FD3"/>
    <w:rsid w:val="320A3645"/>
    <w:rsid w:val="332A7D95"/>
    <w:rsid w:val="3340749F"/>
    <w:rsid w:val="33743374"/>
    <w:rsid w:val="33BD7F41"/>
    <w:rsid w:val="34182627"/>
    <w:rsid w:val="344F1E96"/>
    <w:rsid w:val="347C40F8"/>
    <w:rsid w:val="34E7249A"/>
    <w:rsid w:val="350C3A9F"/>
    <w:rsid w:val="362B7AD3"/>
    <w:rsid w:val="369C4690"/>
    <w:rsid w:val="36E92B9A"/>
    <w:rsid w:val="37307DD1"/>
    <w:rsid w:val="37B445B9"/>
    <w:rsid w:val="37E471B6"/>
    <w:rsid w:val="38586A39"/>
    <w:rsid w:val="38D05A6D"/>
    <w:rsid w:val="390212BA"/>
    <w:rsid w:val="397D10DC"/>
    <w:rsid w:val="398A09FF"/>
    <w:rsid w:val="39B02A11"/>
    <w:rsid w:val="39C778EE"/>
    <w:rsid w:val="39EC25A3"/>
    <w:rsid w:val="3A080F3D"/>
    <w:rsid w:val="3A2D1DBE"/>
    <w:rsid w:val="3A564B6E"/>
    <w:rsid w:val="3AB620B5"/>
    <w:rsid w:val="3AF7441B"/>
    <w:rsid w:val="3B09034C"/>
    <w:rsid w:val="3BA0001E"/>
    <w:rsid w:val="3BB76E52"/>
    <w:rsid w:val="3BE61780"/>
    <w:rsid w:val="3C295A99"/>
    <w:rsid w:val="3C491031"/>
    <w:rsid w:val="3CAF7A61"/>
    <w:rsid w:val="3CF52986"/>
    <w:rsid w:val="3D417F43"/>
    <w:rsid w:val="3E8F75E7"/>
    <w:rsid w:val="3E9C193E"/>
    <w:rsid w:val="3EDA79C1"/>
    <w:rsid w:val="3EE1443F"/>
    <w:rsid w:val="3EE71B36"/>
    <w:rsid w:val="3EEF412D"/>
    <w:rsid w:val="3EFB2631"/>
    <w:rsid w:val="3F3E0819"/>
    <w:rsid w:val="3FEE7990"/>
    <w:rsid w:val="40461D28"/>
    <w:rsid w:val="40502228"/>
    <w:rsid w:val="40707236"/>
    <w:rsid w:val="40B90AE6"/>
    <w:rsid w:val="40D4008B"/>
    <w:rsid w:val="40FD0905"/>
    <w:rsid w:val="41551B3B"/>
    <w:rsid w:val="416602B2"/>
    <w:rsid w:val="41665F67"/>
    <w:rsid w:val="418E3065"/>
    <w:rsid w:val="41C7544C"/>
    <w:rsid w:val="41DE0DCA"/>
    <w:rsid w:val="42E939AF"/>
    <w:rsid w:val="42FD048C"/>
    <w:rsid w:val="43280AD1"/>
    <w:rsid w:val="432B625C"/>
    <w:rsid w:val="432E4A7C"/>
    <w:rsid w:val="43394A63"/>
    <w:rsid w:val="433B62FA"/>
    <w:rsid w:val="43426F87"/>
    <w:rsid w:val="4441756B"/>
    <w:rsid w:val="446911DA"/>
    <w:rsid w:val="44A33528"/>
    <w:rsid w:val="453836CF"/>
    <w:rsid w:val="45F121B8"/>
    <w:rsid w:val="45FD43C0"/>
    <w:rsid w:val="461432B9"/>
    <w:rsid w:val="466758D8"/>
    <w:rsid w:val="468A4AA1"/>
    <w:rsid w:val="46CF5A07"/>
    <w:rsid w:val="4752541D"/>
    <w:rsid w:val="47A22846"/>
    <w:rsid w:val="48000720"/>
    <w:rsid w:val="489D483F"/>
    <w:rsid w:val="496541CA"/>
    <w:rsid w:val="49721DBB"/>
    <w:rsid w:val="49961CFC"/>
    <w:rsid w:val="49B0147C"/>
    <w:rsid w:val="49B80764"/>
    <w:rsid w:val="49BC656C"/>
    <w:rsid w:val="4A0E310F"/>
    <w:rsid w:val="4A407258"/>
    <w:rsid w:val="4A5A43D6"/>
    <w:rsid w:val="4AFD1F57"/>
    <w:rsid w:val="4B323F9E"/>
    <w:rsid w:val="4B487CDE"/>
    <w:rsid w:val="4B501A2D"/>
    <w:rsid w:val="4B9F0B51"/>
    <w:rsid w:val="4C565D83"/>
    <w:rsid w:val="4CAD5B18"/>
    <w:rsid w:val="4D8C1BC5"/>
    <w:rsid w:val="4D99671C"/>
    <w:rsid w:val="4DBF0585"/>
    <w:rsid w:val="4DFE7A80"/>
    <w:rsid w:val="4E0B782B"/>
    <w:rsid w:val="4E1D5BEF"/>
    <w:rsid w:val="4E1E2966"/>
    <w:rsid w:val="4E77302F"/>
    <w:rsid w:val="4EC06D6D"/>
    <w:rsid w:val="4F97232D"/>
    <w:rsid w:val="4FA304F6"/>
    <w:rsid w:val="4FA5789E"/>
    <w:rsid w:val="506505F0"/>
    <w:rsid w:val="50661A26"/>
    <w:rsid w:val="50A941FF"/>
    <w:rsid w:val="510C1E87"/>
    <w:rsid w:val="51372B8F"/>
    <w:rsid w:val="516C6209"/>
    <w:rsid w:val="517B1A54"/>
    <w:rsid w:val="5235702F"/>
    <w:rsid w:val="52A176A8"/>
    <w:rsid w:val="52DA53D8"/>
    <w:rsid w:val="53B504E7"/>
    <w:rsid w:val="540D4497"/>
    <w:rsid w:val="541010AD"/>
    <w:rsid w:val="54140D2A"/>
    <w:rsid w:val="54544E99"/>
    <w:rsid w:val="549A5A7A"/>
    <w:rsid w:val="54DD38C0"/>
    <w:rsid w:val="55127A2A"/>
    <w:rsid w:val="55AD09F7"/>
    <w:rsid w:val="55D9675C"/>
    <w:rsid w:val="56487389"/>
    <w:rsid w:val="56FD7F32"/>
    <w:rsid w:val="573003D2"/>
    <w:rsid w:val="577D03B1"/>
    <w:rsid w:val="57BB0A78"/>
    <w:rsid w:val="580D0D18"/>
    <w:rsid w:val="58325CD2"/>
    <w:rsid w:val="58B64650"/>
    <w:rsid w:val="5954505F"/>
    <w:rsid w:val="59A81BA8"/>
    <w:rsid w:val="59DB62D9"/>
    <w:rsid w:val="5A571234"/>
    <w:rsid w:val="5A7F14AF"/>
    <w:rsid w:val="5AC61268"/>
    <w:rsid w:val="5B6E05FB"/>
    <w:rsid w:val="5B7724B7"/>
    <w:rsid w:val="5B7E605F"/>
    <w:rsid w:val="5B8C647D"/>
    <w:rsid w:val="5B992F87"/>
    <w:rsid w:val="5BF34011"/>
    <w:rsid w:val="5C166F09"/>
    <w:rsid w:val="5C646231"/>
    <w:rsid w:val="5D2E4278"/>
    <w:rsid w:val="5DAA51B9"/>
    <w:rsid w:val="5DC518B5"/>
    <w:rsid w:val="5DE66F6F"/>
    <w:rsid w:val="5E2E0ABF"/>
    <w:rsid w:val="5E3F5D12"/>
    <w:rsid w:val="5F503EAD"/>
    <w:rsid w:val="5F660863"/>
    <w:rsid w:val="5F9F4ACF"/>
    <w:rsid w:val="604E6A0A"/>
    <w:rsid w:val="60722997"/>
    <w:rsid w:val="609A26F5"/>
    <w:rsid w:val="60D148A7"/>
    <w:rsid w:val="60E24140"/>
    <w:rsid w:val="613D7F79"/>
    <w:rsid w:val="61627573"/>
    <w:rsid w:val="61BC4167"/>
    <w:rsid w:val="61EF30F0"/>
    <w:rsid w:val="61FC78BC"/>
    <w:rsid w:val="620E1606"/>
    <w:rsid w:val="623E756A"/>
    <w:rsid w:val="634800DD"/>
    <w:rsid w:val="634E6339"/>
    <w:rsid w:val="638E5C3D"/>
    <w:rsid w:val="63B26805"/>
    <w:rsid w:val="63C50EC1"/>
    <w:rsid w:val="641103F6"/>
    <w:rsid w:val="64274C3E"/>
    <w:rsid w:val="64684EA9"/>
    <w:rsid w:val="64FB234D"/>
    <w:rsid w:val="654A2614"/>
    <w:rsid w:val="659426FC"/>
    <w:rsid w:val="66066C4D"/>
    <w:rsid w:val="662B1E8E"/>
    <w:rsid w:val="663F36DD"/>
    <w:rsid w:val="664523E3"/>
    <w:rsid w:val="66455432"/>
    <w:rsid w:val="67097D0A"/>
    <w:rsid w:val="6736715E"/>
    <w:rsid w:val="67397FC2"/>
    <w:rsid w:val="67BF6746"/>
    <w:rsid w:val="68385A0A"/>
    <w:rsid w:val="683A721E"/>
    <w:rsid w:val="684501B7"/>
    <w:rsid w:val="68643BC0"/>
    <w:rsid w:val="688A543D"/>
    <w:rsid w:val="68BA5CE9"/>
    <w:rsid w:val="68CE4553"/>
    <w:rsid w:val="68D51E7A"/>
    <w:rsid w:val="692A202C"/>
    <w:rsid w:val="694D1E19"/>
    <w:rsid w:val="69500C6F"/>
    <w:rsid w:val="69760C36"/>
    <w:rsid w:val="69C8195F"/>
    <w:rsid w:val="69EB7683"/>
    <w:rsid w:val="6A6F1C20"/>
    <w:rsid w:val="6A9A5FFD"/>
    <w:rsid w:val="6AA30D43"/>
    <w:rsid w:val="6AC97B14"/>
    <w:rsid w:val="6B144F27"/>
    <w:rsid w:val="6B3B04E6"/>
    <w:rsid w:val="6B797D08"/>
    <w:rsid w:val="6B7F203F"/>
    <w:rsid w:val="6C360C93"/>
    <w:rsid w:val="6CE42579"/>
    <w:rsid w:val="6CE64DE7"/>
    <w:rsid w:val="6D38704B"/>
    <w:rsid w:val="6D5307CF"/>
    <w:rsid w:val="6DAE3B7D"/>
    <w:rsid w:val="6DBF37EC"/>
    <w:rsid w:val="6DFC191F"/>
    <w:rsid w:val="6E471F02"/>
    <w:rsid w:val="6E6F1759"/>
    <w:rsid w:val="6F461A44"/>
    <w:rsid w:val="6F5003AC"/>
    <w:rsid w:val="6F8017C9"/>
    <w:rsid w:val="6FAF3346"/>
    <w:rsid w:val="6FCB4A13"/>
    <w:rsid w:val="6FF86DDD"/>
    <w:rsid w:val="7034456F"/>
    <w:rsid w:val="70BD7855"/>
    <w:rsid w:val="70C90DC2"/>
    <w:rsid w:val="71021286"/>
    <w:rsid w:val="713A0D71"/>
    <w:rsid w:val="716E7BB1"/>
    <w:rsid w:val="71AD7C03"/>
    <w:rsid w:val="72051B29"/>
    <w:rsid w:val="72422386"/>
    <w:rsid w:val="7266575F"/>
    <w:rsid w:val="730B678F"/>
    <w:rsid w:val="73911D1F"/>
    <w:rsid w:val="73AC5164"/>
    <w:rsid w:val="73E5475D"/>
    <w:rsid w:val="74144569"/>
    <w:rsid w:val="74381238"/>
    <w:rsid w:val="74782F0F"/>
    <w:rsid w:val="74E02504"/>
    <w:rsid w:val="74F7039E"/>
    <w:rsid w:val="75184383"/>
    <w:rsid w:val="75224E08"/>
    <w:rsid w:val="75324C67"/>
    <w:rsid w:val="75A620CB"/>
    <w:rsid w:val="75AC73B3"/>
    <w:rsid w:val="76BF7512"/>
    <w:rsid w:val="76C84E7B"/>
    <w:rsid w:val="76CC503A"/>
    <w:rsid w:val="77011E8D"/>
    <w:rsid w:val="773835C9"/>
    <w:rsid w:val="776179CD"/>
    <w:rsid w:val="778D724E"/>
    <w:rsid w:val="77E3226A"/>
    <w:rsid w:val="77F45337"/>
    <w:rsid w:val="7811592B"/>
    <w:rsid w:val="785463C5"/>
    <w:rsid w:val="786F5E45"/>
    <w:rsid w:val="78831644"/>
    <w:rsid w:val="78F2552C"/>
    <w:rsid w:val="79636308"/>
    <w:rsid w:val="799C5E36"/>
    <w:rsid w:val="79B459BB"/>
    <w:rsid w:val="7A285399"/>
    <w:rsid w:val="7A56205D"/>
    <w:rsid w:val="7A656D7F"/>
    <w:rsid w:val="7A75045A"/>
    <w:rsid w:val="7AFC61D6"/>
    <w:rsid w:val="7AFF1392"/>
    <w:rsid w:val="7BE049A8"/>
    <w:rsid w:val="7BEB393A"/>
    <w:rsid w:val="7C7069A4"/>
    <w:rsid w:val="7C8A1FDF"/>
    <w:rsid w:val="7C953875"/>
    <w:rsid w:val="7CD05500"/>
    <w:rsid w:val="7D0B37FA"/>
    <w:rsid w:val="7E653164"/>
    <w:rsid w:val="7EA618F0"/>
    <w:rsid w:val="7ED74FB0"/>
    <w:rsid w:val="7FBD2D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qFormat/>
    <w:uiPriority w:val="0"/>
    <w:pPr>
      <w:jc w:val="left"/>
    </w:p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annotation subject"/>
    <w:basedOn w:val="2"/>
    <w:next w:val="2"/>
    <w:link w:val="14"/>
    <w:qFormat/>
    <w:uiPriority w:val="0"/>
    <w:rPr>
      <w:b/>
      <w:bCs/>
    </w:rPr>
  </w:style>
  <w:style w:type="character" w:styleId="8">
    <w:name w:val="annotation reference"/>
    <w:basedOn w:val="7"/>
    <w:qFormat/>
    <w:uiPriority w:val="0"/>
    <w:rPr>
      <w:sz w:val="21"/>
      <w:szCs w:val="21"/>
    </w:rPr>
  </w:style>
  <w:style w:type="paragraph" w:customStyle="1" w:styleId="9">
    <w:name w:val="Default"/>
    <w:qFormat/>
    <w:uiPriority w:val="0"/>
    <w:pPr>
      <w:widowControl w:val="0"/>
      <w:autoSpaceDE w:val="0"/>
      <w:autoSpaceDN w:val="0"/>
      <w:adjustRightInd w:val="0"/>
    </w:pPr>
    <w:rPr>
      <w:rFonts w:ascii="楷体_GB2312" w:hAnsi="Calibri" w:eastAsia="楷体_GB2312" w:cs="Times New Roman"/>
      <w:color w:val="000000"/>
      <w:sz w:val="24"/>
      <w:szCs w:val="24"/>
      <w:lang w:val="en-US" w:eastAsia="zh-CN" w:bidi="ar-SA"/>
    </w:rPr>
  </w:style>
  <w:style w:type="paragraph" w:customStyle="1" w:styleId="10">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11">
    <w:name w:val="页眉 字符"/>
    <w:basedOn w:val="7"/>
    <w:link w:val="4"/>
    <w:qFormat/>
    <w:uiPriority w:val="0"/>
    <w:rPr>
      <w:kern w:val="2"/>
      <w:sz w:val="18"/>
      <w:szCs w:val="18"/>
    </w:rPr>
  </w:style>
  <w:style w:type="character" w:customStyle="1" w:styleId="12">
    <w:name w:val="页脚 字符"/>
    <w:basedOn w:val="7"/>
    <w:link w:val="3"/>
    <w:qFormat/>
    <w:uiPriority w:val="0"/>
    <w:rPr>
      <w:kern w:val="2"/>
      <w:sz w:val="18"/>
      <w:szCs w:val="18"/>
    </w:rPr>
  </w:style>
  <w:style w:type="character" w:customStyle="1" w:styleId="13">
    <w:name w:val="批注文字 字符"/>
    <w:basedOn w:val="7"/>
    <w:link w:val="2"/>
    <w:qFormat/>
    <w:uiPriority w:val="0"/>
    <w:rPr>
      <w:kern w:val="2"/>
      <w:sz w:val="21"/>
      <w:szCs w:val="24"/>
    </w:rPr>
  </w:style>
  <w:style w:type="character" w:customStyle="1" w:styleId="14">
    <w:name w:val="批注主题 字符"/>
    <w:basedOn w:val="13"/>
    <w:link w:val="5"/>
    <w:qFormat/>
    <w:uiPriority w:val="0"/>
    <w:rPr>
      <w:b/>
      <w:bCs/>
      <w:kern w:val="2"/>
      <w:sz w:val="21"/>
      <w:szCs w:val="24"/>
    </w:rPr>
  </w:style>
  <w:style w:type="paragraph" w:customStyle="1" w:styleId="15">
    <w:name w:val="Revision"/>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1487</Words>
  <Characters>1643</Characters>
  <Lines>11</Lines>
  <Paragraphs>3</Paragraphs>
  <TotalTime>1</TotalTime>
  <ScaleCrop>false</ScaleCrop>
  <LinksUpToDate>false</LinksUpToDate>
  <CharactersWithSpaces>1672</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2022-07-12T23:17:00Z</dcterms:created>
  <dc:creator>suuuu</dc:creator>
  <cp:lastModifiedBy>杨易</cp:lastModifiedBy>
  <dcterms:modified xsi:type="dcterms:W3CDTF">2022-07-15T07:12:31Z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ABB3F8AB6B1646D8BCD0F9ABF7EBD2AF</vt:lpwstr>
  </property>
</Properties>
</file>