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lang w:val="en-US" w:eastAsia="zh-CN"/>
        </w:rPr>
        <w:t>2</w:t>
      </w:r>
      <w:r>
        <w:rPr>
          <w:szCs w:val="21"/>
          <w:highlight w:val="none"/>
        </w:rPr>
        <w:t>-</w:t>
      </w:r>
      <w:r>
        <w:rPr>
          <w:rFonts w:hint="eastAsia"/>
          <w:szCs w:val="21"/>
          <w:highlight w:val="none"/>
          <w:lang w:val="en-US" w:eastAsia="zh-CN"/>
        </w:rPr>
        <w:t>007</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highlight w:val="none"/>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7,500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bidi="ar"/>
        </w:rPr>
        <w:t>国融证券安享收益凭证22</w:t>
      </w:r>
      <w:r>
        <w:rPr>
          <w:rFonts w:hint="eastAsia" w:eastAsiaTheme="minorEastAsia"/>
          <w:color w:val="000000"/>
          <w:kern w:val="0"/>
          <w:sz w:val="24"/>
          <w:szCs w:val="24"/>
          <w:highlight w:val="none"/>
          <w:lang w:val="en-US" w:eastAsia="zh-CN" w:bidi="ar"/>
        </w:rPr>
        <w:t>42</w:t>
      </w:r>
      <w:r>
        <w:rPr>
          <w:rFonts w:hint="eastAsia" w:eastAsiaTheme="minorEastAsia"/>
          <w:color w:val="000000"/>
          <w:kern w:val="0"/>
          <w:sz w:val="24"/>
          <w:szCs w:val="24"/>
          <w:highlight w:val="none"/>
          <w:lang w:bidi="ar"/>
        </w:rPr>
        <w:t>号</w:t>
      </w:r>
      <w:r>
        <w:rPr>
          <w:rFonts w:hint="eastAsia" w:eastAsiaTheme="minorEastAsia"/>
          <w:color w:val="000000"/>
          <w:kern w:val="0"/>
          <w:sz w:val="24"/>
          <w:szCs w:val="24"/>
          <w:highlight w:val="none"/>
          <w:lang w:eastAsia="zh-CN" w:bidi="ar"/>
        </w:rPr>
        <w:t>（以下简称“安享收益凭证</w:t>
      </w:r>
      <w:r>
        <w:rPr>
          <w:rFonts w:hint="eastAsia" w:eastAsiaTheme="minorEastAsia"/>
          <w:color w:val="000000"/>
          <w:kern w:val="0"/>
          <w:sz w:val="24"/>
          <w:szCs w:val="24"/>
          <w:highlight w:val="none"/>
          <w:lang w:val="en-US" w:eastAsia="zh-CN" w:bidi="ar"/>
        </w:rPr>
        <w:t>2242号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2242号总计</w:t>
      </w:r>
      <w:r>
        <w:rPr>
          <w:rFonts w:hint="eastAsia" w:cs="Times New Roman" w:eastAsiaTheme="minorEastAsia"/>
          <w:color w:val="000000"/>
          <w:kern w:val="0"/>
          <w:sz w:val="24"/>
          <w:szCs w:val="24"/>
          <w:highlight w:val="none"/>
          <w:lang w:val="en-US" w:eastAsia="zh-CN" w:bidi="ar"/>
        </w:rPr>
        <w:t>363</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highlight w:val="none"/>
                <w:vertAlign w:val="baseline"/>
                <w:lang w:val="en-US" w:eastAsia="zh-CN"/>
              </w:rPr>
            </w:pPr>
            <w:r>
              <w:rPr>
                <w:rFonts w:hint="default" w:ascii="Times New Roman" w:hAnsi="Times New Roman" w:cs="Times New Roman" w:eastAsiaTheme="minorEastAsia"/>
                <w:color w:val="000000"/>
                <w:sz w:val="21"/>
                <w:szCs w:val="21"/>
                <w:highlight w:val="none"/>
                <w:vertAlign w:val="baseline"/>
                <w:lang w:val="en-US" w:eastAsia="zh-CN"/>
              </w:rPr>
              <w:t>国融证券</w:t>
            </w:r>
          </w:p>
        </w:tc>
        <w:tc>
          <w:tcPr>
            <w:tcW w:w="547"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highlight w:val="none"/>
                <w:vertAlign w:val="baseline"/>
                <w:lang w:val="en-US" w:eastAsia="zh-CN"/>
              </w:rPr>
            </w:pPr>
            <w:r>
              <w:rPr>
                <w:rFonts w:hint="default" w:ascii="Times New Roman" w:hAnsi="Times New Roman" w:cs="Times New Roman" w:eastAsiaTheme="minorEastAsia"/>
                <w:color w:val="000000"/>
                <w:sz w:val="21"/>
                <w:szCs w:val="21"/>
                <w:highlight w:val="none"/>
                <w:vertAlign w:val="baseline"/>
                <w:lang w:val="en-US" w:eastAsia="zh-CN"/>
              </w:rPr>
              <w:t>券商收益凭证</w:t>
            </w:r>
          </w:p>
        </w:tc>
        <w:tc>
          <w:tcPr>
            <w:tcW w:w="744"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highlight w:val="none"/>
                <w:vertAlign w:val="baseline"/>
                <w:lang w:val="en-US" w:eastAsia="zh-CN"/>
              </w:rPr>
            </w:pPr>
            <w:r>
              <w:rPr>
                <w:rFonts w:hint="default" w:ascii="Times New Roman" w:hAnsi="Times New Roman" w:cs="Times New Roman" w:eastAsiaTheme="minorEastAsia"/>
                <w:color w:val="000000"/>
                <w:sz w:val="21"/>
                <w:szCs w:val="21"/>
                <w:highlight w:val="none"/>
                <w:vertAlign w:val="baseline"/>
                <w:lang w:val="en-US" w:eastAsia="zh-CN"/>
              </w:rPr>
              <w:t>安享收益凭证</w:t>
            </w:r>
            <w:r>
              <w:rPr>
                <w:rFonts w:hint="eastAsia" w:cs="Times New Roman" w:eastAsiaTheme="minorEastAsia"/>
                <w:color w:val="000000"/>
                <w:sz w:val="21"/>
                <w:szCs w:val="21"/>
                <w:highlight w:val="none"/>
                <w:vertAlign w:val="baseline"/>
                <w:lang w:val="en-US" w:eastAsia="zh-CN"/>
              </w:rPr>
              <w:t>2109</w:t>
            </w:r>
            <w:r>
              <w:rPr>
                <w:rFonts w:hint="default" w:ascii="Times New Roman" w:hAnsi="Times New Roman" w:cs="Times New Roman" w:eastAsiaTheme="minorEastAsia"/>
                <w:color w:val="000000"/>
                <w:sz w:val="21"/>
                <w:szCs w:val="21"/>
                <w:highlight w:val="none"/>
                <w:vertAlign w:val="baseline"/>
                <w:lang w:val="en-US" w:eastAsia="zh-CN"/>
              </w:rPr>
              <w:t>号</w:t>
            </w:r>
          </w:p>
        </w:tc>
        <w:tc>
          <w:tcPr>
            <w:tcW w:w="560"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8,000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default" w:ascii="Times New Roman" w:hAnsi="Times New Roman" w:cs="Times New Roman" w:eastAsiaTheme="minorEastAsia"/>
                <w:color w:val="000000"/>
                <w:sz w:val="21"/>
                <w:szCs w:val="21"/>
                <w:highlight w:val="none"/>
                <w:vertAlign w:val="baseline"/>
                <w:lang w:val="en-US" w:eastAsia="zh-CN"/>
              </w:rPr>
              <w:t>本金保障固定收益型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2021.04.03</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2022.03.30</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yellow"/>
                <w:vertAlign w:val="baseline"/>
                <w:lang w:val="en-US" w:eastAsia="zh-CN"/>
              </w:rPr>
            </w:pPr>
            <w:r>
              <w:rPr>
                <w:rFonts w:hint="eastAsia" w:eastAsiaTheme="minorEastAsia"/>
                <w:color w:val="auto"/>
                <w:sz w:val="21"/>
                <w:szCs w:val="21"/>
                <w:highlight w:val="none"/>
                <w:vertAlign w:val="baseline"/>
                <w:lang w:val="en-US" w:eastAsia="zh-CN"/>
              </w:rPr>
              <w:t>355.35</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w:t>
      </w:r>
      <w:r>
        <w:rPr>
          <w:rFonts w:hint="eastAsia" w:cs="Times New Roman" w:eastAsiaTheme="minorEastAsia"/>
          <w:color w:val="000000"/>
          <w:sz w:val="24"/>
          <w:szCs w:val="24"/>
          <w:highlight w:val="none"/>
          <w:lang w:val="en-US" w:eastAsia="zh-CN"/>
        </w:rPr>
        <w:t>司于202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年04月06日以募集资金认购了国融</w:t>
      </w:r>
      <w:r>
        <w:rPr>
          <w:rFonts w:hint="eastAsia" w:asciiTheme="minorEastAsia" w:hAnsiTheme="minorEastAsia" w:eastAsiaTheme="minorEastAsia" w:cstheme="minorEastAsia"/>
          <w:color w:val="000000"/>
          <w:kern w:val="0"/>
          <w:sz w:val="24"/>
          <w:szCs w:val="24"/>
          <w:highlight w:val="none"/>
          <w:lang w:val="en-US" w:eastAsia="zh-CN" w:bidi="ar"/>
        </w:rPr>
        <w:t>证券的收益凭证。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年04月07</w:t>
      </w:r>
      <w:r>
        <w:rPr>
          <w:rFonts w:hint="eastAsia" w:cs="Times New Roman" w:eastAsiaTheme="minorEastAsia"/>
          <w:color w:val="000000"/>
          <w:sz w:val="24"/>
          <w:szCs w:val="24"/>
          <w:lang w:val="en-US" w:eastAsia="zh-CN"/>
        </w:rPr>
        <w:t>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-012</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kern w:val="0"/>
                <w:sz w:val="21"/>
                <w:szCs w:val="21"/>
                <w:highlight w:val="none"/>
                <w:lang w:bidi="ar"/>
              </w:rPr>
              <w:t>安享收益凭证</w:t>
            </w:r>
            <w:r>
              <w:rPr>
                <w:rFonts w:hint="eastAsia" w:eastAsiaTheme="minorEastAsia"/>
                <w:color w:val="000000"/>
                <w:kern w:val="0"/>
                <w:sz w:val="21"/>
                <w:szCs w:val="21"/>
                <w:highlight w:val="none"/>
                <w:lang w:val="en-US" w:eastAsia="zh-CN" w:bidi="ar"/>
              </w:rPr>
              <w:t>2242</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7,500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4.50%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335.65</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363天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sz w:val="24"/>
          <w:szCs w:val="24"/>
          <w:highlight w:val="none"/>
          <w:lang w:val="en-US" w:eastAsia="zh-CN"/>
        </w:rPr>
        <w:t>2242</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国融证券安享收益凭证2</w:t>
            </w:r>
            <w:r>
              <w:rPr>
                <w:rFonts w:hint="eastAsia" w:eastAsiaTheme="minorEastAsia"/>
                <w:bCs/>
                <w:color w:val="000000"/>
                <w:kern w:val="0"/>
                <w:szCs w:val="21"/>
                <w:highlight w:val="none"/>
                <w:lang w:val="en-US" w:eastAsia="zh-CN"/>
              </w:rPr>
              <w:t>242</w:t>
            </w:r>
            <w:r>
              <w:rPr>
                <w:rFonts w:hint="eastAsia" w:eastAsiaTheme="minorEastAsia"/>
                <w:bCs/>
                <w:color w:val="000000"/>
                <w:kern w:val="0"/>
                <w:szCs w:val="21"/>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SUQ111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363</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3</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31</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3</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3</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29</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202</w:t>
            </w:r>
            <w:r>
              <w:rPr>
                <w:rFonts w:hint="eastAsia" w:eastAsiaTheme="minorEastAsia"/>
                <w:bCs/>
                <w:color w:val="000000"/>
                <w:kern w:val="0"/>
                <w:szCs w:val="21"/>
                <w:highlight w:val="none"/>
                <w:lang w:val="en-US" w:eastAsia="zh-CN"/>
              </w:rPr>
              <w:t>3</w:t>
            </w:r>
            <w:r>
              <w:rPr>
                <w:rFonts w:hint="default" w:eastAsiaTheme="minorEastAsia"/>
                <w:bCs/>
                <w:color w:val="000000"/>
                <w:kern w:val="0"/>
                <w:szCs w:val="21"/>
                <w:highlight w:val="none"/>
                <w:lang w:val="en-US" w:eastAsia="zh-CN"/>
              </w:rPr>
              <w:t>年</w:t>
            </w:r>
            <w:r>
              <w:rPr>
                <w:rFonts w:hint="eastAsia" w:eastAsiaTheme="minorEastAsia"/>
                <w:bCs/>
                <w:color w:val="000000"/>
                <w:kern w:val="0"/>
                <w:szCs w:val="21"/>
                <w:highlight w:val="none"/>
                <w:lang w:val="en-US" w:eastAsia="zh-CN"/>
              </w:rPr>
              <w:t>3</w:t>
            </w:r>
            <w:r>
              <w:rPr>
                <w:rFonts w:hint="default" w:eastAsiaTheme="minorEastAsia"/>
                <w:bCs/>
                <w:color w:val="000000"/>
                <w:kern w:val="0"/>
                <w:szCs w:val="21"/>
                <w:highlight w:val="none"/>
                <w:lang w:val="en-US" w:eastAsia="zh-CN"/>
              </w:rPr>
              <w:t>月</w:t>
            </w:r>
            <w:r>
              <w:rPr>
                <w:rFonts w:hint="eastAsia" w:eastAsiaTheme="minorEastAsia"/>
                <w:bCs/>
                <w:color w:val="000000"/>
                <w:kern w:val="0"/>
                <w:szCs w:val="21"/>
                <w:highlight w:val="none"/>
                <w:lang w:val="en-US" w:eastAsia="zh-CN"/>
              </w:rPr>
              <w:t>30</w:t>
            </w:r>
            <w:r>
              <w:rPr>
                <w:rFonts w:hint="default" w:eastAsiaTheme="minorEastAsia"/>
                <w:bCs/>
                <w:color w:val="000000"/>
                <w:kern w:val="0"/>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年化收益率</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用途</w:t>
            </w:r>
          </w:p>
        </w:tc>
        <w:tc>
          <w:tcPr>
            <w:tcW w:w="5530" w:type="dxa"/>
            <w:vAlign w:val="center"/>
          </w:tcPr>
          <w:p>
            <w:pPr>
              <w:autoSpaceDE w:val="0"/>
              <w:autoSpaceDN w:val="0"/>
              <w:adjustRightInd w:val="0"/>
              <w:jc w:val="left"/>
              <w:rPr>
                <w:bCs/>
                <w:color w:val="000000"/>
                <w:kern w:val="0"/>
                <w:szCs w:val="21"/>
                <w:highlight w:val="none"/>
              </w:rPr>
            </w:pPr>
            <w:r>
              <w:rPr>
                <w:rFonts w:hint="eastAsia"/>
                <w:bCs/>
                <w:color w:val="000000"/>
                <w:kern w:val="0"/>
                <w:szCs w:val="21"/>
                <w:highlight w:val="none"/>
              </w:rPr>
              <w:t>本期收益凭证募集资金将用于补充</w:t>
            </w:r>
            <w:r>
              <w:rPr>
                <w:rFonts w:hint="eastAsia"/>
                <w:bCs/>
                <w:color w:val="000000"/>
                <w:kern w:val="0"/>
                <w:szCs w:val="21"/>
                <w:highlight w:val="none"/>
                <w:lang w:val="en-US" w:eastAsia="zh-CN"/>
              </w:rPr>
              <w:t>国融证券</w:t>
            </w:r>
            <w:r>
              <w:rPr>
                <w:rFonts w:hint="eastAsia"/>
                <w:bCs/>
                <w:color w:val="000000"/>
                <w:kern w:val="0"/>
                <w:szCs w:val="21"/>
                <w:highlight w:val="none"/>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bCs/>
          <w:color w:val="000000"/>
          <w:sz w:val="24"/>
          <w:szCs w:val="24"/>
          <w:lang w:val="en-US" w:eastAsia="zh-CN"/>
        </w:rPr>
      </w:pPr>
      <w:r>
        <w:rPr>
          <w:rFonts w:hint="default" w:ascii="Times New Roman" w:hAnsi="Times New Roman" w:cs="Times New Roman" w:eastAsiaTheme="minorEastAsia"/>
          <w:b/>
          <w:bCs/>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9</w:t>
            </w:r>
            <w:r>
              <w:rPr>
                <w:rFonts w:eastAsiaTheme="minorEastAsia"/>
                <w:b/>
                <w:color w:val="000000"/>
                <w:kern w:val="0"/>
                <w:szCs w:val="21"/>
              </w:rPr>
              <w:t>月3</w:t>
            </w:r>
            <w:r>
              <w:rPr>
                <w:rFonts w:hint="eastAsia" w:eastAsiaTheme="minorEastAsia"/>
                <w:b/>
                <w:color w:val="000000"/>
                <w:kern w:val="0"/>
                <w:szCs w:val="21"/>
                <w:lang w:val="en-US" w:eastAsia="zh-CN"/>
              </w:rPr>
              <w:t>0</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1,733,726,082.73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453,384,499.55</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lang w:val="en-US" w:eastAsia="zh-CN"/>
              </w:rPr>
              <w:t>1,280,341,583.18</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-215,304,234.86</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9</w:t>
      </w:r>
      <w:r>
        <w:rPr>
          <w:rFonts w:eastAsiaTheme="minorEastAsia"/>
          <w:color w:val="000000"/>
          <w:sz w:val="24"/>
          <w:szCs w:val="24"/>
        </w:rPr>
        <w:t>月3</w:t>
      </w:r>
      <w:r>
        <w:rPr>
          <w:rFonts w:hint="eastAsia" w:eastAsiaTheme="minorEastAsia"/>
          <w:color w:val="000000"/>
          <w:sz w:val="24"/>
          <w:szCs w:val="24"/>
          <w:lang w:val="en-US" w:eastAsia="zh-CN"/>
        </w:rPr>
        <w:t>0</w:t>
      </w:r>
      <w:r>
        <w:rPr>
          <w:rFonts w:eastAsiaTheme="minorEastAsia"/>
          <w:color w:val="000000"/>
          <w:sz w:val="24"/>
          <w:szCs w:val="24"/>
        </w:rPr>
        <w:t>日，公司资产负债率为</w:t>
      </w:r>
      <w:r>
        <w:rPr>
          <w:rFonts w:hint="default" w:ascii="Times New Roman" w:hAnsi="Times New Roman" w:cs="Times New Roman" w:eastAsiaTheme="minorEastAsia"/>
          <w:color w:val="000000"/>
          <w:sz w:val="24"/>
          <w:szCs w:val="24"/>
          <w:highlight w:val="none"/>
          <w:lang w:val="en-US" w:eastAsia="zh-CN"/>
        </w:rPr>
        <w:t>2</w:t>
      </w: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15</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8,000.00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355.35</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119,000.00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79,000.00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1,861.98</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40,000.00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32.71%</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30,000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highlight w:val="yellow"/>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3</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31</w:t>
      </w:r>
      <w:r>
        <w:rPr>
          <w:rFonts w:eastAsiaTheme="minorEastAsia"/>
          <w:color w:val="000000"/>
          <w:sz w:val="24"/>
          <w:szCs w:val="24"/>
          <w:highlight w:val="none"/>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A1134F"/>
    <w:rsid w:val="28D72555"/>
    <w:rsid w:val="2D21024D"/>
    <w:rsid w:val="32A1134F"/>
    <w:rsid w:val="52752A12"/>
    <w:rsid w:val="56024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3858</Words>
  <Characters>4776</Characters>
  <Lines>0</Lines>
  <Paragraphs>0</Paragraphs>
  <TotalTime>48</TotalTime>
  <ScaleCrop>false</ScaleCrop>
  <LinksUpToDate>false</LinksUpToDate>
  <CharactersWithSpaces>4805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2022-03-21T05:48:00Z</dcterms:created>
  <dc:creator>pc</dc:creator>
  <cp:lastModifiedBy>邹岩</cp:lastModifiedBy>
  <dcterms:modified xsi:type="dcterms:W3CDTF">2022-03-30T02:13:12Z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DF5E9FA68ACF42C29911BADFCD58E2B6</vt:lpwstr>
  </property>
</Properties>
</file>