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sz w:val="21"/>
          <w:szCs w:val="21"/>
        </w:rPr>
      </w:pPr>
      <w:r>
        <w:rPr>
          <w:rFonts w:hint="eastAsia"/>
          <w:sz w:val="21"/>
          <w:szCs w:val="21"/>
        </w:rPr>
        <w:t>证券代码：</w:t>
      </w:r>
      <w:r>
        <w:rPr>
          <w:sz w:val="21"/>
          <w:szCs w:val="21"/>
        </w:rPr>
        <w:t xml:space="preserve">603232               </w:t>
      </w:r>
      <w:r>
        <w:rPr>
          <w:rFonts w:hint="eastAsia"/>
          <w:sz w:val="21"/>
          <w:szCs w:val="21"/>
        </w:rPr>
        <w:t>证券简称：格尔软件</w:t>
      </w:r>
      <w:r>
        <w:rPr>
          <w:sz w:val="21"/>
          <w:szCs w:val="21"/>
        </w:rPr>
        <w:t xml:space="preserve">            公告编号：2022</w:t>
      </w:r>
      <w:r>
        <w:rPr>
          <w:rFonts w:hint="eastAsia"/>
          <w:sz w:val="21"/>
          <w:szCs w:val="21"/>
        </w:rPr>
        <w:t>-038</w:t>
      </w:r>
    </w:p>
    <w:p>
      <w:pPr>
        <w:widowControl w:val="0"/>
        <w:autoSpaceDE w:val="0"/>
        <w:autoSpaceDN w:val="0"/>
        <w:adjustRightInd w:val="0"/>
        <w:spacing w:line="360" w:lineRule="auto"/>
        <w:rPr>
          <w:color w:val="000000"/>
          <w:sz w:val="21"/>
          <w:szCs w:val="21"/>
        </w:rPr>
      </w:pPr>
    </w:p>
    <w:p>
      <w:pPr>
        <w:widowControl w:val="0"/>
        <w:autoSpaceDE w:val="0"/>
        <w:autoSpaceDN w:val="0"/>
        <w:adjustRightInd w:val="0"/>
        <w:spacing w:line="360" w:lineRule="auto"/>
        <w:jc w:val="center"/>
        <w:rPr>
          <w:rFonts w:eastAsia="黑体"/>
          <w:b/>
          <w:color w:val="FF0000"/>
          <w:sz w:val="36"/>
          <w:szCs w:val="36"/>
        </w:rPr>
      </w:pPr>
      <w:r>
        <w:rPr>
          <w:rFonts w:hint="eastAsia" w:eastAsia="黑体"/>
          <w:b/>
          <w:color w:val="FF0000"/>
          <w:sz w:val="36"/>
          <w:szCs w:val="36"/>
        </w:rPr>
        <w:t>格尔软件股份有限公司</w:t>
      </w:r>
    </w:p>
    <w:p>
      <w:pPr>
        <w:widowControl w:val="0"/>
        <w:autoSpaceDE w:val="0"/>
        <w:autoSpaceDN w:val="0"/>
        <w:adjustRightInd w:val="0"/>
        <w:spacing w:line="360" w:lineRule="auto"/>
        <w:jc w:val="center"/>
        <w:rPr>
          <w:rFonts w:eastAsia="黑体"/>
          <w:b/>
          <w:color w:val="FF0000"/>
          <w:sz w:val="36"/>
          <w:szCs w:val="36"/>
        </w:rPr>
      </w:pPr>
      <w:r>
        <w:rPr>
          <w:rFonts w:hint="eastAsia" w:eastAsia="黑体"/>
          <w:b/>
          <w:color w:val="FF0000"/>
          <w:sz w:val="36"/>
          <w:szCs w:val="36"/>
        </w:rPr>
        <w:t>关于</w:t>
      </w:r>
      <w:r>
        <w:rPr>
          <w:rFonts w:eastAsia="黑体"/>
          <w:b/>
          <w:color w:val="FF0000"/>
          <w:sz w:val="36"/>
          <w:szCs w:val="36"/>
        </w:rPr>
        <w:t>2021年股票期权激励计划首次授予股票期权第一个行权期行权条件达成的公告</w:t>
      </w:r>
    </w:p>
    <w:p>
      <w:pPr>
        <w:widowControl w:val="0"/>
        <w:autoSpaceDE w:val="0"/>
        <w:autoSpaceDN w:val="0"/>
        <w:adjustRightInd w:val="0"/>
        <w:spacing w:line="360" w:lineRule="auto"/>
        <w:jc w:val="center"/>
        <w:rPr>
          <w:color w:val="000000"/>
        </w:rPr>
      </w:pPr>
    </w:p>
    <w:p>
      <w:pPr>
        <w:pBdr>
          <w:top w:val="single" w:color="auto" w:sz="4" w:space="1"/>
          <w:left w:val="single" w:color="auto" w:sz="4" w:space="4"/>
          <w:bottom w:val="single" w:color="auto" w:sz="4" w:space="1"/>
          <w:right w:val="single" w:color="auto" w:sz="4" w:space="4"/>
        </w:pBdr>
        <w:adjustRightInd w:val="0"/>
        <w:snapToGrid w:val="0"/>
        <w:spacing w:line="360" w:lineRule="auto"/>
      </w:pPr>
      <w:r>
        <w:t xml:space="preserve">    本公司董事会及全体董事保证本公告内容不存在任何虚假记载、误导性陈述或者重大遗漏，并对其内容的真实性、准确性和完整性承担法律责任。  </w:t>
      </w:r>
    </w:p>
    <w:p>
      <w:pPr>
        <w:widowControl w:val="0"/>
        <w:autoSpaceDE w:val="0"/>
        <w:autoSpaceDN w:val="0"/>
        <w:adjustRightInd w:val="0"/>
        <w:spacing w:line="360" w:lineRule="auto"/>
        <w:rPr>
          <w:b/>
          <w:color w:val="000000"/>
        </w:rPr>
      </w:pPr>
      <w:r>
        <w:rPr>
          <w:rFonts w:hint="eastAsia"/>
          <w:b/>
          <w:color w:val="000000"/>
        </w:rPr>
        <w:t>重要内容提示：</w:t>
      </w:r>
    </w:p>
    <w:p>
      <w:pPr>
        <w:widowControl w:val="0"/>
        <w:numPr>
          <w:ilvl w:val="0"/>
          <w:numId w:val="1"/>
        </w:numPr>
        <w:autoSpaceDE w:val="0"/>
        <w:autoSpaceDN w:val="0"/>
        <w:adjustRightInd w:val="0"/>
        <w:spacing w:line="360" w:lineRule="auto"/>
        <w:rPr>
          <w:color w:val="000000"/>
        </w:rPr>
      </w:pPr>
      <w:r>
        <w:rPr>
          <w:color w:val="000000"/>
        </w:rPr>
        <w:t>股票期权拟行权数量：196.47万份</w:t>
      </w:r>
    </w:p>
    <w:p>
      <w:pPr>
        <w:widowControl w:val="0"/>
        <w:numPr>
          <w:ilvl w:val="0"/>
          <w:numId w:val="1"/>
        </w:numPr>
        <w:autoSpaceDE w:val="0"/>
        <w:autoSpaceDN w:val="0"/>
        <w:adjustRightInd w:val="0"/>
        <w:spacing w:line="360" w:lineRule="auto"/>
        <w:rPr>
          <w:color w:val="000000"/>
        </w:rPr>
      </w:pPr>
      <w:r>
        <w:rPr>
          <w:color w:val="000000"/>
        </w:rPr>
        <w:t>行权股票来源：公司向激励对象定向发行</w:t>
      </w:r>
      <w:r>
        <w:rPr>
          <w:rFonts w:hint="eastAsia"/>
          <w:color w:val="000000"/>
        </w:rPr>
        <w:t>的本</w:t>
      </w:r>
      <w:r>
        <w:rPr>
          <w:color w:val="000000"/>
        </w:rPr>
        <w:t>公司</w:t>
      </w:r>
      <w:r>
        <w:rPr>
          <w:rFonts w:hint="eastAsia"/>
          <w:color w:val="000000"/>
        </w:rPr>
        <w:t>人民币</w:t>
      </w:r>
      <w:r>
        <w:rPr>
          <w:color w:val="000000"/>
        </w:rPr>
        <w:t>A股普通股</w:t>
      </w:r>
      <w:r>
        <w:rPr>
          <w:rFonts w:hint="eastAsia"/>
          <w:color w:val="000000"/>
        </w:rPr>
        <w:t>股票</w:t>
      </w:r>
    </w:p>
    <w:p>
      <w:pPr>
        <w:pStyle w:val="15"/>
        <w:spacing w:line="360" w:lineRule="auto"/>
        <w:ind w:firstLine="476"/>
        <w:jc w:val="both"/>
        <w:rPr>
          <w:rFonts w:ascii="Times New Roman" w:eastAsia="宋体"/>
          <w:highlight w:val="yellow"/>
        </w:rPr>
      </w:pPr>
    </w:p>
    <w:p>
      <w:pPr>
        <w:snapToGrid w:val="0"/>
        <w:spacing w:line="360" w:lineRule="auto"/>
        <w:ind w:firstLine="460" w:firstLineChars="192"/>
        <w:jc w:val="both"/>
        <w:rPr>
          <w:rFonts w:eastAsiaTheme="minorEastAsia"/>
          <w:color w:val="000000"/>
        </w:rPr>
      </w:pPr>
      <w:r>
        <w:rPr>
          <w:rFonts w:hint="eastAsia" w:eastAsiaTheme="minorEastAsia"/>
          <w:color w:val="000000"/>
        </w:rPr>
        <w:t>格</w:t>
      </w:r>
      <w:r>
        <w:rPr>
          <w:rFonts w:eastAsiaTheme="minorEastAsia"/>
          <w:color w:val="000000"/>
        </w:rPr>
        <w:t>尔软件股份有限公司（以下简称</w:t>
      </w:r>
      <w:r>
        <w:rPr>
          <w:rFonts w:hint="eastAsia"/>
          <w:color w:val="000000"/>
        </w:rPr>
        <w:t>“公司”</w:t>
      </w:r>
      <w:r>
        <w:rPr>
          <w:rFonts w:eastAsiaTheme="minorEastAsia"/>
          <w:color w:val="000000"/>
        </w:rPr>
        <w:t>）于2022年</w:t>
      </w:r>
      <w:r>
        <w:rPr>
          <w:rFonts w:hint="eastAsia" w:eastAsiaTheme="minorEastAsia"/>
          <w:color w:val="000000"/>
        </w:rPr>
        <w:t>7</w:t>
      </w:r>
      <w:r>
        <w:rPr>
          <w:rFonts w:eastAsiaTheme="minorEastAsia"/>
          <w:color w:val="000000"/>
        </w:rPr>
        <w:t>月</w:t>
      </w:r>
      <w:r>
        <w:rPr>
          <w:rFonts w:hint="eastAsia" w:eastAsiaTheme="minorEastAsia"/>
          <w:color w:val="000000"/>
        </w:rPr>
        <w:t>15</w:t>
      </w:r>
      <w:r>
        <w:rPr>
          <w:rFonts w:eastAsiaTheme="minorEastAsia"/>
          <w:color w:val="000000"/>
        </w:rPr>
        <w:t>日第</w:t>
      </w:r>
      <w:r>
        <w:rPr>
          <w:rFonts w:hint="eastAsia" w:eastAsiaTheme="minorEastAsia"/>
          <w:color w:val="000000"/>
        </w:rPr>
        <w:t>八</w:t>
      </w:r>
      <w:r>
        <w:rPr>
          <w:rFonts w:eastAsiaTheme="minorEastAsia"/>
          <w:color w:val="000000"/>
        </w:rPr>
        <w:t>届董事会第</w:t>
      </w:r>
      <w:r>
        <w:rPr>
          <w:rFonts w:hint="eastAsia" w:eastAsiaTheme="minorEastAsia"/>
          <w:color w:val="000000"/>
        </w:rPr>
        <w:t>二</w:t>
      </w:r>
      <w:r>
        <w:rPr>
          <w:rFonts w:eastAsiaTheme="minorEastAsia"/>
          <w:color w:val="000000"/>
        </w:rPr>
        <w:t>次会议</w:t>
      </w:r>
      <w:r>
        <w:rPr>
          <w:rFonts w:hint="eastAsia" w:eastAsiaTheme="minorEastAsia"/>
          <w:color w:val="000000"/>
        </w:rPr>
        <w:t>及第八届监事会第二次会议，</w:t>
      </w:r>
      <w:r>
        <w:rPr>
          <w:rFonts w:eastAsiaTheme="minorEastAsia"/>
          <w:color w:val="000000"/>
        </w:rPr>
        <w:t>审议通过了《关于202</w:t>
      </w:r>
      <w:r>
        <w:rPr>
          <w:rFonts w:hint="eastAsia" w:eastAsiaTheme="minorEastAsia"/>
          <w:color w:val="000000"/>
        </w:rPr>
        <w:t>1</w:t>
      </w:r>
      <w:r>
        <w:rPr>
          <w:rFonts w:eastAsiaTheme="minorEastAsia"/>
          <w:color w:val="000000"/>
        </w:rPr>
        <w:t>年股票期权激励计划首次授予股票期权第一个行权期行权条件</w:t>
      </w:r>
      <w:r>
        <w:rPr>
          <w:rFonts w:hint="eastAsia" w:eastAsiaTheme="minorEastAsia"/>
          <w:color w:val="000000"/>
        </w:rPr>
        <w:t>达成</w:t>
      </w:r>
      <w:r>
        <w:rPr>
          <w:rFonts w:eastAsiaTheme="minorEastAsia"/>
          <w:color w:val="000000"/>
        </w:rPr>
        <w:t>的议案》，公司董事会认为公司202</w:t>
      </w:r>
      <w:r>
        <w:rPr>
          <w:rFonts w:hint="eastAsia" w:eastAsiaTheme="minorEastAsia"/>
          <w:color w:val="000000"/>
        </w:rPr>
        <w:t>1</w:t>
      </w:r>
      <w:r>
        <w:rPr>
          <w:rFonts w:eastAsiaTheme="minorEastAsia"/>
          <w:color w:val="000000"/>
        </w:rPr>
        <w:t>年股票期权激励计划（以下简称</w:t>
      </w:r>
      <w:r>
        <w:rPr>
          <w:rFonts w:hint="eastAsia" w:eastAsiaTheme="minorEastAsia"/>
          <w:color w:val="000000"/>
        </w:rPr>
        <w:t>“</w:t>
      </w:r>
      <w:r>
        <w:rPr>
          <w:rFonts w:eastAsiaTheme="minorEastAsia"/>
          <w:color w:val="000000"/>
        </w:rPr>
        <w:t>激励计划</w:t>
      </w:r>
      <w:r>
        <w:rPr>
          <w:rFonts w:hint="eastAsia" w:eastAsiaTheme="minorEastAsia"/>
          <w:color w:val="000000"/>
        </w:rPr>
        <w:t>”</w:t>
      </w:r>
      <w:r>
        <w:rPr>
          <w:rFonts w:eastAsiaTheme="minorEastAsia"/>
          <w:color w:val="000000"/>
        </w:rPr>
        <w:t>）第一个行权期行权条件已成就，公司董事会同意符合条件的激励对象进行股票期权行权，</w:t>
      </w:r>
      <w:r>
        <w:rPr>
          <w:rFonts w:hint="eastAsia" w:eastAsiaTheme="minorEastAsia"/>
          <w:color w:val="000000"/>
        </w:rPr>
        <w:t>第一个行权期</w:t>
      </w:r>
      <w:r>
        <w:rPr>
          <w:rFonts w:eastAsiaTheme="minorEastAsia"/>
          <w:color w:val="000000"/>
        </w:rPr>
        <w:t>可行权人员合计1</w:t>
      </w:r>
      <w:r>
        <w:rPr>
          <w:rFonts w:hint="eastAsia" w:eastAsiaTheme="minorEastAsia"/>
          <w:color w:val="000000"/>
        </w:rPr>
        <w:t>53</w:t>
      </w:r>
      <w:r>
        <w:rPr>
          <w:rFonts w:eastAsiaTheme="minorEastAsia"/>
          <w:color w:val="000000"/>
        </w:rPr>
        <w:t>名，可行权数量合计</w:t>
      </w:r>
      <w:r>
        <w:rPr>
          <w:rFonts w:hint="eastAsia"/>
        </w:rPr>
        <w:t>196.47</w:t>
      </w:r>
      <w:r>
        <w:rPr>
          <w:rFonts w:eastAsiaTheme="minorEastAsia"/>
          <w:color w:val="000000"/>
        </w:rPr>
        <w:t>万份。</w:t>
      </w:r>
    </w:p>
    <w:p>
      <w:pPr>
        <w:numPr>
          <w:ilvl w:val="0"/>
          <w:numId w:val="2"/>
        </w:numPr>
        <w:snapToGrid w:val="0"/>
        <w:spacing w:line="360" w:lineRule="auto"/>
        <w:ind w:firstLine="463" w:firstLineChars="192"/>
        <w:rPr>
          <w:rFonts w:eastAsiaTheme="minorEastAsia"/>
          <w:b/>
          <w:bCs/>
          <w:color w:val="000000"/>
        </w:rPr>
      </w:pPr>
      <w:r>
        <w:rPr>
          <w:rFonts w:hint="eastAsia" w:eastAsiaTheme="minorEastAsia"/>
          <w:b/>
          <w:bCs/>
          <w:color w:val="000000"/>
        </w:rPr>
        <w:t>股权激励计划批准及实施情况</w:t>
      </w:r>
    </w:p>
    <w:p>
      <w:pPr>
        <w:snapToGrid w:val="0"/>
        <w:spacing w:line="360" w:lineRule="auto"/>
        <w:ind w:firstLine="420"/>
        <w:rPr>
          <w:rFonts w:eastAsiaTheme="minorEastAsia"/>
          <w:b/>
          <w:bCs/>
          <w:color w:val="000000"/>
        </w:rPr>
      </w:pPr>
      <w:r>
        <w:rPr>
          <w:b/>
          <w:bCs/>
        </w:rPr>
        <w:t>（一）股权激励计划方案及履行的程序</w:t>
      </w:r>
    </w:p>
    <w:p>
      <w:pPr>
        <w:snapToGrid w:val="0"/>
        <w:spacing w:line="360" w:lineRule="auto"/>
        <w:ind w:firstLine="460" w:firstLineChars="192"/>
        <w:jc w:val="both"/>
        <w:rPr>
          <w:rFonts w:eastAsiaTheme="minorEastAsia"/>
          <w:color w:val="000000"/>
        </w:rPr>
      </w:pPr>
      <w:r>
        <w:rPr>
          <w:rFonts w:eastAsiaTheme="minorEastAsia"/>
          <w:color w:val="000000"/>
        </w:rPr>
        <w:t>1、公司于2021年7月9日召开第七届董事会第十七次会议、第七届监事会第十三次会议，审议通过了《关于&lt;格尔软件股份有限公司2021年股票期权激励计划（草案）&gt;及其摘要的议案》等本激励计划相关事项的议案，</w:t>
      </w:r>
      <w:bookmarkStart w:id="0" w:name="_Hlk108155289"/>
      <w:r>
        <w:rPr>
          <w:rFonts w:hint="eastAsia" w:eastAsiaTheme="minorEastAsia"/>
          <w:color w:val="000000"/>
        </w:rPr>
        <w:t>关联董事均回避表决，公司独立董事发表了同意意见。</w:t>
      </w:r>
      <w:bookmarkEnd w:id="0"/>
      <w:r>
        <w:rPr>
          <w:rFonts w:hint="eastAsia" w:eastAsiaTheme="minorEastAsia"/>
          <w:color w:val="000000"/>
        </w:rPr>
        <w:t>本激励计划涉及的激励对象共计</w:t>
      </w:r>
      <w:r>
        <w:rPr>
          <w:rFonts w:eastAsiaTheme="minorEastAsia"/>
          <w:color w:val="000000"/>
        </w:rPr>
        <w:t>163人，拟授予激励对象的股票期权数量为700万份，约占本激励计划草案公告日公司股本总额23,172.20万股的3.02%。</w:t>
      </w:r>
      <w:r>
        <w:rPr>
          <w:rFonts w:hint="eastAsia" w:eastAsiaTheme="minorEastAsia"/>
          <w:color w:val="000000"/>
        </w:rPr>
        <w:t>具体内容请详见公司于</w:t>
      </w:r>
      <w:r>
        <w:rPr>
          <w:rFonts w:eastAsiaTheme="minorEastAsia"/>
          <w:color w:val="000000"/>
        </w:rPr>
        <w:t>2021年7月10日刊登于上海证券交易所网站（www.sse.com.cn）的《格尔软件股份有限公司2021年股票期权激励计划（草案）摘要公告》（公告编号：2021-03</w:t>
      </w:r>
      <w:r>
        <w:rPr>
          <w:rFonts w:hint="eastAsia" w:eastAsiaTheme="minorEastAsia"/>
          <w:color w:val="000000"/>
        </w:rPr>
        <w:t>6）及《格尔软件股份有限公司</w:t>
      </w:r>
      <w:r>
        <w:rPr>
          <w:rFonts w:eastAsiaTheme="minorEastAsia"/>
          <w:color w:val="000000"/>
        </w:rPr>
        <w:t>2021年股票期权激励计划（草案）》。</w:t>
      </w:r>
    </w:p>
    <w:p>
      <w:pPr>
        <w:snapToGrid w:val="0"/>
        <w:spacing w:line="360" w:lineRule="auto"/>
        <w:ind w:firstLine="460" w:firstLineChars="192"/>
        <w:jc w:val="both"/>
        <w:rPr>
          <w:rFonts w:eastAsiaTheme="minorEastAsia"/>
          <w:color w:val="000000"/>
        </w:rPr>
      </w:pPr>
      <w:r>
        <w:rPr>
          <w:rFonts w:eastAsiaTheme="minorEastAsia"/>
          <w:color w:val="000000"/>
        </w:rPr>
        <w:t>2、2021年7月10日至2021年7月20日，公司通过公司官网将本次拟激励对象的名单及职务在公司内部予以公示，公示期满，公司监事会未收到任何对本次拟激励对象提出的异议。</w:t>
      </w:r>
    </w:p>
    <w:p>
      <w:pPr>
        <w:snapToGrid w:val="0"/>
        <w:spacing w:line="360" w:lineRule="auto"/>
        <w:ind w:firstLine="460" w:firstLineChars="192"/>
        <w:jc w:val="both"/>
        <w:rPr>
          <w:rFonts w:eastAsiaTheme="minorEastAsia"/>
          <w:color w:val="000000"/>
        </w:rPr>
      </w:pPr>
      <w:r>
        <w:rPr>
          <w:rFonts w:eastAsiaTheme="minorEastAsia"/>
          <w:color w:val="000000"/>
        </w:rPr>
        <w:t>3、公司于2021年7月20日召开公司第七届监事会第十四次会议，审议通过了《关于对格尔软件股份有限公司2021年股票期权激励计划激励对象名单的核查意见及公示情况说明的议案》。具体内容请详见公司于2021年7月21日刊登于上海证券交易所网站（www.sse.com.cn）的《格尔软件股份有限公司第七届监事会第十四次会议决议公告》（公告编号：2021-043）及《格尔软件股份有限公司监事会关于对公司2021年股票期权激励计划激励对象名单的核查意见及公示情况说明》。</w:t>
      </w:r>
    </w:p>
    <w:p>
      <w:pPr>
        <w:snapToGrid w:val="0"/>
        <w:spacing w:line="360" w:lineRule="auto"/>
        <w:ind w:firstLine="460" w:firstLineChars="192"/>
        <w:jc w:val="both"/>
        <w:rPr>
          <w:rFonts w:eastAsiaTheme="minorEastAsia"/>
          <w:color w:val="000000"/>
        </w:rPr>
      </w:pPr>
      <w:r>
        <w:rPr>
          <w:rFonts w:eastAsiaTheme="minorEastAsia"/>
          <w:color w:val="000000"/>
        </w:rPr>
        <w:t>4、公司于2021年7月26日召开公司2021年第一次临时股东大会，审议通过了《关于&lt;格尔软件股份有限公司2021年股票期权激励计划（草案）&gt;及其摘要的议案》等本激励计划相关事项的议案。具体内容请详见公司于2021年7月27日刊登于上海证券交易所网站（www.sse.com.cn）的《格尔软件股份有限公司2021年第一次临时股东大会决议公告》（公告编号：2021-046）。同时，公司就内幕信息知情人在本激励计划草案公开披露前6个月内买卖公司股票的情况进行了自查，未发现利用内幕信息进行股票交易的情形。</w:t>
      </w:r>
    </w:p>
    <w:p>
      <w:pPr>
        <w:snapToGrid w:val="0"/>
        <w:spacing w:line="360" w:lineRule="auto"/>
        <w:ind w:firstLine="460" w:firstLineChars="192"/>
        <w:jc w:val="both"/>
        <w:rPr>
          <w:rFonts w:eastAsiaTheme="minorEastAsia"/>
          <w:color w:val="000000"/>
        </w:rPr>
      </w:pPr>
      <w:r>
        <w:rPr>
          <w:rFonts w:eastAsiaTheme="minorEastAsia"/>
          <w:color w:val="000000"/>
        </w:rPr>
        <w:t>5、公司于2021年7月28日召开公司第七届董事会第十八次会议、第七届监事会第十五次会议，审议通过了《关于调整公司2021年股票期权激励计划激励对象名单的议案》、《关于向激励对象授予股票期权的议案》，公司独立董事发表了同意意见。</w:t>
      </w:r>
      <w:r>
        <w:rPr>
          <w:rFonts w:hint="eastAsia" w:eastAsiaTheme="minorEastAsia"/>
          <w:color w:val="000000"/>
        </w:rPr>
        <w:t>本次激励计划的激励对象由</w:t>
      </w:r>
      <w:r>
        <w:rPr>
          <w:rFonts w:eastAsiaTheme="minorEastAsia"/>
          <w:color w:val="000000"/>
        </w:rPr>
        <w:t>163名调整为162名，激励对象放弃认购的股票期权由其他激励对象认购，本次激励计划授予的股票期权总数不变。</w:t>
      </w:r>
      <w:r>
        <w:rPr>
          <w:rFonts w:hint="eastAsia" w:eastAsiaTheme="minorEastAsia"/>
          <w:color w:val="000000"/>
        </w:rPr>
        <w:t>具体内容请详见公司于</w:t>
      </w:r>
      <w:r>
        <w:rPr>
          <w:rFonts w:eastAsiaTheme="minorEastAsia"/>
          <w:color w:val="000000"/>
        </w:rPr>
        <w:t>2021年7月30日刊登于上海证券交易所网站（www.sse.com.cn）的《格尔软件股份有限公司第七届董事会第十八次会议决议公告》（公告编号：2021-048）。</w:t>
      </w:r>
    </w:p>
    <w:p>
      <w:pPr>
        <w:snapToGrid w:val="0"/>
        <w:spacing w:line="360" w:lineRule="auto"/>
        <w:ind w:firstLine="460" w:firstLineChars="192"/>
        <w:jc w:val="both"/>
        <w:rPr>
          <w:rFonts w:eastAsiaTheme="minorEastAsia"/>
          <w:color w:val="000000"/>
        </w:rPr>
      </w:pPr>
      <w:r>
        <w:rPr>
          <w:rFonts w:eastAsiaTheme="minorEastAsia"/>
          <w:color w:val="000000"/>
        </w:rPr>
        <w:t>6、公司于2021年9月2日在中国证券登记结算有限责任公司上海分公司完成了本次激励计划的授予登记工作，实际授予激励对象161人合计股票期权数量698.80万份</w:t>
      </w:r>
      <w:r>
        <w:rPr>
          <w:rFonts w:hint="eastAsia" w:eastAsiaTheme="minorEastAsia"/>
          <w:color w:val="000000"/>
        </w:rPr>
        <w:t>，</w:t>
      </w:r>
      <w:r>
        <w:rPr>
          <w:rFonts w:eastAsiaTheme="minorEastAsia"/>
          <w:color w:val="000000"/>
        </w:rPr>
        <w:t>实际登记数量与授予数量存在差异系因在确定授予日后的股票期权登记过程中，有1名激励对象因个人原因自愿放弃授予其的全部权益，该部分股票期权为1.20万份，按激励计划的相关规定不予登记。</w:t>
      </w:r>
      <w:r>
        <w:rPr>
          <w:rFonts w:hint="eastAsia" w:eastAsiaTheme="minorEastAsia"/>
          <w:color w:val="000000"/>
        </w:rPr>
        <w:t>具体内容请详见公司于</w:t>
      </w:r>
      <w:r>
        <w:rPr>
          <w:rFonts w:eastAsiaTheme="minorEastAsia"/>
          <w:color w:val="000000"/>
        </w:rPr>
        <w:t>2021年9月3日刊登于上海证券交易所网站（www.sse.com.cn）的《格尔软件股份有限公司关于2021年股票期权激励计划授予登记结果的公告》（公告编号：2021-061）。</w:t>
      </w:r>
    </w:p>
    <w:p>
      <w:pPr>
        <w:snapToGrid w:val="0"/>
        <w:spacing w:line="360" w:lineRule="auto"/>
        <w:ind w:firstLine="460" w:firstLineChars="192"/>
        <w:jc w:val="both"/>
        <w:rPr>
          <w:rFonts w:eastAsiaTheme="minorEastAsia"/>
          <w:color w:val="000000"/>
        </w:rPr>
      </w:pPr>
      <w:r>
        <w:rPr>
          <w:rFonts w:eastAsiaTheme="minorEastAsia"/>
          <w:color w:val="000000"/>
        </w:rPr>
        <w:t>7、公司于2021年12月3日召开第七届董事会第二十二次会议、第七届监事会第十九次会议，审议通过了《关于注销2021年股票期权激励计划授予的部分股票期权的议案》。</w:t>
      </w:r>
      <w:r>
        <w:rPr>
          <w:rFonts w:hint="eastAsia" w:eastAsiaTheme="minorEastAsia"/>
          <w:color w:val="000000"/>
        </w:rPr>
        <w:t>关联董事均回避表决，公司独立董事发表了同意意见。本次注销完成后，公司激励计划已授予股票期权的激励对象由</w:t>
      </w:r>
      <w:r>
        <w:rPr>
          <w:rFonts w:eastAsiaTheme="minorEastAsia"/>
          <w:color w:val="000000"/>
        </w:rPr>
        <w:t>161人调整为160人，已授予但未行权的股票期权由698.80万份调整为696.40万份。</w:t>
      </w:r>
      <w:r>
        <w:rPr>
          <w:rFonts w:hint="eastAsia" w:eastAsiaTheme="minorEastAsia"/>
          <w:color w:val="000000"/>
        </w:rPr>
        <w:t>具体内容请详见公司于2021年12月4日刊登于上海证券交易所网站（www.sse.com.cn）的《格尔软件股份有限公司关于注销2021年股票期权激励计划授予的部分股票期权的公告》（公告编号：2021-072）。经中国证券登记结算有限责任公司上海分公司审核确认，公司已于2021年12月10日完成了上述股票期权的注销业务，具体内容请详见公司于</w:t>
      </w:r>
      <w:r>
        <w:rPr>
          <w:rFonts w:eastAsiaTheme="minorEastAsia"/>
          <w:color w:val="000000"/>
        </w:rPr>
        <w:t>2021年12</w:t>
      </w:r>
      <w:r>
        <w:rPr>
          <w:rFonts w:hint="eastAsia" w:eastAsiaTheme="minorEastAsia"/>
          <w:color w:val="000000"/>
        </w:rPr>
        <w:t>月</w:t>
      </w:r>
      <w:r>
        <w:rPr>
          <w:rFonts w:eastAsiaTheme="minorEastAsia"/>
          <w:color w:val="000000"/>
        </w:rPr>
        <w:t>11</w:t>
      </w:r>
      <w:r>
        <w:rPr>
          <w:rFonts w:hint="eastAsia" w:eastAsiaTheme="minorEastAsia"/>
          <w:color w:val="000000"/>
        </w:rPr>
        <w:t>日刊登于上海证券交易所网站（</w:t>
      </w:r>
      <w:r>
        <w:rPr>
          <w:rFonts w:eastAsiaTheme="minorEastAsia"/>
          <w:color w:val="000000"/>
        </w:rPr>
        <w:t>www.sse.com.cn）的《格尔软件股份有限公司关于部分股票期权注销完成的公告》（公告编号：2021-074）。</w:t>
      </w:r>
    </w:p>
    <w:p>
      <w:pPr>
        <w:wordWrap w:val="0"/>
        <w:snapToGrid w:val="0"/>
        <w:spacing w:line="360" w:lineRule="auto"/>
        <w:ind w:firstLine="460" w:firstLineChars="192"/>
        <w:jc w:val="both"/>
        <w:rPr>
          <w:rFonts w:eastAsiaTheme="minorEastAsia"/>
          <w:color w:val="000000"/>
        </w:rPr>
      </w:pPr>
      <w:r>
        <w:rPr>
          <w:rFonts w:eastAsiaTheme="minorEastAsia"/>
          <w:color w:val="000000"/>
        </w:rPr>
        <w:t>8、公司于2022年7月15日召开第八届董事会第二次会议和第八届监事会第二会议</w:t>
      </w:r>
      <w:r>
        <w:rPr>
          <w:rFonts w:hint="eastAsia" w:eastAsiaTheme="minorEastAsia"/>
          <w:color w:val="000000"/>
        </w:rPr>
        <w:t>，</w:t>
      </w:r>
      <w:r>
        <w:rPr>
          <w:rFonts w:eastAsiaTheme="minorEastAsia"/>
          <w:color w:val="000000"/>
        </w:rPr>
        <w:t>审议通过了《关于拟注销部分已获授但尚未行权股票期权的议案》《关于调整公司2021年股票期权激励计划股票期权行权价格的议案》《关于2021年股票期权激励计划</w:t>
      </w:r>
      <w:r>
        <w:rPr>
          <w:rFonts w:hint="eastAsia" w:eastAsiaTheme="minorEastAsia"/>
        </w:rPr>
        <w:t>首次授予股票期权</w:t>
      </w:r>
      <w:r>
        <w:rPr>
          <w:rFonts w:hint="eastAsia" w:eastAsiaTheme="minorEastAsia"/>
          <w:color w:val="000000"/>
        </w:rPr>
        <w:t>第一个行权期行权条件达成的议案》，关联董事回避了相关议案的表决，独立董事对上述事项发表了独立意见。本次注销完成后，公司激励计划已授予股票期权的激励对象人数由</w:t>
      </w:r>
      <w:r>
        <w:rPr>
          <w:rFonts w:eastAsiaTheme="minorEastAsia"/>
          <w:color w:val="000000"/>
        </w:rPr>
        <w:t>160人调整为153</w:t>
      </w:r>
      <w:r>
        <w:rPr>
          <w:rFonts w:hint="eastAsia" w:eastAsiaTheme="minorEastAsia"/>
          <w:color w:val="000000"/>
        </w:rPr>
        <w:t>人，已授予但尚未行权的股票期权数量由</w:t>
      </w:r>
      <w:r>
        <w:rPr>
          <w:rFonts w:eastAsiaTheme="minorEastAsia"/>
          <w:color w:val="000000"/>
        </w:rPr>
        <w:t>698.40</w:t>
      </w:r>
      <w:r>
        <w:rPr>
          <w:rFonts w:hint="eastAsia" w:eastAsiaTheme="minorEastAsia"/>
          <w:color w:val="000000"/>
        </w:rPr>
        <w:t>万份调整为</w:t>
      </w:r>
      <w:r>
        <w:rPr>
          <w:rFonts w:hint="eastAsia"/>
        </w:rPr>
        <w:t>654.90</w:t>
      </w:r>
      <w:r>
        <w:rPr>
          <w:rFonts w:hint="eastAsia" w:eastAsiaTheme="minorEastAsia"/>
          <w:color w:val="000000"/>
        </w:rPr>
        <w:t>万份。本次调整后，公司本次激励计划首次授予股票期权的行权价格由</w:t>
      </w:r>
      <w:r>
        <w:rPr>
          <w:rFonts w:eastAsiaTheme="minorEastAsia"/>
          <w:color w:val="000000"/>
        </w:rPr>
        <w:t>13.58元/股调整为13.45元/股。</w:t>
      </w:r>
      <w:r>
        <w:rPr>
          <w:rFonts w:hint="eastAsia" w:eastAsiaTheme="minorEastAsia"/>
          <w:color w:val="000000"/>
        </w:rPr>
        <w:t>具体内容请详见公司于同日刊登于上海证券交易所网站（</w:t>
      </w:r>
      <w:r>
        <w:rPr>
          <w:rFonts w:eastAsiaTheme="minorEastAsia"/>
          <w:color w:val="000000"/>
        </w:rPr>
        <w:t>www.sse.com.cn）的《</w:t>
      </w:r>
      <w:r>
        <w:rPr>
          <w:rFonts w:hint="eastAsia" w:eastAsiaTheme="minorEastAsia"/>
          <w:color w:val="000000"/>
        </w:rPr>
        <w:t>格尔软件股份有限公司关于</w:t>
      </w:r>
      <w:r>
        <w:rPr>
          <w:rFonts w:eastAsiaTheme="minorEastAsia"/>
          <w:color w:val="000000"/>
        </w:rPr>
        <w:t>2021年股票期权激励计划注销部分股票期权及调整首次授予股票期权行权价格的公告</w:t>
      </w:r>
      <w:r>
        <w:rPr>
          <w:rFonts w:hint="eastAsia" w:eastAsiaTheme="minorEastAsia"/>
          <w:color w:val="000000"/>
        </w:rPr>
        <w:t>》（公告编号：</w:t>
      </w:r>
      <w:r>
        <w:rPr>
          <w:rFonts w:eastAsiaTheme="minorEastAsia"/>
          <w:color w:val="000000"/>
        </w:rPr>
        <w:t>2022-037</w:t>
      </w:r>
      <w:r>
        <w:rPr>
          <w:rFonts w:hint="eastAsia" w:eastAsiaTheme="minorEastAsia"/>
          <w:color w:val="000000"/>
        </w:rPr>
        <w:t>）等公告。</w:t>
      </w:r>
    </w:p>
    <w:p>
      <w:pPr>
        <w:wordWrap w:val="0"/>
        <w:snapToGrid w:val="0"/>
        <w:spacing w:line="360" w:lineRule="auto"/>
        <w:ind w:firstLine="460" w:firstLineChars="192"/>
        <w:rPr>
          <w:rFonts w:eastAsiaTheme="minorEastAsia"/>
          <w:color w:val="000000"/>
        </w:rPr>
      </w:pPr>
    </w:p>
    <w:p>
      <w:pPr>
        <w:autoSpaceDE w:val="0"/>
        <w:autoSpaceDN w:val="0"/>
        <w:adjustRightInd w:val="0"/>
        <w:snapToGrid w:val="0"/>
        <w:spacing w:line="360" w:lineRule="auto"/>
        <w:ind w:firstLine="506" w:firstLineChars="210"/>
        <w:rPr>
          <w:rFonts w:eastAsiaTheme="minorEastAsia"/>
          <w:b/>
          <w:bCs/>
        </w:rPr>
      </w:pPr>
      <w:r>
        <w:rPr>
          <w:rFonts w:hint="eastAsia" w:eastAsiaTheme="minorEastAsia"/>
          <w:b/>
          <w:bCs/>
        </w:rPr>
        <w:t>（二）历次股票期权授予情况</w:t>
      </w:r>
    </w:p>
    <w:tbl>
      <w:tblPr>
        <w:tblStyle w:val="10"/>
        <w:tblW w:w="9498"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1134"/>
        <w:gridCol w:w="1275"/>
        <w:gridCol w:w="1418"/>
        <w:gridCol w:w="1276"/>
        <w:gridCol w:w="1417"/>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1277" w:type="dxa"/>
            <w:vAlign w:val="center"/>
          </w:tcPr>
          <w:p>
            <w:pPr>
              <w:widowControl w:val="0"/>
              <w:autoSpaceDE w:val="0"/>
              <w:autoSpaceDN w:val="0"/>
              <w:adjustRightInd w:val="0"/>
              <w:snapToGrid w:val="0"/>
              <w:spacing w:line="360" w:lineRule="auto"/>
              <w:jc w:val="center"/>
              <w:rPr>
                <w:rFonts w:eastAsiaTheme="minorEastAsia"/>
                <w:b/>
                <w:bCs/>
              </w:rPr>
            </w:pPr>
            <w:r>
              <w:rPr>
                <w:rFonts w:eastAsiaTheme="minorEastAsia"/>
                <w:b/>
                <w:bCs/>
              </w:rPr>
              <w:t>批次</w:t>
            </w:r>
          </w:p>
        </w:tc>
        <w:tc>
          <w:tcPr>
            <w:tcW w:w="1134" w:type="dxa"/>
            <w:vAlign w:val="center"/>
          </w:tcPr>
          <w:p>
            <w:pPr>
              <w:widowControl w:val="0"/>
              <w:autoSpaceDE w:val="0"/>
              <w:autoSpaceDN w:val="0"/>
              <w:adjustRightInd w:val="0"/>
              <w:snapToGrid w:val="0"/>
              <w:spacing w:line="360" w:lineRule="auto"/>
              <w:jc w:val="center"/>
              <w:rPr>
                <w:rFonts w:eastAsiaTheme="minorEastAsia"/>
                <w:b/>
                <w:bCs/>
              </w:rPr>
            </w:pPr>
            <w:r>
              <w:rPr>
                <w:rFonts w:hint="eastAsia" w:eastAsiaTheme="minorEastAsia"/>
                <w:b/>
                <w:bCs/>
              </w:rPr>
              <w:t>授予日期</w:t>
            </w:r>
          </w:p>
        </w:tc>
        <w:tc>
          <w:tcPr>
            <w:tcW w:w="1275" w:type="dxa"/>
            <w:vAlign w:val="center"/>
          </w:tcPr>
          <w:p>
            <w:pPr>
              <w:widowControl w:val="0"/>
              <w:autoSpaceDE w:val="0"/>
              <w:autoSpaceDN w:val="0"/>
              <w:adjustRightInd w:val="0"/>
              <w:snapToGrid w:val="0"/>
              <w:spacing w:line="360" w:lineRule="auto"/>
              <w:jc w:val="center"/>
              <w:rPr>
                <w:rFonts w:eastAsiaTheme="minorEastAsia"/>
                <w:b/>
                <w:bCs/>
              </w:rPr>
            </w:pPr>
            <w:r>
              <w:rPr>
                <w:rFonts w:hint="eastAsia" w:eastAsiaTheme="minorEastAsia"/>
                <w:b/>
                <w:bCs/>
              </w:rPr>
              <w:t>授予登记日</w:t>
            </w:r>
          </w:p>
        </w:tc>
        <w:tc>
          <w:tcPr>
            <w:tcW w:w="1418" w:type="dxa"/>
            <w:vAlign w:val="center"/>
          </w:tcPr>
          <w:p>
            <w:pPr>
              <w:widowControl w:val="0"/>
              <w:autoSpaceDE w:val="0"/>
              <w:autoSpaceDN w:val="0"/>
              <w:adjustRightInd w:val="0"/>
              <w:snapToGrid w:val="0"/>
              <w:spacing w:line="360" w:lineRule="auto"/>
              <w:jc w:val="center"/>
              <w:rPr>
                <w:rFonts w:eastAsiaTheme="minorEastAsia"/>
                <w:b/>
                <w:bCs/>
              </w:rPr>
            </w:pPr>
            <w:r>
              <w:rPr>
                <w:rFonts w:hint="eastAsia" w:eastAsiaTheme="minorEastAsia"/>
                <w:b/>
                <w:bCs/>
              </w:rPr>
              <w:t>授予时行权价格</w:t>
            </w:r>
          </w:p>
        </w:tc>
        <w:tc>
          <w:tcPr>
            <w:tcW w:w="1276" w:type="dxa"/>
            <w:vAlign w:val="center"/>
          </w:tcPr>
          <w:p>
            <w:pPr>
              <w:widowControl w:val="0"/>
              <w:autoSpaceDE w:val="0"/>
              <w:autoSpaceDN w:val="0"/>
              <w:adjustRightInd w:val="0"/>
              <w:snapToGrid w:val="0"/>
              <w:spacing w:line="360" w:lineRule="auto"/>
              <w:jc w:val="center"/>
              <w:rPr>
                <w:rFonts w:eastAsiaTheme="minorEastAsia"/>
                <w:b/>
                <w:bCs/>
              </w:rPr>
            </w:pPr>
            <w:r>
              <w:rPr>
                <w:rFonts w:hint="eastAsia" w:eastAsiaTheme="minorEastAsia"/>
                <w:b/>
                <w:bCs/>
              </w:rPr>
              <w:t>授予股票期权数量</w:t>
            </w:r>
          </w:p>
        </w:tc>
        <w:tc>
          <w:tcPr>
            <w:tcW w:w="1417" w:type="dxa"/>
            <w:vAlign w:val="center"/>
          </w:tcPr>
          <w:p>
            <w:pPr>
              <w:widowControl w:val="0"/>
              <w:autoSpaceDE w:val="0"/>
              <w:autoSpaceDN w:val="0"/>
              <w:adjustRightInd w:val="0"/>
              <w:snapToGrid w:val="0"/>
              <w:spacing w:line="360" w:lineRule="auto"/>
              <w:jc w:val="center"/>
              <w:rPr>
                <w:rFonts w:eastAsiaTheme="minorEastAsia"/>
                <w:b/>
                <w:bCs/>
              </w:rPr>
            </w:pPr>
            <w:r>
              <w:rPr>
                <w:rFonts w:hint="eastAsia" w:eastAsiaTheme="minorEastAsia"/>
                <w:b/>
                <w:bCs/>
              </w:rPr>
              <w:t>授予激励对象人数</w:t>
            </w:r>
          </w:p>
        </w:tc>
        <w:tc>
          <w:tcPr>
            <w:tcW w:w="1701" w:type="dxa"/>
            <w:vAlign w:val="center"/>
          </w:tcPr>
          <w:p>
            <w:pPr>
              <w:widowControl w:val="0"/>
              <w:autoSpaceDE w:val="0"/>
              <w:autoSpaceDN w:val="0"/>
              <w:adjustRightInd w:val="0"/>
              <w:snapToGrid w:val="0"/>
              <w:spacing w:line="360" w:lineRule="auto"/>
              <w:jc w:val="center"/>
              <w:rPr>
                <w:rFonts w:eastAsiaTheme="minorEastAsia"/>
                <w:b/>
                <w:bCs/>
              </w:rPr>
            </w:pPr>
            <w:r>
              <w:rPr>
                <w:rFonts w:hint="eastAsia" w:eastAsiaTheme="minorEastAsia"/>
                <w:b/>
                <w:bCs/>
              </w:rPr>
              <w:t>授予后股票期权剩余数量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1277" w:type="dxa"/>
            <w:vAlign w:val="center"/>
          </w:tcPr>
          <w:p>
            <w:pPr>
              <w:widowControl w:val="0"/>
              <w:autoSpaceDE w:val="0"/>
              <w:autoSpaceDN w:val="0"/>
              <w:adjustRightInd w:val="0"/>
              <w:snapToGrid w:val="0"/>
              <w:spacing w:line="360" w:lineRule="auto"/>
              <w:jc w:val="center"/>
            </w:pPr>
            <w:bookmarkStart w:id="1" w:name="_Hlk108781765"/>
            <w:r>
              <w:t>2021年股票期权激励计划</w:t>
            </w:r>
            <w:bookmarkEnd w:id="1"/>
          </w:p>
        </w:tc>
        <w:tc>
          <w:tcPr>
            <w:tcW w:w="1134" w:type="dxa"/>
            <w:vAlign w:val="center"/>
          </w:tcPr>
          <w:p>
            <w:pPr>
              <w:widowControl w:val="0"/>
              <w:autoSpaceDE w:val="0"/>
              <w:autoSpaceDN w:val="0"/>
              <w:adjustRightInd w:val="0"/>
              <w:snapToGrid w:val="0"/>
              <w:spacing w:line="360" w:lineRule="auto"/>
              <w:jc w:val="center"/>
            </w:pPr>
            <w:r>
              <w:t>2021年7</w:t>
            </w:r>
            <w:r>
              <w:rPr>
                <w:rFonts w:hint="eastAsia"/>
              </w:rPr>
              <w:t>月</w:t>
            </w:r>
            <w:r>
              <w:t>28</w:t>
            </w:r>
            <w:r>
              <w:rPr>
                <w:rFonts w:hint="eastAsia"/>
              </w:rPr>
              <w:t>日</w:t>
            </w:r>
          </w:p>
        </w:tc>
        <w:tc>
          <w:tcPr>
            <w:tcW w:w="1275" w:type="dxa"/>
            <w:vAlign w:val="center"/>
          </w:tcPr>
          <w:p>
            <w:pPr>
              <w:widowControl w:val="0"/>
              <w:autoSpaceDE w:val="0"/>
              <w:autoSpaceDN w:val="0"/>
              <w:adjustRightInd w:val="0"/>
              <w:snapToGrid w:val="0"/>
              <w:spacing w:line="360" w:lineRule="auto"/>
              <w:jc w:val="center"/>
            </w:pPr>
            <w:r>
              <w:t>2021年9月2日</w:t>
            </w:r>
          </w:p>
        </w:tc>
        <w:tc>
          <w:tcPr>
            <w:tcW w:w="1418" w:type="dxa"/>
            <w:vAlign w:val="center"/>
          </w:tcPr>
          <w:p>
            <w:pPr>
              <w:widowControl w:val="0"/>
              <w:autoSpaceDE w:val="0"/>
              <w:autoSpaceDN w:val="0"/>
              <w:adjustRightInd w:val="0"/>
              <w:snapToGrid w:val="0"/>
              <w:spacing w:line="360" w:lineRule="auto"/>
              <w:jc w:val="center"/>
            </w:pPr>
            <w:r>
              <w:t>13.58元/股</w:t>
            </w:r>
          </w:p>
        </w:tc>
        <w:tc>
          <w:tcPr>
            <w:tcW w:w="1276" w:type="dxa"/>
            <w:vAlign w:val="center"/>
          </w:tcPr>
          <w:p>
            <w:pPr>
              <w:widowControl w:val="0"/>
              <w:autoSpaceDE w:val="0"/>
              <w:autoSpaceDN w:val="0"/>
              <w:adjustRightInd w:val="0"/>
              <w:snapToGrid w:val="0"/>
              <w:spacing w:line="360" w:lineRule="auto"/>
              <w:jc w:val="center"/>
            </w:pPr>
            <w:r>
              <w:t>698.80万份</w:t>
            </w:r>
          </w:p>
        </w:tc>
        <w:tc>
          <w:tcPr>
            <w:tcW w:w="1417" w:type="dxa"/>
            <w:vAlign w:val="center"/>
          </w:tcPr>
          <w:p>
            <w:pPr>
              <w:widowControl w:val="0"/>
              <w:autoSpaceDE w:val="0"/>
              <w:autoSpaceDN w:val="0"/>
              <w:adjustRightInd w:val="0"/>
              <w:snapToGrid w:val="0"/>
              <w:spacing w:line="360" w:lineRule="auto"/>
              <w:jc w:val="center"/>
            </w:pPr>
            <w:r>
              <w:t>161人</w:t>
            </w:r>
          </w:p>
        </w:tc>
        <w:tc>
          <w:tcPr>
            <w:tcW w:w="1701" w:type="dxa"/>
            <w:vAlign w:val="center"/>
          </w:tcPr>
          <w:p>
            <w:pPr>
              <w:widowControl w:val="0"/>
              <w:autoSpaceDE w:val="0"/>
              <w:autoSpaceDN w:val="0"/>
              <w:adjustRightInd w:val="0"/>
              <w:snapToGrid w:val="0"/>
              <w:spacing w:line="360" w:lineRule="auto"/>
              <w:jc w:val="center"/>
            </w:pPr>
            <w:r>
              <w:t>0份</w:t>
            </w:r>
          </w:p>
        </w:tc>
      </w:tr>
    </w:tbl>
    <w:p>
      <w:pPr>
        <w:autoSpaceDE w:val="0"/>
        <w:autoSpaceDN w:val="0"/>
        <w:adjustRightInd w:val="0"/>
        <w:snapToGrid w:val="0"/>
        <w:spacing w:line="360" w:lineRule="auto"/>
        <w:ind w:firstLine="420" w:firstLineChars="200"/>
        <w:rPr>
          <w:rFonts w:eastAsiaTheme="minorEastAsia"/>
          <w:sz w:val="21"/>
          <w:szCs w:val="21"/>
        </w:rPr>
      </w:pPr>
      <w:bookmarkStart w:id="2" w:name="_Hlk108197916"/>
      <w:r>
        <w:rPr>
          <w:rFonts w:hint="eastAsia" w:eastAsiaTheme="minorEastAsia"/>
          <w:sz w:val="21"/>
          <w:szCs w:val="21"/>
        </w:rPr>
        <w:t>注：在确定授予日后的股票期权登记过程中，有</w:t>
      </w:r>
      <w:r>
        <w:rPr>
          <w:rFonts w:eastAsiaTheme="minorEastAsia"/>
          <w:sz w:val="21"/>
          <w:szCs w:val="21"/>
        </w:rPr>
        <w:t>1名激励对象因个人原因自愿放弃授予其的全部权益，该部分股票期权为1.20万份，按激励计划的相关规定不予登记。</w:t>
      </w:r>
      <w:r>
        <w:rPr>
          <w:rFonts w:hint="eastAsia" w:eastAsiaTheme="minorEastAsia"/>
          <w:sz w:val="21"/>
          <w:szCs w:val="21"/>
        </w:rPr>
        <w:t>实际授予股票期权数量与授予激励对象人数调整为</w:t>
      </w:r>
      <w:r>
        <w:rPr>
          <w:rFonts w:eastAsiaTheme="minorEastAsia"/>
          <w:sz w:val="21"/>
          <w:szCs w:val="21"/>
        </w:rPr>
        <w:t>698.80万份与161人。</w:t>
      </w:r>
    </w:p>
    <w:p>
      <w:pPr>
        <w:numPr>
          <w:ilvl w:val="0"/>
          <w:numId w:val="3"/>
        </w:numPr>
        <w:autoSpaceDE w:val="0"/>
        <w:autoSpaceDN w:val="0"/>
        <w:adjustRightInd w:val="0"/>
        <w:snapToGrid w:val="0"/>
        <w:spacing w:line="360" w:lineRule="auto"/>
        <w:ind w:firstLine="506" w:firstLineChars="210"/>
        <w:rPr>
          <w:rFonts w:eastAsiaTheme="minorEastAsia"/>
          <w:b/>
          <w:bCs/>
        </w:rPr>
      </w:pPr>
      <w:r>
        <w:rPr>
          <w:rFonts w:hint="eastAsia" w:eastAsiaTheme="minorEastAsia"/>
          <w:b/>
          <w:bCs/>
        </w:rPr>
        <w:t>股票期权行权数量、对象人数、行权价格的调整情况</w:t>
      </w:r>
    </w:p>
    <w:p>
      <w:pPr>
        <w:autoSpaceDE w:val="0"/>
        <w:autoSpaceDN w:val="0"/>
        <w:adjustRightInd w:val="0"/>
        <w:snapToGrid w:val="0"/>
        <w:spacing w:line="360" w:lineRule="auto"/>
        <w:ind w:firstLine="480" w:firstLineChars="200"/>
        <w:jc w:val="both"/>
        <w:rPr>
          <w:rFonts w:eastAsiaTheme="minorEastAsia"/>
        </w:rPr>
      </w:pPr>
      <w:r>
        <w:rPr>
          <w:rFonts w:hint="eastAsia" w:eastAsiaTheme="minorEastAsia"/>
        </w:rPr>
        <w:t>根据</w:t>
      </w:r>
      <w:r>
        <w:rPr>
          <w:rFonts w:eastAsiaTheme="minorEastAsia"/>
        </w:rPr>
        <w:t>《公司2021年股票期权激励计划（草案）》的相关规定，</w:t>
      </w:r>
      <w:r>
        <w:rPr>
          <w:rFonts w:hint="eastAsia" w:eastAsiaTheme="minorEastAsia"/>
        </w:rPr>
        <w:t>结合公司实施</w:t>
      </w:r>
      <w:r>
        <w:rPr>
          <w:rFonts w:eastAsiaTheme="minorEastAsia"/>
        </w:rPr>
        <w:t>2021</w:t>
      </w:r>
      <w:r>
        <w:rPr>
          <w:rFonts w:hint="eastAsia" w:eastAsiaTheme="minorEastAsia"/>
        </w:rPr>
        <w:t>年年度权益分派实施情况，对公司</w:t>
      </w:r>
      <w:r>
        <w:rPr>
          <w:rFonts w:eastAsiaTheme="minorEastAsia"/>
        </w:rPr>
        <w:t>2021年股票期权激励计划行权价格</w:t>
      </w:r>
      <w:r>
        <w:rPr>
          <w:rFonts w:hint="eastAsia" w:eastAsiaTheme="minorEastAsia"/>
        </w:rPr>
        <w:t>进行调整，调整后的行权价格为</w:t>
      </w:r>
      <w:r>
        <w:rPr>
          <w:rFonts w:eastAsiaTheme="minorEastAsia"/>
        </w:rPr>
        <w:t>13.45元/股。</w:t>
      </w:r>
    </w:p>
    <w:p>
      <w:pPr>
        <w:autoSpaceDE w:val="0"/>
        <w:autoSpaceDN w:val="0"/>
        <w:adjustRightInd w:val="0"/>
        <w:snapToGrid w:val="0"/>
        <w:spacing w:line="360" w:lineRule="auto"/>
        <w:ind w:firstLine="480" w:firstLineChars="200"/>
        <w:jc w:val="both"/>
        <w:rPr>
          <w:rFonts w:eastAsiaTheme="minorEastAsia"/>
        </w:rPr>
      </w:pPr>
      <w:r>
        <w:rPr>
          <w:rFonts w:hint="eastAsia" w:eastAsiaTheme="minorEastAsia"/>
        </w:rPr>
        <w:t>截至本公告披露日，鉴于</w:t>
      </w:r>
      <w:r>
        <w:rPr>
          <w:rFonts w:eastAsiaTheme="minorEastAsia"/>
        </w:rPr>
        <w:t>8</w:t>
      </w:r>
      <w:r>
        <w:rPr>
          <w:rFonts w:hint="eastAsia" w:eastAsiaTheme="minorEastAsia"/>
        </w:rPr>
        <w:t>名激励对象离职，已不符合激励条件，不再具备激励对象资格，不符合行权条件，按照《公司</w:t>
      </w:r>
      <w:r>
        <w:rPr>
          <w:rFonts w:eastAsiaTheme="minorEastAsia"/>
        </w:rPr>
        <w:t>2021年股票期权激励计划（草案）》</w:t>
      </w:r>
      <w:r>
        <w:rPr>
          <w:rFonts w:hint="eastAsia" w:eastAsiaTheme="minorEastAsia"/>
        </w:rPr>
        <w:t>的相关规定，该部分激励对象已获授但尚未行权的股票期权数量共计</w:t>
      </w:r>
      <w:r>
        <w:rPr>
          <w:rFonts w:eastAsiaTheme="minorEastAsia"/>
        </w:rPr>
        <w:t>43.90</w:t>
      </w:r>
      <w:r>
        <w:rPr>
          <w:rFonts w:hint="eastAsia" w:eastAsiaTheme="minorEastAsia"/>
        </w:rPr>
        <w:t>万份由公司统一注销。</w:t>
      </w:r>
    </w:p>
    <w:p>
      <w:pPr>
        <w:autoSpaceDE w:val="0"/>
        <w:autoSpaceDN w:val="0"/>
        <w:adjustRightInd w:val="0"/>
        <w:snapToGrid w:val="0"/>
        <w:spacing w:line="360" w:lineRule="auto"/>
        <w:ind w:firstLine="480" w:firstLineChars="200"/>
        <w:jc w:val="both"/>
        <w:rPr>
          <w:rFonts w:eastAsiaTheme="minorEastAsia"/>
        </w:rPr>
      </w:pPr>
      <w:r>
        <w:rPr>
          <w:rFonts w:hint="eastAsia" w:eastAsiaTheme="minorEastAsia"/>
        </w:rPr>
        <w:t>上述变动后，公司</w:t>
      </w:r>
      <w:r>
        <w:rPr>
          <w:rFonts w:eastAsiaTheme="minorEastAsia"/>
        </w:rPr>
        <w:t>2021年股票期权激励计划</w:t>
      </w:r>
      <w:r>
        <w:rPr>
          <w:rFonts w:hint="eastAsia" w:eastAsiaTheme="minorEastAsia"/>
        </w:rPr>
        <w:t>行权数量、对象人数、行权价格如下：</w:t>
      </w:r>
    </w:p>
    <w:tbl>
      <w:tblPr>
        <w:tblStyle w:val="10"/>
        <w:tblW w:w="9073"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7"/>
        <w:gridCol w:w="1559"/>
        <w:gridCol w:w="2410"/>
        <w:gridCol w:w="2268"/>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72" w:hRule="atLeast"/>
        </w:trPr>
        <w:tc>
          <w:tcPr>
            <w:tcW w:w="1277" w:type="dxa"/>
            <w:vAlign w:val="center"/>
          </w:tcPr>
          <w:p>
            <w:pPr>
              <w:widowControl w:val="0"/>
              <w:autoSpaceDE w:val="0"/>
              <w:autoSpaceDN w:val="0"/>
              <w:adjustRightInd w:val="0"/>
              <w:snapToGrid w:val="0"/>
              <w:spacing w:line="360" w:lineRule="auto"/>
              <w:jc w:val="center"/>
              <w:rPr>
                <w:rFonts w:eastAsiaTheme="minorEastAsia"/>
                <w:b/>
                <w:bCs/>
              </w:rPr>
            </w:pPr>
            <w:r>
              <w:rPr>
                <w:rFonts w:eastAsiaTheme="minorEastAsia"/>
                <w:b/>
                <w:bCs/>
              </w:rPr>
              <w:t>批次</w:t>
            </w:r>
          </w:p>
        </w:tc>
        <w:tc>
          <w:tcPr>
            <w:tcW w:w="1559" w:type="dxa"/>
            <w:vAlign w:val="center"/>
          </w:tcPr>
          <w:p>
            <w:pPr>
              <w:widowControl w:val="0"/>
              <w:autoSpaceDE w:val="0"/>
              <w:autoSpaceDN w:val="0"/>
              <w:adjustRightInd w:val="0"/>
              <w:snapToGrid w:val="0"/>
              <w:spacing w:line="360" w:lineRule="auto"/>
              <w:jc w:val="center"/>
              <w:rPr>
                <w:rFonts w:eastAsiaTheme="minorEastAsia"/>
                <w:b/>
                <w:bCs/>
              </w:rPr>
            </w:pPr>
            <w:r>
              <w:rPr>
                <w:rFonts w:hint="eastAsia" w:eastAsiaTheme="minorEastAsia"/>
                <w:b/>
                <w:bCs/>
              </w:rPr>
              <w:t>行权价格（调整后）</w:t>
            </w:r>
          </w:p>
        </w:tc>
        <w:tc>
          <w:tcPr>
            <w:tcW w:w="2410" w:type="dxa"/>
            <w:vAlign w:val="center"/>
          </w:tcPr>
          <w:p>
            <w:pPr>
              <w:widowControl w:val="0"/>
              <w:autoSpaceDE w:val="0"/>
              <w:autoSpaceDN w:val="0"/>
              <w:adjustRightInd w:val="0"/>
              <w:snapToGrid w:val="0"/>
              <w:spacing w:line="360" w:lineRule="auto"/>
              <w:jc w:val="center"/>
              <w:rPr>
                <w:rFonts w:eastAsiaTheme="minorEastAsia"/>
                <w:b/>
                <w:bCs/>
              </w:rPr>
            </w:pPr>
            <w:r>
              <w:rPr>
                <w:rFonts w:hint="eastAsia" w:eastAsiaTheme="minorEastAsia"/>
                <w:b/>
                <w:bCs/>
              </w:rPr>
              <w:t>授予股票期权数量（调整后）</w:t>
            </w:r>
          </w:p>
        </w:tc>
        <w:tc>
          <w:tcPr>
            <w:tcW w:w="2268" w:type="dxa"/>
            <w:vAlign w:val="center"/>
          </w:tcPr>
          <w:p>
            <w:pPr>
              <w:widowControl w:val="0"/>
              <w:autoSpaceDE w:val="0"/>
              <w:autoSpaceDN w:val="0"/>
              <w:adjustRightInd w:val="0"/>
              <w:snapToGrid w:val="0"/>
              <w:spacing w:line="360" w:lineRule="auto"/>
              <w:jc w:val="center"/>
              <w:rPr>
                <w:rFonts w:eastAsiaTheme="minorEastAsia"/>
                <w:b/>
                <w:bCs/>
              </w:rPr>
            </w:pPr>
            <w:r>
              <w:rPr>
                <w:rFonts w:hint="eastAsia" w:eastAsiaTheme="minorEastAsia"/>
                <w:b/>
                <w:bCs/>
              </w:rPr>
              <w:t>授予激励对象人数（调整后）</w:t>
            </w:r>
          </w:p>
        </w:tc>
        <w:tc>
          <w:tcPr>
            <w:tcW w:w="1559" w:type="dxa"/>
            <w:vAlign w:val="center"/>
          </w:tcPr>
          <w:p>
            <w:pPr>
              <w:widowControl w:val="0"/>
              <w:autoSpaceDE w:val="0"/>
              <w:autoSpaceDN w:val="0"/>
              <w:adjustRightInd w:val="0"/>
              <w:snapToGrid w:val="0"/>
              <w:spacing w:line="360" w:lineRule="auto"/>
              <w:jc w:val="center"/>
              <w:rPr>
                <w:rFonts w:eastAsiaTheme="minorEastAsia"/>
                <w:b/>
                <w:bCs/>
              </w:rPr>
            </w:pPr>
            <w:r>
              <w:rPr>
                <w:rFonts w:hint="eastAsia" w:eastAsiaTheme="minorEastAsia"/>
                <w:b/>
                <w:bCs/>
              </w:rPr>
              <w:t>授予后股票期权剩余数量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2" w:hRule="atLeast"/>
        </w:trPr>
        <w:tc>
          <w:tcPr>
            <w:tcW w:w="1277" w:type="dxa"/>
            <w:vAlign w:val="center"/>
          </w:tcPr>
          <w:p>
            <w:pPr>
              <w:widowControl w:val="0"/>
              <w:autoSpaceDE w:val="0"/>
              <w:autoSpaceDN w:val="0"/>
              <w:adjustRightInd w:val="0"/>
              <w:snapToGrid w:val="0"/>
              <w:spacing w:line="360" w:lineRule="auto"/>
              <w:jc w:val="center"/>
            </w:pPr>
            <w:r>
              <w:t>2021年股票期权激励计划</w:t>
            </w:r>
          </w:p>
        </w:tc>
        <w:tc>
          <w:tcPr>
            <w:tcW w:w="1559" w:type="dxa"/>
            <w:vAlign w:val="center"/>
          </w:tcPr>
          <w:p>
            <w:pPr>
              <w:widowControl w:val="0"/>
              <w:autoSpaceDE w:val="0"/>
              <w:autoSpaceDN w:val="0"/>
              <w:adjustRightInd w:val="0"/>
              <w:snapToGrid w:val="0"/>
              <w:spacing w:line="360" w:lineRule="auto"/>
              <w:jc w:val="center"/>
            </w:pPr>
            <w:r>
              <w:t>13.45元/股</w:t>
            </w:r>
          </w:p>
        </w:tc>
        <w:tc>
          <w:tcPr>
            <w:tcW w:w="2410" w:type="dxa"/>
            <w:vAlign w:val="center"/>
          </w:tcPr>
          <w:p>
            <w:pPr>
              <w:widowControl w:val="0"/>
              <w:autoSpaceDE w:val="0"/>
              <w:autoSpaceDN w:val="0"/>
              <w:adjustRightInd w:val="0"/>
              <w:snapToGrid w:val="0"/>
              <w:spacing w:line="360" w:lineRule="auto"/>
              <w:jc w:val="center"/>
            </w:pPr>
            <w:r>
              <w:t>654.90</w:t>
            </w:r>
            <w:r>
              <w:rPr>
                <w:rFonts w:hint="eastAsia"/>
              </w:rPr>
              <w:t>万份</w:t>
            </w:r>
          </w:p>
        </w:tc>
        <w:tc>
          <w:tcPr>
            <w:tcW w:w="2268" w:type="dxa"/>
            <w:vAlign w:val="center"/>
          </w:tcPr>
          <w:p>
            <w:pPr>
              <w:widowControl w:val="0"/>
              <w:autoSpaceDE w:val="0"/>
              <w:autoSpaceDN w:val="0"/>
              <w:adjustRightInd w:val="0"/>
              <w:snapToGrid w:val="0"/>
              <w:spacing w:line="360" w:lineRule="auto"/>
              <w:jc w:val="center"/>
            </w:pPr>
            <w:r>
              <w:t>153</w:t>
            </w:r>
            <w:r>
              <w:rPr>
                <w:rFonts w:hint="eastAsia"/>
              </w:rPr>
              <w:t>人</w:t>
            </w:r>
          </w:p>
        </w:tc>
        <w:tc>
          <w:tcPr>
            <w:tcW w:w="1559" w:type="dxa"/>
            <w:vAlign w:val="center"/>
          </w:tcPr>
          <w:p>
            <w:pPr>
              <w:widowControl w:val="0"/>
              <w:autoSpaceDE w:val="0"/>
              <w:autoSpaceDN w:val="0"/>
              <w:adjustRightInd w:val="0"/>
              <w:snapToGrid w:val="0"/>
              <w:spacing w:line="360" w:lineRule="auto"/>
              <w:jc w:val="center"/>
            </w:pPr>
            <w:r>
              <w:t>0份</w:t>
            </w:r>
          </w:p>
        </w:tc>
      </w:tr>
    </w:tbl>
    <w:p>
      <w:pPr>
        <w:autoSpaceDE w:val="0"/>
        <w:autoSpaceDN w:val="0"/>
        <w:adjustRightInd w:val="0"/>
        <w:snapToGrid w:val="0"/>
        <w:spacing w:line="360" w:lineRule="auto"/>
        <w:ind w:firstLine="480" w:firstLineChars="200"/>
        <w:rPr>
          <w:rFonts w:eastAsiaTheme="minorEastAsia"/>
        </w:rPr>
      </w:pPr>
    </w:p>
    <w:bookmarkEnd w:id="2"/>
    <w:p>
      <w:pPr>
        <w:numPr>
          <w:ilvl w:val="0"/>
          <w:numId w:val="3"/>
        </w:numPr>
        <w:autoSpaceDE w:val="0"/>
        <w:autoSpaceDN w:val="0"/>
        <w:adjustRightInd w:val="0"/>
        <w:snapToGrid w:val="0"/>
        <w:spacing w:line="360" w:lineRule="auto"/>
        <w:ind w:firstLine="506" w:firstLineChars="210"/>
        <w:rPr>
          <w:rFonts w:eastAsiaTheme="minorEastAsia"/>
          <w:b/>
          <w:bCs/>
        </w:rPr>
      </w:pPr>
      <w:r>
        <w:rPr>
          <w:rFonts w:hint="eastAsia" w:eastAsiaTheme="minorEastAsia"/>
          <w:b/>
          <w:bCs/>
        </w:rPr>
        <w:t>历次股票期权行权情况</w:t>
      </w:r>
    </w:p>
    <w:p>
      <w:pPr>
        <w:snapToGrid w:val="0"/>
        <w:spacing w:line="360" w:lineRule="auto"/>
        <w:ind w:firstLine="460" w:firstLineChars="192"/>
        <w:jc w:val="both"/>
        <w:rPr>
          <w:rFonts w:eastAsiaTheme="minorEastAsia"/>
          <w:color w:val="000000"/>
        </w:rPr>
      </w:pPr>
      <w:r>
        <w:rPr>
          <w:rFonts w:eastAsiaTheme="minorEastAsia"/>
          <w:color w:val="000000"/>
        </w:rPr>
        <w:t>本次为公司2021年股票期权激励计划首次行权。</w:t>
      </w:r>
    </w:p>
    <w:p>
      <w:pPr>
        <w:numPr>
          <w:ilvl w:val="0"/>
          <w:numId w:val="2"/>
        </w:numPr>
        <w:tabs>
          <w:tab w:val="left" w:pos="1260"/>
        </w:tabs>
        <w:adjustRightInd w:val="0"/>
        <w:snapToGrid w:val="0"/>
        <w:spacing w:line="360" w:lineRule="auto"/>
        <w:ind w:firstLine="463" w:firstLineChars="192"/>
        <w:jc w:val="both"/>
        <w:outlineLvl w:val="0"/>
        <w:rPr>
          <w:rFonts w:eastAsiaTheme="minorEastAsia"/>
          <w:b/>
        </w:rPr>
      </w:pPr>
      <w:r>
        <w:rPr>
          <w:rFonts w:hint="eastAsia" w:eastAsiaTheme="minorEastAsia"/>
          <w:b/>
        </w:rPr>
        <w:t>本激励计划激励对象行权条件说明</w:t>
      </w:r>
    </w:p>
    <w:p>
      <w:pPr>
        <w:tabs>
          <w:tab w:val="left" w:pos="1260"/>
        </w:tabs>
        <w:adjustRightInd w:val="0"/>
        <w:snapToGrid w:val="0"/>
        <w:spacing w:line="360" w:lineRule="auto"/>
        <w:ind w:firstLine="506" w:firstLineChars="210"/>
        <w:jc w:val="both"/>
        <w:outlineLvl w:val="0"/>
        <w:rPr>
          <w:rFonts w:eastAsiaTheme="minorEastAsia"/>
          <w:b/>
        </w:rPr>
      </w:pPr>
      <w:r>
        <w:rPr>
          <w:rFonts w:hint="eastAsia" w:eastAsiaTheme="minorEastAsia"/>
          <w:b/>
        </w:rPr>
        <w:t>（一）2</w:t>
      </w:r>
      <w:r>
        <w:rPr>
          <w:rFonts w:eastAsiaTheme="minorEastAsia"/>
          <w:b/>
        </w:rPr>
        <w:t>021年</w:t>
      </w:r>
      <w:r>
        <w:rPr>
          <w:rFonts w:hint="eastAsia" w:eastAsiaTheme="minorEastAsia"/>
          <w:b/>
        </w:rPr>
        <w:t>股票期权激励计划首次授予部分股票期权第一个行权期行权条件的情况</w:t>
      </w:r>
    </w:p>
    <w:p>
      <w:pPr>
        <w:snapToGrid w:val="0"/>
        <w:spacing w:line="360" w:lineRule="auto"/>
        <w:ind w:firstLine="460" w:firstLineChars="192"/>
        <w:jc w:val="both"/>
        <w:rPr>
          <w:rFonts w:eastAsiaTheme="minorEastAsia"/>
          <w:color w:val="000000"/>
        </w:rPr>
      </w:pPr>
      <w:r>
        <w:rPr>
          <w:rFonts w:hint="eastAsia" w:eastAsiaTheme="minorEastAsia"/>
          <w:color w:val="000000"/>
        </w:rPr>
        <w:t>根据公司</w:t>
      </w:r>
      <w:r>
        <w:rPr>
          <w:rFonts w:eastAsiaTheme="minorEastAsia"/>
          <w:color w:val="000000"/>
        </w:rPr>
        <w:t>2021年第一次临时股东大会审议通过的《</w:t>
      </w:r>
      <w:r>
        <w:rPr>
          <w:rFonts w:hint="eastAsia" w:eastAsiaTheme="minorEastAsia"/>
          <w:color w:val="000000"/>
        </w:rPr>
        <w:t>关于</w:t>
      </w:r>
      <w:r>
        <w:rPr>
          <w:rFonts w:eastAsiaTheme="minorEastAsia"/>
          <w:color w:val="000000"/>
        </w:rPr>
        <w:t>&lt;</w:t>
      </w:r>
      <w:r>
        <w:rPr>
          <w:rFonts w:hint="eastAsia" w:eastAsiaTheme="minorEastAsia"/>
          <w:color w:val="000000"/>
        </w:rPr>
        <w:t>格尔软件股份有限公司</w:t>
      </w:r>
      <w:r>
        <w:rPr>
          <w:rFonts w:eastAsiaTheme="minorEastAsia"/>
          <w:color w:val="000000"/>
        </w:rPr>
        <w:t>2021年股票期权激励计划（草案）&gt;</w:t>
      </w:r>
      <w:r>
        <w:rPr>
          <w:rFonts w:hint="eastAsia" w:eastAsiaTheme="minorEastAsia"/>
          <w:color w:val="000000"/>
        </w:rPr>
        <w:t>及其摘要的议案》及《关于</w:t>
      </w:r>
      <w:r>
        <w:rPr>
          <w:rFonts w:eastAsiaTheme="minorEastAsia"/>
          <w:color w:val="000000"/>
        </w:rPr>
        <w:t>&lt;</w:t>
      </w:r>
      <w:r>
        <w:rPr>
          <w:rFonts w:hint="eastAsia" w:eastAsiaTheme="minorEastAsia"/>
          <w:color w:val="000000"/>
        </w:rPr>
        <w:t>格尔软件股份有限公司</w:t>
      </w:r>
      <w:r>
        <w:rPr>
          <w:rFonts w:eastAsiaTheme="minorEastAsia"/>
          <w:color w:val="000000"/>
        </w:rPr>
        <w:t>2021年股票期权激励计划实施考核管理办法&gt;的议案</w:t>
      </w:r>
      <w:r>
        <w:rPr>
          <w:rFonts w:hint="eastAsia" w:eastAsiaTheme="minorEastAsia"/>
          <w:color w:val="000000"/>
        </w:rPr>
        <w:t>》，按照本次激励计划有关规定：在第一个行权期，自授权日起</w:t>
      </w:r>
      <w:r>
        <w:rPr>
          <w:rFonts w:eastAsiaTheme="minorEastAsia"/>
          <w:color w:val="000000"/>
        </w:rPr>
        <w:t>12个月后的首个交易日起至授权日起24个月内的最后一个交易日当日止，可行权数量占获授股票期权数量比例为30%。公司2021年股票期权激励计划授予股票期权的第一个行权条件已经满足，具体如下：</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snapToGrid w:val="0"/>
              <w:spacing w:line="360" w:lineRule="auto"/>
              <w:ind w:firstLine="482" w:firstLineChars="200"/>
              <w:jc w:val="both"/>
            </w:pPr>
            <w:r>
              <w:rPr>
                <w:rFonts w:hint="eastAsia"/>
                <w:b/>
              </w:rPr>
              <w:t>本激励计划规定的行权条件</w:t>
            </w:r>
          </w:p>
        </w:tc>
        <w:tc>
          <w:tcPr>
            <w:tcW w:w="4261" w:type="dxa"/>
            <w:vAlign w:val="center"/>
          </w:tcPr>
          <w:p>
            <w:pPr>
              <w:widowControl w:val="0"/>
              <w:snapToGrid w:val="0"/>
              <w:spacing w:line="360" w:lineRule="auto"/>
              <w:jc w:val="center"/>
            </w:pPr>
            <w:r>
              <w:rPr>
                <w:rFonts w:hint="eastAsia"/>
                <w:b/>
              </w:rPr>
              <w:t>是否满足行权条件的说明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ind w:firstLine="480" w:firstLineChars="200"/>
              <w:jc w:val="both"/>
            </w:pPr>
            <w:r>
              <w:rPr>
                <w:rFonts w:hint="eastAsia"/>
              </w:rPr>
              <w:t>（一）公司未发生如下任一情形：</w:t>
            </w:r>
          </w:p>
          <w:p>
            <w:pPr>
              <w:widowControl w:val="0"/>
              <w:ind w:firstLine="480" w:firstLineChars="200"/>
              <w:jc w:val="both"/>
            </w:pPr>
            <w:r>
              <w:rPr>
                <w:rFonts w:hint="eastAsia"/>
              </w:rPr>
              <w:t>（</w:t>
            </w:r>
            <w:r>
              <w:t>1</w:t>
            </w:r>
            <w:r>
              <w:rPr>
                <w:rFonts w:hint="eastAsia"/>
              </w:rPr>
              <w:t>）最近一个会计年度财务会计报告被注册会计师出具否定意见或者无法表示意见的审计报告；</w:t>
            </w:r>
          </w:p>
          <w:p>
            <w:pPr>
              <w:widowControl w:val="0"/>
              <w:ind w:firstLine="480" w:firstLineChars="200"/>
              <w:jc w:val="both"/>
            </w:pPr>
            <w:r>
              <w:rPr>
                <w:rFonts w:hint="eastAsia"/>
              </w:rPr>
              <w:t>（</w:t>
            </w:r>
            <w:r>
              <w:t>2</w:t>
            </w:r>
            <w:r>
              <w:rPr>
                <w:rFonts w:hint="eastAsia"/>
              </w:rPr>
              <w:t>）最近一个会计年度财务报告内部控制被注册会计师出具否定意见或无法表示意见的审计报告；</w:t>
            </w:r>
          </w:p>
          <w:p>
            <w:pPr>
              <w:widowControl w:val="0"/>
              <w:ind w:firstLine="480" w:firstLineChars="200"/>
              <w:jc w:val="both"/>
            </w:pPr>
            <w:r>
              <w:rPr>
                <w:rFonts w:hint="eastAsia"/>
              </w:rPr>
              <w:t>（</w:t>
            </w:r>
            <w:r>
              <w:t>3</w:t>
            </w:r>
            <w:r>
              <w:rPr>
                <w:rFonts w:hint="eastAsia"/>
              </w:rPr>
              <w:t>）上市后最近</w:t>
            </w:r>
            <w:r>
              <w:t>36</w:t>
            </w:r>
            <w:r>
              <w:rPr>
                <w:rFonts w:hint="eastAsia"/>
              </w:rPr>
              <w:t>个月内出现过未按法律法规、《公司章程》、公开承诺进行利润分配的情形；</w:t>
            </w:r>
          </w:p>
          <w:p>
            <w:pPr>
              <w:widowControl w:val="0"/>
              <w:ind w:firstLine="480" w:firstLineChars="200"/>
              <w:jc w:val="both"/>
            </w:pPr>
            <w:r>
              <w:rPr>
                <w:rFonts w:hint="eastAsia"/>
              </w:rPr>
              <w:t>（</w:t>
            </w:r>
            <w:r>
              <w:t>4</w:t>
            </w:r>
            <w:r>
              <w:rPr>
                <w:rFonts w:hint="eastAsia"/>
              </w:rPr>
              <w:t>）法律法规规定不得实行股权激励的；</w:t>
            </w:r>
          </w:p>
          <w:p>
            <w:pPr>
              <w:widowControl w:val="0"/>
              <w:snapToGrid w:val="0"/>
              <w:spacing w:line="360" w:lineRule="auto"/>
              <w:ind w:firstLine="480" w:firstLineChars="200"/>
              <w:jc w:val="both"/>
              <w:rPr>
                <w:rFonts w:eastAsiaTheme="minorEastAsia"/>
                <w:color w:val="000000"/>
              </w:rPr>
            </w:pPr>
            <w:r>
              <w:rPr>
                <w:rFonts w:hint="eastAsia"/>
              </w:rPr>
              <w:t>（</w:t>
            </w:r>
            <w:r>
              <w:t>5</w:t>
            </w:r>
            <w:r>
              <w:rPr>
                <w:rFonts w:hint="eastAsia"/>
              </w:rPr>
              <w:t>）中国证监会认定的其他情形。</w:t>
            </w:r>
          </w:p>
        </w:tc>
        <w:tc>
          <w:tcPr>
            <w:tcW w:w="4261" w:type="dxa"/>
          </w:tcPr>
          <w:p>
            <w:pPr>
              <w:widowControl w:val="0"/>
              <w:snapToGrid w:val="0"/>
              <w:spacing w:line="360" w:lineRule="auto"/>
              <w:jc w:val="both"/>
              <w:rPr>
                <w:rFonts w:eastAsiaTheme="minorEastAsia"/>
                <w:color w:val="000000"/>
              </w:rPr>
            </w:pPr>
            <w:r>
              <w:t>公司未发生前述情形，满足行权条件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ind w:firstLine="480" w:firstLineChars="200"/>
              <w:jc w:val="both"/>
              <w:rPr>
                <w:color w:val="000000"/>
              </w:rPr>
            </w:pPr>
            <w:r>
              <w:rPr>
                <w:rFonts w:hint="eastAsia"/>
                <w:color w:val="000000"/>
              </w:rPr>
              <w:t>（二）激励对象未发生如下任一情形：</w:t>
            </w:r>
          </w:p>
          <w:p>
            <w:pPr>
              <w:widowControl w:val="0"/>
              <w:ind w:firstLine="480" w:firstLineChars="200"/>
              <w:jc w:val="both"/>
              <w:rPr>
                <w:b/>
                <w:bCs/>
              </w:rPr>
            </w:pPr>
            <w:r>
              <w:rPr>
                <w:rFonts w:hint="eastAsia"/>
              </w:rPr>
              <w:t>（</w:t>
            </w:r>
            <w:r>
              <w:t>1</w:t>
            </w:r>
            <w:r>
              <w:rPr>
                <w:rFonts w:hint="eastAsia"/>
              </w:rPr>
              <w:t>）最近</w:t>
            </w:r>
            <w:r>
              <w:t>12</w:t>
            </w:r>
            <w:r>
              <w:rPr>
                <w:rFonts w:hint="eastAsia"/>
              </w:rPr>
              <w:t>个月内被证券交易所认定为不适当人选；</w:t>
            </w:r>
          </w:p>
          <w:p>
            <w:pPr>
              <w:widowControl w:val="0"/>
              <w:ind w:firstLine="480" w:firstLineChars="200"/>
              <w:jc w:val="both"/>
              <w:rPr>
                <w:b/>
                <w:bCs/>
              </w:rPr>
            </w:pPr>
            <w:r>
              <w:rPr>
                <w:rFonts w:hint="eastAsia"/>
              </w:rPr>
              <w:t>（</w:t>
            </w:r>
            <w:r>
              <w:t>2</w:t>
            </w:r>
            <w:r>
              <w:rPr>
                <w:rFonts w:hint="eastAsia"/>
              </w:rPr>
              <w:t>）最近</w:t>
            </w:r>
            <w:r>
              <w:t>12</w:t>
            </w:r>
            <w:r>
              <w:rPr>
                <w:rFonts w:hint="eastAsia"/>
              </w:rPr>
              <w:t>个月内被中国证监会及其派出机构认定为不适当人选；</w:t>
            </w:r>
          </w:p>
          <w:p>
            <w:pPr>
              <w:widowControl w:val="0"/>
              <w:ind w:firstLine="480" w:firstLineChars="200"/>
              <w:jc w:val="both"/>
            </w:pPr>
            <w:r>
              <w:rPr>
                <w:rFonts w:hint="eastAsia"/>
              </w:rPr>
              <w:t>（</w:t>
            </w:r>
            <w:r>
              <w:t>3</w:t>
            </w:r>
            <w:r>
              <w:rPr>
                <w:rFonts w:hint="eastAsia"/>
              </w:rPr>
              <w:t>）最近</w:t>
            </w:r>
            <w:r>
              <w:t>12</w:t>
            </w:r>
            <w:r>
              <w:rPr>
                <w:rFonts w:hint="eastAsia"/>
              </w:rPr>
              <w:t>个月内因重大违法违规行为被中国证监会及其派出机构行政处罚或者采取市场禁入措施；</w:t>
            </w:r>
          </w:p>
          <w:p>
            <w:pPr>
              <w:widowControl w:val="0"/>
              <w:ind w:firstLine="480" w:firstLineChars="200"/>
              <w:jc w:val="both"/>
            </w:pPr>
            <w:r>
              <w:rPr>
                <w:rFonts w:hint="eastAsia"/>
              </w:rPr>
              <w:t>（</w:t>
            </w:r>
            <w:r>
              <w:t>4</w:t>
            </w:r>
            <w:r>
              <w:rPr>
                <w:rFonts w:hint="eastAsia"/>
              </w:rPr>
              <w:t>）具有《公司法》规定的不得担任公司董事、高级管理人员的情形；</w:t>
            </w:r>
          </w:p>
          <w:p>
            <w:pPr>
              <w:widowControl w:val="0"/>
              <w:ind w:firstLine="480" w:firstLineChars="200"/>
              <w:jc w:val="both"/>
              <w:rPr>
                <w:b/>
                <w:bCs/>
              </w:rPr>
            </w:pPr>
            <w:r>
              <w:rPr>
                <w:rFonts w:hint="eastAsia"/>
              </w:rPr>
              <w:t>（</w:t>
            </w:r>
            <w:r>
              <w:t>5</w:t>
            </w:r>
            <w:r>
              <w:rPr>
                <w:rFonts w:hint="eastAsia"/>
              </w:rPr>
              <w:t>）法律法规规定不得参与上市公司股权激励的；</w:t>
            </w:r>
          </w:p>
          <w:p>
            <w:pPr>
              <w:widowControl w:val="0"/>
              <w:snapToGrid w:val="0"/>
              <w:spacing w:line="360" w:lineRule="auto"/>
              <w:ind w:firstLine="480" w:firstLineChars="200"/>
              <w:jc w:val="both"/>
              <w:rPr>
                <w:rFonts w:eastAsiaTheme="minorEastAsia"/>
                <w:color w:val="000000"/>
              </w:rPr>
            </w:pPr>
            <w:r>
              <w:rPr>
                <w:rFonts w:hint="eastAsia"/>
              </w:rPr>
              <w:t>（</w:t>
            </w:r>
            <w:r>
              <w:t>6</w:t>
            </w:r>
            <w:r>
              <w:rPr>
                <w:rFonts w:hint="eastAsia"/>
              </w:rPr>
              <w:t>）中国证监会认定的其他情形。</w:t>
            </w:r>
          </w:p>
        </w:tc>
        <w:tc>
          <w:tcPr>
            <w:tcW w:w="4261" w:type="dxa"/>
          </w:tcPr>
          <w:p>
            <w:pPr>
              <w:widowControl w:val="0"/>
              <w:snapToGrid w:val="0"/>
              <w:spacing w:line="360" w:lineRule="auto"/>
              <w:jc w:val="both"/>
              <w:rPr>
                <w:rFonts w:eastAsiaTheme="minorEastAsia"/>
                <w:color w:val="000000"/>
              </w:rPr>
            </w:pPr>
            <w:r>
              <w:t>激励对象未发生前述情形，满足行权条件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ind w:firstLine="480" w:firstLineChars="200"/>
              <w:jc w:val="both"/>
              <w:rPr>
                <w:color w:val="000000"/>
              </w:rPr>
            </w:pPr>
            <w:r>
              <w:rPr>
                <w:rFonts w:hint="eastAsia"/>
                <w:color w:val="000000"/>
              </w:rPr>
              <w:t>（三）公司层面的业绩考核要求：</w:t>
            </w:r>
          </w:p>
          <w:p>
            <w:pPr>
              <w:widowControl w:val="0"/>
              <w:ind w:firstLine="480" w:firstLineChars="200"/>
              <w:jc w:val="both"/>
            </w:pPr>
            <w:r>
              <w:t>本激励计划在2021年至2023年会计年度中，分年度对公司的业绩指标进行考核，以达到业绩考核目标作为激励对象当年度的行权条件之一。本次</w:t>
            </w:r>
            <w:r>
              <w:rPr>
                <w:rFonts w:hint="eastAsia"/>
              </w:rPr>
              <w:t>授予的股票期权的业绩考核目标如下表所示：</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3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 w:hRule="atLeast"/>
              </w:trPr>
              <w:tc>
                <w:tcPr>
                  <w:tcW w:w="1277" w:type="pct"/>
                  <w:tcBorders>
                    <w:top w:val="single" w:color="auto" w:sz="4" w:space="0"/>
                    <w:left w:val="single" w:color="auto" w:sz="4" w:space="0"/>
                    <w:bottom w:val="single" w:color="auto" w:sz="4" w:space="0"/>
                    <w:right w:val="single" w:color="auto" w:sz="4" w:space="0"/>
                  </w:tcBorders>
                  <w:shd w:val="clear" w:color="auto" w:fill="F2F2F2"/>
                  <w:vAlign w:val="center"/>
                </w:tcPr>
                <w:p>
                  <w:pPr>
                    <w:ind w:firstLine="357"/>
                    <w:jc w:val="both"/>
                    <w:rPr>
                      <w:b/>
                      <w:sz w:val="21"/>
                      <w:szCs w:val="18"/>
                    </w:rPr>
                  </w:pPr>
                  <w:r>
                    <w:rPr>
                      <w:rFonts w:hint="eastAsia"/>
                      <w:b/>
                      <w:sz w:val="21"/>
                      <w:szCs w:val="18"/>
                    </w:rPr>
                    <w:t>行权</w:t>
                  </w:r>
                  <w:r>
                    <w:rPr>
                      <w:b/>
                      <w:sz w:val="21"/>
                      <w:szCs w:val="18"/>
                    </w:rPr>
                    <w:t>期</w:t>
                  </w:r>
                </w:p>
              </w:tc>
              <w:tc>
                <w:tcPr>
                  <w:tcW w:w="3723" w:type="pct"/>
                  <w:tcBorders>
                    <w:top w:val="single" w:color="auto" w:sz="4" w:space="0"/>
                    <w:left w:val="single" w:color="auto" w:sz="4" w:space="0"/>
                    <w:bottom w:val="single" w:color="auto" w:sz="4" w:space="0"/>
                    <w:right w:val="single" w:color="auto" w:sz="4" w:space="0"/>
                  </w:tcBorders>
                  <w:shd w:val="clear" w:color="auto" w:fill="F2F2F2"/>
                  <w:vAlign w:val="center"/>
                </w:tcPr>
                <w:p>
                  <w:pPr>
                    <w:ind w:firstLine="357"/>
                    <w:jc w:val="both"/>
                    <w:rPr>
                      <w:b/>
                      <w:sz w:val="21"/>
                      <w:szCs w:val="18"/>
                    </w:rPr>
                  </w:pPr>
                  <w:r>
                    <w:rPr>
                      <w:b/>
                      <w:sz w:val="21"/>
                      <w:szCs w:val="18"/>
                    </w:rPr>
                    <w:t>业绩考核目标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277" w:type="pct"/>
                  <w:vAlign w:val="center"/>
                </w:tcPr>
                <w:p>
                  <w:pPr>
                    <w:jc w:val="both"/>
                    <w:rPr>
                      <w:sz w:val="21"/>
                      <w:szCs w:val="21"/>
                    </w:rPr>
                  </w:pPr>
                  <w:r>
                    <w:rPr>
                      <w:sz w:val="21"/>
                      <w:szCs w:val="21"/>
                    </w:rPr>
                    <w:t>第一个</w:t>
                  </w:r>
                  <w:r>
                    <w:rPr>
                      <w:rFonts w:hint="eastAsia"/>
                      <w:sz w:val="21"/>
                      <w:szCs w:val="21"/>
                    </w:rPr>
                    <w:t>行权</w:t>
                  </w:r>
                  <w:r>
                    <w:rPr>
                      <w:sz w:val="21"/>
                      <w:szCs w:val="21"/>
                    </w:rPr>
                    <w:t>期</w:t>
                  </w:r>
                </w:p>
              </w:tc>
              <w:tc>
                <w:tcPr>
                  <w:tcW w:w="3723" w:type="pct"/>
                  <w:vAlign w:val="center"/>
                </w:tcPr>
                <w:p>
                  <w:pPr>
                    <w:jc w:val="both"/>
                    <w:rPr>
                      <w:sz w:val="21"/>
                      <w:szCs w:val="21"/>
                    </w:rPr>
                  </w:pPr>
                  <w:r>
                    <w:rPr>
                      <w:rFonts w:hint="eastAsia"/>
                      <w:sz w:val="21"/>
                      <w:szCs w:val="21"/>
                    </w:rPr>
                    <w:t>以</w:t>
                  </w:r>
                  <w:r>
                    <w:rPr>
                      <w:sz w:val="21"/>
                      <w:szCs w:val="21"/>
                    </w:rPr>
                    <w:t>2020</w:t>
                  </w:r>
                  <w:r>
                    <w:rPr>
                      <w:rFonts w:hint="eastAsia"/>
                      <w:sz w:val="21"/>
                      <w:szCs w:val="21"/>
                    </w:rPr>
                    <w:t>年的净利润为基数，</w:t>
                  </w:r>
                  <w:r>
                    <w:rPr>
                      <w:sz w:val="21"/>
                      <w:szCs w:val="21"/>
                    </w:rPr>
                    <w:t>2021</w:t>
                  </w:r>
                  <w:r>
                    <w:rPr>
                      <w:rFonts w:hint="eastAsia"/>
                      <w:sz w:val="21"/>
                      <w:szCs w:val="21"/>
                    </w:rPr>
                    <w:t>年的净利润增长率不低于</w:t>
                  </w:r>
                  <w:r>
                    <w:rPr>
                      <w:sz w:val="21"/>
                      <w:szCs w:val="21"/>
                    </w:rPr>
                    <w:t xml:space="preserve">35%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2236" w:type="dxa"/>
                  <w:vAlign w:val="center"/>
                </w:tcPr>
                <w:p>
                  <w:pPr>
                    <w:jc w:val="both"/>
                    <w:rPr>
                      <w:sz w:val="21"/>
                      <w:szCs w:val="21"/>
                    </w:rPr>
                  </w:pPr>
                  <w:r>
                    <w:rPr>
                      <w:sz w:val="21"/>
                      <w:szCs w:val="21"/>
                    </w:rPr>
                    <w:t>第二个</w:t>
                  </w:r>
                  <w:r>
                    <w:rPr>
                      <w:rFonts w:hint="eastAsia"/>
                      <w:sz w:val="21"/>
                      <w:szCs w:val="21"/>
                    </w:rPr>
                    <w:t>行权</w:t>
                  </w:r>
                  <w:r>
                    <w:rPr>
                      <w:sz w:val="21"/>
                      <w:szCs w:val="21"/>
                    </w:rPr>
                    <w:t>期</w:t>
                  </w:r>
                </w:p>
              </w:tc>
              <w:tc>
                <w:tcPr>
                  <w:tcW w:w="6518" w:type="dxa"/>
                  <w:vAlign w:val="center"/>
                </w:tcPr>
                <w:p>
                  <w:pPr>
                    <w:jc w:val="both"/>
                    <w:rPr>
                      <w:sz w:val="21"/>
                      <w:szCs w:val="21"/>
                    </w:rPr>
                  </w:pPr>
                  <w:r>
                    <w:rPr>
                      <w:rFonts w:hint="eastAsia"/>
                      <w:sz w:val="21"/>
                      <w:szCs w:val="21"/>
                    </w:rPr>
                    <w:t>以</w:t>
                  </w:r>
                  <w:r>
                    <w:rPr>
                      <w:sz w:val="21"/>
                      <w:szCs w:val="21"/>
                    </w:rPr>
                    <w:t>2020</w:t>
                  </w:r>
                  <w:r>
                    <w:rPr>
                      <w:rFonts w:hint="eastAsia"/>
                      <w:sz w:val="21"/>
                      <w:szCs w:val="21"/>
                    </w:rPr>
                    <w:t>年的净利润为基数，</w:t>
                  </w:r>
                  <w:r>
                    <w:rPr>
                      <w:sz w:val="21"/>
                      <w:szCs w:val="21"/>
                    </w:rPr>
                    <w:t>2022</w:t>
                  </w:r>
                  <w:r>
                    <w:rPr>
                      <w:rFonts w:hint="eastAsia"/>
                      <w:sz w:val="21"/>
                      <w:szCs w:val="21"/>
                    </w:rPr>
                    <w:t>年的净利润增长率不低于</w:t>
                  </w:r>
                  <w:r>
                    <w:rPr>
                      <w:sz w:val="21"/>
                      <w:szCs w:val="21"/>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2236" w:type="dxa"/>
                  <w:vAlign w:val="center"/>
                </w:tcPr>
                <w:p>
                  <w:pPr>
                    <w:jc w:val="both"/>
                    <w:rPr>
                      <w:sz w:val="21"/>
                      <w:szCs w:val="21"/>
                    </w:rPr>
                  </w:pPr>
                  <w:r>
                    <w:rPr>
                      <w:sz w:val="21"/>
                      <w:szCs w:val="21"/>
                    </w:rPr>
                    <w:t>第三个</w:t>
                  </w:r>
                  <w:r>
                    <w:rPr>
                      <w:rFonts w:hint="eastAsia"/>
                      <w:sz w:val="21"/>
                      <w:szCs w:val="21"/>
                    </w:rPr>
                    <w:t>行权</w:t>
                  </w:r>
                  <w:r>
                    <w:rPr>
                      <w:sz w:val="21"/>
                      <w:szCs w:val="21"/>
                    </w:rPr>
                    <w:t>期</w:t>
                  </w:r>
                </w:p>
              </w:tc>
              <w:tc>
                <w:tcPr>
                  <w:tcW w:w="6518" w:type="dxa"/>
                  <w:vAlign w:val="center"/>
                </w:tcPr>
                <w:p>
                  <w:pPr>
                    <w:jc w:val="both"/>
                    <w:rPr>
                      <w:sz w:val="21"/>
                      <w:szCs w:val="21"/>
                    </w:rPr>
                  </w:pPr>
                  <w:r>
                    <w:rPr>
                      <w:rFonts w:hint="eastAsia"/>
                      <w:sz w:val="21"/>
                      <w:szCs w:val="21"/>
                    </w:rPr>
                    <w:t>以</w:t>
                  </w:r>
                  <w:r>
                    <w:rPr>
                      <w:sz w:val="21"/>
                      <w:szCs w:val="21"/>
                    </w:rPr>
                    <w:t>2020</w:t>
                  </w:r>
                  <w:r>
                    <w:rPr>
                      <w:rFonts w:hint="eastAsia"/>
                      <w:sz w:val="21"/>
                      <w:szCs w:val="21"/>
                    </w:rPr>
                    <w:t>年的净利润为基数，</w:t>
                  </w:r>
                  <w:r>
                    <w:rPr>
                      <w:sz w:val="21"/>
                      <w:szCs w:val="21"/>
                    </w:rPr>
                    <w:t>2023</w:t>
                  </w:r>
                  <w:r>
                    <w:rPr>
                      <w:rFonts w:hint="eastAsia"/>
                      <w:sz w:val="21"/>
                      <w:szCs w:val="21"/>
                    </w:rPr>
                    <w:t>年的净利润增长率不低于</w:t>
                  </w:r>
                  <w:r>
                    <w:rPr>
                      <w:sz w:val="21"/>
                      <w:szCs w:val="21"/>
                    </w:rPr>
                    <w:t>105%</w:t>
                  </w:r>
                </w:p>
              </w:tc>
            </w:tr>
          </w:tbl>
          <w:p>
            <w:pPr>
              <w:widowControl w:val="0"/>
              <w:ind w:firstLine="420" w:firstLineChars="200"/>
              <w:jc w:val="both"/>
              <w:rPr>
                <w:rFonts w:eastAsiaTheme="minorEastAsia"/>
                <w:color w:val="000000"/>
              </w:rPr>
            </w:pPr>
            <w:r>
              <w:rPr>
                <w:sz w:val="21"/>
                <w:szCs w:val="21"/>
              </w:rPr>
              <w:t>注</w:t>
            </w:r>
            <w:r>
              <w:rPr>
                <w:rFonts w:hint="eastAsia"/>
                <w:sz w:val="21"/>
                <w:szCs w:val="21"/>
              </w:rPr>
              <w:t>：上述“净利润”指经审计的归属于上市公司股东的净利润，</w:t>
            </w:r>
            <w:r>
              <w:rPr>
                <w:sz w:val="21"/>
                <w:szCs w:val="21"/>
              </w:rPr>
              <w:t>但</w:t>
            </w:r>
            <w:r>
              <w:rPr>
                <w:rFonts w:hint="eastAsia"/>
                <w:sz w:val="21"/>
                <w:szCs w:val="21"/>
              </w:rPr>
              <w:t>剔除本次及其它激励计划股份支付费用影响的数值作为计算依据。</w:t>
            </w:r>
          </w:p>
        </w:tc>
        <w:tc>
          <w:tcPr>
            <w:tcW w:w="4261" w:type="dxa"/>
          </w:tcPr>
          <w:p>
            <w:pPr>
              <w:widowControl w:val="0"/>
              <w:wordWrap w:val="0"/>
              <w:snapToGrid w:val="0"/>
              <w:spacing w:line="360" w:lineRule="auto"/>
              <w:jc w:val="both"/>
              <w:rPr>
                <w:rFonts w:eastAsiaTheme="minorEastAsia"/>
                <w:color w:val="000000"/>
              </w:rPr>
            </w:pPr>
            <w:r>
              <w:t>审计报告：公司2021年归属于上市公司股东的净利润（剔除本次及其它股权激励计划股份支付费用影响）为 83,401,434.22元，较2020年 57,077,979.32元增长了46.12%，满足第一个行权期公司业绩考核条件。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pPr>
              <w:widowControl w:val="0"/>
              <w:ind w:firstLine="480" w:firstLineChars="200"/>
              <w:jc w:val="both"/>
              <w:rPr>
                <w:color w:val="000000"/>
              </w:rPr>
            </w:pPr>
            <w:r>
              <w:rPr>
                <w:rFonts w:hint="eastAsia"/>
                <w:color w:val="000000"/>
              </w:rPr>
              <w:t>（四）激励对象个人层面的绩效考核要求：</w:t>
            </w:r>
          </w:p>
          <w:p>
            <w:pPr>
              <w:widowControl w:val="0"/>
              <w:ind w:firstLine="480" w:firstLineChars="200"/>
              <w:jc w:val="both"/>
              <w:rPr>
                <w:color w:val="000000"/>
              </w:rPr>
            </w:pPr>
            <w:r>
              <w:rPr>
                <w:color w:val="000000"/>
              </w:rPr>
              <w:t>激励对象个人层面的考核根据公司内部绩效考核相关制度实施。激励对象个人考核评价结果</w:t>
            </w:r>
            <w:r>
              <w:rPr>
                <w:rFonts w:hint="eastAsia"/>
                <w:color w:val="000000"/>
              </w:rPr>
              <w:t>分为</w:t>
            </w:r>
            <w:r>
              <w:rPr>
                <w:color w:val="000000"/>
              </w:rPr>
              <w:t>“</w:t>
            </w:r>
            <w:r>
              <w:rPr>
                <w:rFonts w:hint="eastAsia"/>
                <w:color w:val="000000"/>
              </w:rPr>
              <w:t>合格</w:t>
            </w:r>
            <w:r>
              <w:rPr>
                <w:color w:val="000000"/>
              </w:rPr>
              <w:t>”</w:t>
            </w:r>
            <w:r>
              <w:rPr>
                <w:rFonts w:hint="eastAsia"/>
                <w:color w:val="000000"/>
              </w:rPr>
              <w:t>、</w:t>
            </w:r>
            <w:r>
              <w:rPr>
                <w:color w:val="000000"/>
              </w:rPr>
              <w:t>“</w:t>
            </w:r>
            <w:r>
              <w:rPr>
                <w:rFonts w:hint="eastAsia"/>
                <w:color w:val="000000"/>
              </w:rPr>
              <w:t>不合格</w:t>
            </w:r>
            <w:r>
              <w:rPr>
                <w:color w:val="000000"/>
              </w:rPr>
              <w:t>”</w:t>
            </w:r>
            <w:r>
              <w:rPr>
                <w:rFonts w:hint="eastAsia"/>
                <w:color w:val="000000"/>
              </w:rPr>
              <w:t>两个</w:t>
            </w:r>
            <w:r>
              <w:rPr>
                <w:color w:val="000000"/>
              </w:rPr>
              <w:t>等级</w:t>
            </w:r>
            <w:r>
              <w:rPr>
                <w:rFonts w:hint="eastAsia"/>
                <w:color w:val="000000"/>
              </w:rPr>
              <w:t>。</w:t>
            </w:r>
          </w:p>
          <w:p>
            <w:pPr>
              <w:widowControl w:val="0"/>
              <w:snapToGrid w:val="0"/>
              <w:ind w:firstLine="480" w:firstLineChars="200"/>
              <w:jc w:val="both"/>
              <w:rPr>
                <w:color w:val="000000"/>
              </w:rPr>
            </w:pPr>
            <w:r>
              <w:rPr>
                <w:rFonts w:hint="eastAsia"/>
                <w:color w:val="000000"/>
              </w:rPr>
              <w:t>在公司业绩目标达成的前提下，若激励对象上一年度个人绩效考核结果达到“合格”，则激励对象对应考核当年的股票期权可全部行权；若激励对象上一年度个人绩效考核结果</w:t>
            </w:r>
            <w:r>
              <w:rPr>
                <w:rFonts w:hint="eastAsia" w:eastAsiaTheme="minorEastAsia"/>
                <w:color w:val="000000"/>
              </w:rPr>
              <w:t>“不合格”</w:t>
            </w:r>
            <w:r>
              <w:rPr>
                <w:rFonts w:hint="eastAsia"/>
                <w:color w:val="000000"/>
              </w:rPr>
              <w:t>，则激励对象对应考核当年可行权的股票期权全部不得行权。</w:t>
            </w:r>
          </w:p>
        </w:tc>
        <w:tc>
          <w:tcPr>
            <w:tcW w:w="4261" w:type="dxa"/>
          </w:tcPr>
          <w:p>
            <w:pPr>
              <w:widowControl w:val="0"/>
              <w:snapToGrid w:val="0"/>
              <w:spacing w:line="360" w:lineRule="auto"/>
              <w:jc w:val="both"/>
              <w:rPr>
                <w:rFonts w:eastAsiaTheme="minorEastAsia"/>
                <w:color w:val="000000"/>
              </w:rPr>
            </w:pPr>
            <w:r>
              <w:t>本次行权激励对象共计153人，根据激励对象2021年绩效考核结果，激励对象个人考核评价结果均为“合格”，满足第一个行权期个人业绩考核条件。</w:t>
            </w:r>
          </w:p>
        </w:tc>
      </w:tr>
    </w:tbl>
    <w:p>
      <w:pPr>
        <w:snapToGrid w:val="0"/>
        <w:spacing w:line="360" w:lineRule="auto"/>
        <w:ind w:firstLine="480" w:firstLineChars="200"/>
        <w:jc w:val="both"/>
        <w:rPr>
          <w:rFonts w:eastAsiaTheme="minorEastAsia"/>
          <w:color w:val="000000"/>
        </w:rPr>
      </w:pPr>
      <w:r>
        <w:rPr>
          <w:rFonts w:hint="eastAsia" w:eastAsiaTheme="minorEastAsia"/>
          <w:color w:val="000000"/>
        </w:rPr>
        <w:t>综上所述，公司</w:t>
      </w:r>
      <w:r>
        <w:rPr>
          <w:rFonts w:eastAsiaTheme="minorEastAsia"/>
          <w:color w:val="000000"/>
        </w:rPr>
        <w:t>2021年股票期权激励计划首次授予的股票期权第一个行权期行权条件已满足。根据公司激励计划的行</w:t>
      </w:r>
      <w:r>
        <w:rPr>
          <w:rFonts w:hint="eastAsia" w:eastAsiaTheme="minorEastAsia"/>
          <w:color w:val="000000"/>
        </w:rPr>
        <w:t>权安排，第一个行权期可行权数量占授予股票期权数量比例为</w:t>
      </w:r>
      <w:r>
        <w:rPr>
          <w:rFonts w:eastAsiaTheme="minorEastAsia"/>
          <w:color w:val="000000"/>
        </w:rPr>
        <w:t>30%</w:t>
      </w:r>
      <w:r>
        <w:rPr>
          <w:rFonts w:hint="eastAsia" w:eastAsiaTheme="minorEastAsia"/>
          <w:color w:val="000000"/>
        </w:rPr>
        <w:t>。</w:t>
      </w:r>
    </w:p>
    <w:p>
      <w:pPr>
        <w:snapToGrid w:val="0"/>
        <w:spacing w:line="360" w:lineRule="auto"/>
        <w:ind w:firstLine="482" w:firstLineChars="200"/>
        <w:jc w:val="both"/>
        <w:rPr>
          <w:rFonts w:eastAsiaTheme="minorEastAsia"/>
          <w:b/>
          <w:bCs/>
          <w:color w:val="000000"/>
        </w:rPr>
      </w:pPr>
      <w:r>
        <w:rPr>
          <w:rFonts w:hint="eastAsia" w:eastAsiaTheme="minorEastAsia"/>
          <w:b/>
          <w:bCs/>
          <w:color w:val="000000"/>
        </w:rPr>
        <w:t>（二）对未达到行权条件的股票期权的处理方法</w:t>
      </w:r>
    </w:p>
    <w:p>
      <w:pPr>
        <w:snapToGrid w:val="0"/>
        <w:spacing w:line="360" w:lineRule="auto"/>
        <w:ind w:firstLine="480" w:firstLineChars="200"/>
        <w:jc w:val="both"/>
        <w:rPr>
          <w:rFonts w:eastAsiaTheme="minorEastAsia"/>
          <w:color w:val="000000"/>
        </w:rPr>
      </w:pPr>
      <w:r>
        <w:rPr>
          <w:rFonts w:eastAsiaTheme="minorEastAsia"/>
          <w:color w:val="000000"/>
        </w:rPr>
        <w:t>首次授予股票期权第一个行权期的股票期权中除8</w:t>
      </w:r>
      <w:r>
        <w:rPr>
          <w:rFonts w:hint="eastAsia" w:eastAsiaTheme="minorEastAsia"/>
          <w:color w:val="000000"/>
        </w:rPr>
        <w:t>名激励对象因离职等原因不符合行权条件，其余</w:t>
      </w:r>
      <w:r>
        <w:rPr>
          <w:rFonts w:eastAsiaTheme="minorEastAsia"/>
          <w:color w:val="000000"/>
        </w:rPr>
        <w:t>153</w:t>
      </w:r>
      <w:r>
        <w:rPr>
          <w:rFonts w:hint="eastAsia" w:eastAsiaTheme="minorEastAsia"/>
          <w:color w:val="000000"/>
        </w:rPr>
        <w:t>名激励对象第一个行权期可行权的股票期权共计</w:t>
      </w:r>
      <w:r>
        <w:rPr>
          <w:rFonts w:eastAsiaTheme="minorEastAsia"/>
        </w:rPr>
        <w:t>196.47</w:t>
      </w:r>
      <w:r>
        <w:rPr>
          <w:rFonts w:hint="eastAsia" w:eastAsiaTheme="minorEastAsia"/>
          <w:color w:val="000000"/>
        </w:rPr>
        <w:t>万份。</w:t>
      </w:r>
    </w:p>
    <w:p>
      <w:pPr>
        <w:snapToGrid w:val="0"/>
        <w:spacing w:line="360" w:lineRule="auto"/>
        <w:ind w:firstLine="480" w:firstLineChars="200"/>
        <w:jc w:val="both"/>
        <w:rPr>
          <w:rFonts w:eastAsiaTheme="minorEastAsia"/>
          <w:color w:val="000000"/>
        </w:rPr>
      </w:pPr>
      <w:r>
        <w:rPr>
          <w:rFonts w:hint="eastAsia" w:eastAsiaTheme="minorEastAsia"/>
          <w:color w:val="000000"/>
        </w:rPr>
        <w:t>对于因离职而不再符合激励对象资格的人员，其已获授但尚未行权的股票期权不得行权，由公司注销。</w:t>
      </w:r>
    </w:p>
    <w:p>
      <w:pPr>
        <w:autoSpaceDE w:val="0"/>
        <w:autoSpaceDN w:val="0"/>
        <w:adjustRightInd w:val="0"/>
        <w:snapToGrid w:val="0"/>
        <w:spacing w:line="360" w:lineRule="auto"/>
        <w:ind w:firstLine="504" w:firstLineChars="210"/>
        <w:jc w:val="both"/>
        <w:rPr>
          <w:rFonts w:eastAsiaTheme="minorEastAsia"/>
        </w:rPr>
      </w:pP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三、本次行权的具体情况</w:t>
      </w:r>
    </w:p>
    <w:p>
      <w:pPr>
        <w:snapToGrid w:val="0"/>
        <w:spacing w:line="360" w:lineRule="auto"/>
        <w:ind w:firstLine="460" w:firstLineChars="192"/>
        <w:jc w:val="both"/>
        <w:rPr>
          <w:color w:val="000000"/>
        </w:rPr>
      </w:pPr>
      <w:r>
        <w:rPr>
          <w:color w:val="000000"/>
        </w:rPr>
        <w:t xml:space="preserve">1、授予日： </w:t>
      </w:r>
      <w:r>
        <w:rPr>
          <w:rFonts w:hint="eastAsia"/>
        </w:rPr>
        <w:t>2021年7月28日</w:t>
      </w:r>
      <w:r>
        <w:rPr>
          <w:color w:val="000000"/>
        </w:rPr>
        <w:t>；</w:t>
      </w:r>
    </w:p>
    <w:p>
      <w:pPr>
        <w:snapToGrid w:val="0"/>
        <w:spacing w:line="360" w:lineRule="auto"/>
        <w:ind w:firstLine="460" w:firstLineChars="192"/>
        <w:jc w:val="both"/>
        <w:rPr>
          <w:color w:val="000000"/>
        </w:rPr>
      </w:pPr>
      <w:r>
        <w:rPr>
          <w:color w:val="000000"/>
        </w:rPr>
        <w:t>2、行权数量： 196.47</w:t>
      </w:r>
      <w:r>
        <w:rPr>
          <w:rFonts w:hint="eastAsia"/>
        </w:rPr>
        <w:t>万份</w:t>
      </w:r>
      <w:r>
        <w:rPr>
          <w:color w:val="000000"/>
        </w:rPr>
        <w:t>；</w:t>
      </w:r>
    </w:p>
    <w:p>
      <w:pPr>
        <w:snapToGrid w:val="0"/>
        <w:spacing w:line="360" w:lineRule="auto"/>
        <w:ind w:firstLine="460" w:firstLineChars="192"/>
        <w:jc w:val="both"/>
        <w:rPr>
          <w:color w:val="000000"/>
        </w:rPr>
      </w:pPr>
      <w:r>
        <w:rPr>
          <w:color w:val="000000"/>
        </w:rPr>
        <w:t xml:space="preserve">3、行权人数： </w:t>
      </w:r>
      <w:r>
        <w:rPr>
          <w:rFonts w:hint="eastAsia"/>
        </w:rPr>
        <w:t>153名</w:t>
      </w:r>
      <w:r>
        <w:rPr>
          <w:color w:val="000000"/>
        </w:rPr>
        <w:t>；</w:t>
      </w:r>
    </w:p>
    <w:p>
      <w:pPr>
        <w:snapToGrid w:val="0"/>
        <w:spacing w:line="360" w:lineRule="auto"/>
        <w:ind w:firstLine="460" w:firstLineChars="192"/>
        <w:jc w:val="both"/>
        <w:rPr>
          <w:color w:val="000000"/>
        </w:rPr>
      </w:pPr>
      <w:r>
        <w:rPr>
          <w:color w:val="000000"/>
        </w:rPr>
        <w:t>4、行权价格（调整后）：</w:t>
      </w:r>
      <w:r>
        <w:rPr>
          <w:rFonts w:hint="eastAsia"/>
        </w:rPr>
        <w:t>13.45元/股</w:t>
      </w:r>
      <w:r>
        <w:rPr>
          <w:color w:val="000000"/>
        </w:rPr>
        <w:t>；</w:t>
      </w:r>
    </w:p>
    <w:p>
      <w:pPr>
        <w:snapToGrid w:val="0"/>
        <w:spacing w:line="360" w:lineRule="auto"/>
        <w:ind w:firstLine="460" w:firstLineChars="192"/>
        <w:jc w:val="both"/>
        <w:rPr>
          <w:color w:val="000000"/>
        </w:rPr>
      </w:pPr>
      <w:r>
        <w:rPr>
          <w:color w:val="000000"/>
        </w:rPr>
        <w:t>5、行权方式：自主行权</w:t>
      </w:r>
    </w:p>
    <w:p>
      <w:pPr>
        <w:snapToGrid w:val="0"/>
        <w:spacing w:line="360" w:lineRule="auto"/>
        <w:ind w:firstLine="460" w:firstLineChars="192"/>
        <w:jc w:val="both"/>
        <w:rPr>
          <w:color w:val="000000"/>
        </w:rPr>
      </w:pPr>
      <w:r>
        <w:rPr>
          <w:color w:val="000000"/>
        </w:rPr>
        <w:t>6、股票来源：公司向激励对象定向发行的本公司人民币A股普通股股票；</w:t>
      </w:r>
    </w:p>
    <w:p>
      <w:pPr>
        <w:snapToGrid w:val="0"/>
        <w:spacing w:line="360" w:lineRule="auto"/>
        <w:ind w:firstLine="460" w:firstLineChars="192"/>
        <w:jc w:val="both"/>
        <w:rPr>
          <w:color w:val="000000"/>
        </w:rPr>
      </w:pPr>
      <w:r>
        <w:rPr>
          <w:color w:val="000000"/>
        </w:rPr>
        <w:t>7、行权安排：首次授予部分第一个行权期为2022年</w:t>
      </w:r>
      <w:r>
        <w:rPr>
          <w:rFonts w:hint="eastAsia"/>
          <w:color w:val="000000"/>
        </w:rPr>
        <w:t>7</w:t>
      </w:r>
      <w:r>
        <w:rPr>
          <w:color w:val="000000"/>
        </w:rPr>
        <w:t>月</w:t>
      </w:r>
      <w:r>
        <w:rPr>
          <w:rFonts w:hint="eastAsia"/>
          <w:color w:val="000000"/>
        </w:rPr>
        <w:t>28</w:t>
      </w:r>
      <w:r>
        <w:rPr>
          <w:color w:val="000000"/>
        </w:rPr>
        <w:t>日-2023年</w:t>
      </w:r>
      <w:r>
        <w:rPr>
          <w:rFonts w:hint="eastAsia"/>
          <w:color w:val="000000"/>
        </w:rPr>
        <w:t>7</w:t>
      </w:r>
      <w:r>
        <w:rPr>
          <w:color w:val="000000"/>
        </w:rPr>
        <w:t>月2</w:t>
      </w:r>
      <w:r>
        <w:rPr>
          <w:rFonts w:hint="eastAsia"/>
          <w:color w:val="000000"/>
        </w:rPr>
        <w:t>7</w:t>
      </w:r>
      <w:r>
        <w:rPr>
          <w:color w:val="000000"/>
        </w:rPr>
        <w:t>日，行权所得股票可于行权日（T日）后的第二个交易日（T+2）日上市交易；</w:t>
      </w:r>
    </w:p>
    <w:p>
      <w:pPr>
        <w:snapToGrid w:val="0"/>
        <w:spacing w:line="360" w:lineRule="auto"/>
        <w:ind w:firstLine="460" w:firstLineChars="192"/>
        <w:jc w:val="both"/>
        <w:rPr>
          <w:color w:val="000000"/>
        </w:rPr>
      </w:pPr>
      <w:r>
        <w:rPr>
          <w:color w:val="000000"/>
        </w:rPr>
        <w:t>8、激励对象名单及行权情况：</w:t>
      </w:r>
    </w:p>
    <w:p>
      <w:pPr>
        <w:snapToGrid w:val="0"/>
        <w:spacing w:line="360" w:lineRule="auto"/>
        <w:ind w:firstLine="460" w:firstLineChars="192"/>
        <w:jc w:val="both"/>
        <w:rPr>
          <w:rFonts w:eastAsiaTheme="minorEastAsia"/>
          <w:color w:val="000000"/>
        </w:rPr>
      </w:pPr>
      <w:r>
        <w:rPr>
          <w:color w:val="000000"/>
        </w:rPr>
        <w:t>（1）激励对象名单及可行权情况</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9"/>
        <w:gridCol w:w="1354"/>
        <w:gridCol w:w="1311"/>
        <w:gridCol w:w="1613"/>
        <w:gridCol w:w="1616"/>
        <w:gridCol w:w="1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1" w:type="pct"/>
            <w:vAlign w:val="center"/>
          </w:tcPr>
          <w:p>
            <w:pPr>
              <w:jc w:val="both"/>
              <w:rPr>
                <w:b/>
                <w:szCs w:val="21"/>
              </w:rPr>
            </w:pPr>
            <w:r>
              <w:rPr>
                <w:b/>
                <w:szCs w:val="21"/>
              </w:rPr>
              <w:t>姓名</w:t>
            </w:r>
          </w:p>
        </w:tc>
        <w:tc>
          <w:tcPr>
            <w:tcW w:w="794" w:type="pct"/>
            <w:vAlign w:val="center"/>
          </w:tcPr>
          <w:p>
            <w:pPr>
              <w:jc w:val="both"/>
              <w:rPr>
                <w:b/>
                <w:szCs w:val="21"/>
              </w:rPr>
            </w:pPr>
            <w:r>
              <w:rPr>
                <w:b/>
                <w:szCs w:val="21"/>
              </w:rPr>
              <w:t>职务</w:t>
            </w:r>
          </w:p>
        </w:tc>
        <w:tc>
          <w:tcPr>
            <w:tcW w:w="769" w:type="pct"/>
            <w:vAlign w:val="center"/>
          </w:tcPr>
          <w:p>
            <w:pPr>
              <w:jc w:val="both"/>
              <w:rPr>
                <w:b/>
                <w:szCs w:val="21"/>
              </w:rPr>
            </w:pPr>
            <w:r>
              <w:rPr>
                <w:b/>
                <w:szCs w:val="21"/>
              </w:rPr>
              <w:t>获授的股票期权数量(万份)</w:t>
            </w:r>
          </w:p>
        </w:tc>
        <w:tc>
          <w:tcPr>
            <w:tcW w:w="946" w:type="pct"/>
          </w:tcPr>
          <w:p>
            <w:pPr>
              <w:jc w:val="both"/>
              <w:rPr>
                <w:b/>
                <w:szCs w:val="21"/>
              </w:rPr>
            </w:pPr>
            <w:r>
              <w:rPr>
                <w:rFonts w:hint="eastAsia"/>
                <w:b/>
                <w:szCs w:val="21"/>
              </w:rPr>
              <w:t>本次可行权的股票期权数量（万份）</w:t>
            </w:r>
          </w:p>
        </w:tc>
        <w:tc>
          <w:tcPr>
            <w:tcW w:w="948" w:type="pct"/>
            <w:vAlign w:val="center"/>
          </w:tcPr>
          <w:p>
            <w:pPr>
              <w:jc w:val="both"/>
              <w:rPr>
                <w:b/>
                <w:szCs w:val="21"/>
              </w:rPr>
            </w:pPr>
            <w:r>
              <w:rPr>
                <w:rFonts w:hint="eastAsia"/>
                <w:b/>
                <w:szCs w:val="21"/>
              </w:rPr>
              <w:t>本次可行权的股票期权数量</w:t>
            </w:r>
            <w:r>
              <w:rPr>
                <w:b/>
                <w:szCs w:val="21"/>
              </w:rPr>
              <w:t>占</w:t>
            </w:r>
            <w:r>
              <w:rPr>
                <w:rFonts w:hint="eastAsia"/>
                <w:b/>
                <w:szCs w:val="21"/>
              </w:rPr>
              <w:t>授予股票期权数量</w:t>
            </w:r>
            <w:r>
              <w:rPr>
                <w:b/>
                <w:szCs w:val="21"/>
              </w:rPr>
              <w:t>的比例</w:t>
            </w:r>
          </w:p>
        </w:tc>
        <w:tc>
          <w:tcPr>
            <w:tcW w:w="820" w:type="pct"/>
            <w:vAlign w:val="center"/>
          </w:tcPr>
          <w:p>
            <w:pPr>
              <w:jc w:val="both"/>
              <w:rPr>
                <w:b/>
                <w:szCs w:val="21"/>
              </w:rPr>
            </w:pPr>
            <w:r>
              <w:rPr>
                <w:rFonts w:hint="eastAsia"/>
                <w:b/>
                <w:szCs w:val="21"/>
              </w:rPr>
              <w:t>本次可行权的股票期权数量</w:t>
            </w:r>
            <w:r>
              <w:rPr>
                <w:b/>
                <w:szCs w:val="21"/>
              </w:rPr>
              <w:t>占</w:t>
            </w:r>
            <w:r>
              <w:rPr>
                <w:rFonts w:hint="eastAsia"/>
                <w:b/>
                <w:szCs w:val="21"/>
              </w:rPr>
              <w:t>授予时</w:t>
            </w:r>
            <w:r>
              <w:rPr>
                <w:b/>
                <w:szCs w:val="21"/>
              </w:rPr>
              <w:t>股本总额比例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1" w:type="pct"/>
            <w:vAlign w:val="center"/>
          </w:tcPr>
          <w:p>
            <w:pPr>
              <w:jc w:val="both"/>
              <w:rPr>
                <w:szCs w:val="21"/>
              </w:rPr>
            </w:pPr>
            <w:r>
              <w:rPr>
                <w:rFonts w:hint="eastAsia"/>
                <w:szCs w:val="21"/>
              </w:rPr>
              <w:t>叶枫</w:t>
            </w:r>
          </w:p>
        </w:tc>
        <w:tc>
          <w:tcPr>
            <w:tcW w:w="794" w:type="pct"/>
            <w:vAlign w:val="center"/>
          </w:tcPr>
          <w:p>
            <w:pPr>
              <w:jc w:val="both"/>
              <w:rPr>
                <w:szCs w:val="21"/>
              </w:rPr>
            </w:pPr>
            <w:r>
              <w:rPr>
                <w:rFonts w:hint="eastAsia"/>
                <w:szCs w:val="21"/>
              </w:rPr>
              <w:t>董事、总经理</w:t>
            </w:r>
          </w:p>
        </w:tc>
        <w:tc>
          <w:tcPr>
            <w:tcW w:w="769" w:type="pct"/>
            <w:vAlign w:val="center"/>
          </w:tcPr>
          <w:p>
            <w:pPr>
              <w:jc w:val="both"/>
              <w:rPr>
                <w:szCs w:val="21"/>
              </w:rPr>
            </w:pPr>
            <w:r>
              <w:rPr>
                <w:szCs w:val="21"/>
              </w:rPr>
              <w:t>24.00</w:t>
            </w:r>
          </w:p>
        </w:tc>
        <w:tc>
          <w:tcPr>
            <w:tcW w:w="946" w:type="pct"/>
            <w:vAlign w:val="center"/>
          </w:tcPr>
          <w:p>
            <w:pPr>
              <w:jc w:val="both"/>
              <w:rPr>
                <w:color w:val="000000"/>
                <w:szCs w:val="21"/>
                <w:lang w:bidi="ar"/>
              </w:rPr>
            </w:pPr>
            <w:r>
              <w:rPr>
                <w:rFonts w:hint="eastAsia"/>
                <w:szCs w:val="21"/>
              </w:rPr>
              <w:t>7.20</w:t>
            </w:r>
          </w:p>
        </w:tc>
        <w:tc>
          <w:tcPr>
            <w:tcW w:w="948" w:type="pct"/>
            <w:vAlign w:val="center"/>
          </w:tcPr>
          <w:p>
            <w:pPr>
              <w:jc w:val="both"/>
              <w:textAlignment w:val="center"/>
              <w:rPr>
                <w:szCs w:val="21"/>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szCs w:val="21"/>
              </w:rPr>
            </w:pPr>
            <w:r>
              <w:rPr>
                <w:color w:val="000000"/>
                <w:szCs w:val="21"/>
                <w:lang w:bidi="ar"/>
              </w:rPr>
              <w:t>0.0311%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1" w:type="pct"/>
            <w:vAlign w:val="center"/>
          </w:tcPr>
          <w:p>
            <w:pPr>
              <w:jc w:val="both"/>
              <w:rPr>
                <w:szCs w:val="21"/>
              </w:rPr>
            </w:pPr>
            <w:r>
              <w:rPr>
                <w:rFonts w:hint="eastAsia"/>
                <w:szCs w:val="21"/>
              </w:rPr>
              <w:t>朱斌</w:t>
            </w:r>
          </w:p>
        </w:tc>
        <w:tc>
          <w:tcPr>
            <w:tcW w:w="794" w:type="pct"/>
            <w:vAlign w:val="center"/>
          </w:tcPr>
          <w:p>
            <w:pPr>
              <w:jc w:val="both"/>
              <w:rPr>
                <w:szCs w:val="21"/>
              </w:rPr>
            </w:pPr>
            <w:r>
              <w:rPr>
                <w:rFonts w:hint="eastAsia"/>
                <w:szCs w:val="21"/>
              </w:rPr>
              <w:t>董事</w:t>
            </w:r>
          </w:p>
        </w:tc>
        <w:tc>
          <w:tcPr>
            <w:tcW w:w="769" w:type="pct"/>
            <w:vAlign w:val="center"/>
          </w:tcPr>
          <w:p>
            <w:pPr>
              <w:jc w:val="both"/>
              <w:rPr>
                <w:szCs w:val="21"/>
              </w:rPr>
            </w:pPr>
            <w:r>
              <w:rPr>
                <w:szCs w:val="21"/>
              </w:rPr>
              <w:t>30.00</w:t>
            </w:r>
          </w:p>
        </w:tc>
        <w:tc>
          <w:tcPr>
            <w:tcW w:w="946" w:type="pct"/>
            <w:vAlign w:val="center"/>
          </w:tcPr>
          <w:p>
            <w:pPr>
              <w:jc w:val="both"/>
              <w:rPr>
                <w:color w:val="000000"/>
                <w:szCs w:val="21"/>
                <w:lang w:bidi="ar"/>
              </w:rPr>
            </w:pPr>
            <w:r>
              <w:rPr>
                <w:rFonts w:hint="eastAsia"/>
                <w:szCs w:val="21"/>
              </w:rPr>
              <w:t>9.00</w:t>
            </w:r>
          </w:p>
        </w:tc>
        <w:tc>
          <w:tcPr>
            <w:tcW w:w="948" w:type="pct"/>
            <w:vAlign w:val="center"/>
          </w:tcPr>
          <w:p>
            <w:pPr>
              <w:jc w:val="both"/>
              <w:textAlignment w:val="center"/>
              <w:rPr>
                <w:szCs w:val="21"/>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szCs w:val="21"/>
              </w:rPr>
            </w:pPr>
            <w:r>
              <w:rPr>
                <w:color w:val="000000"/>
                <w:szCs w:val="21"/>
                <w:lang w:bidi="ar"/>
              </w:rPr>
              <w:t>0.0388%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1" w:type="pct"/>
            <w:vAlign w:val="center"/>
          </w:tcPr>
          <w:p>
            <w:pPr>
              <w:jc w:val="both"/>
              <w:rPr>
                <w:szCs w:val="21"/>
              </w:rPr>
            </w:pPr>
            <w:r>
              <w:rPr>
                <w:rFonts w:hint="eastAsia"/>
                <w:szCs w:val="21"/>
              </w:rPr>
              <w:t>朱立通</w:t>
            </w:r>
          </w:p>
        </w:tc>
        <w:tc>
          <w:tcPr>
            <w:tcW w:w="794" w:type="pct"/>
            <w:vAlign w:val="center"/>
          </w:tcPr>
          <w:p>
            <w:pPr>
              <w:jc w:val="both"/>
              <w:rPr>
                <w:szCs w:val="21"/>
              </w:rPr>
            </w:pPr>
            <w:r>
              <w:rPr>
                <w:rFonts w:hint="eastAsia"/>
                <w:szCs w:val="21"/>
              </w:rPr>
              <w:t>董事、副总经理</w:t>
            </w:r>
          </w:p>
        </w:tc>
        <w:tc>
          <w:tcPr>
            <w:tcW w:w="769" w:type="pct"/>
            <w:vAlign w:val="center"/>
          </w:tcPr>
          <w:p>
            <w:pPr>
              <w:jc w:val="both"/>
              <w:rPr>
                <w:szCs w:val="21"/>
              </w:rPr>
            </w:pPr>
            <w:r>
              <w:rPr>
                <w:szCs w:val="21"/>
              </w:rPr>
              <w:t>30.00</w:t>
            </w:r>
          </w:p>
        </w:tc>
        <w:tc>
          <w:tcPr>
            <w:tcW w:w="946" w:type="pct"/>
            <w:vAlign w:val="center"/>
          </w:tcPr>
          <w:p>
            <w:pPr>
              <w:jc w:val="both"/>
              <w:rPr>
                <w:color w:val="000000"/>
                <w:szCs w:val="21"/>
                <w:lang w:bidi="ar"/>
              </w:rPr>
            </w:pPr>
            <w:r>
              <w:rPr>
                <w:rFonts w:hint="eastAsia"/>
                <w:szCs w:val="21"/>
              </w:rPr>
              <w:t>9.00</w:t>
            </w:r>
          </w:p>
        </w:tc>
        <w:tc>
          <w:tcPr>
            <w:tcW w:w="948" w:type="pct"/>
            <w:vAlign w:val="center"/>
          </w:tcPr>
          <w:p>
            <w:pPr>
              <w:jc w:val="both"/>
              <w:textAlignment w:val="center"/>
              <w:rPr>
                <w:szCs w:val="21"/>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szCs w:val="21"/>
              </w:rPr>
            </w:pPr>
            <w:r>
              <w:rPr>
                <w:color w:val="000000"/>
                <w:szCs w:val="21"/>
                <w:lang w:bidi="ar"/>
              </w:rPr>
              <w:t>0.0388%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1" w:type="pct"/>
            <w:vAlign w:val="center"/>
          </w:tcPr>
          <w:p>
            <w:pPr>
              <w:jc w:val="both"/>
              <w:rPr>
                <w:szCs w:val="21"/>
              </w:rPr>
            </w:pPr>
            <w:r>
              <w:rPr>
                <w:rFonts w:hint="eastAsia"/>
                <w:szCs w:val="21"/>
              </w:rPr>
              <w:t>李祥明</w:t>
            </w:r>
          </w:p>
        </w:tc>
        <w:tc>
          <w:tcPr>
            <w:tcW w:w="794" w:type="pct"/>
            <w:vAlign w:val="center"/>
          </w:tcPr>
          <w:p>
            <w:pPr>
              <w:jc w:val="both"/>
              <w:rPr>
                <w:szCs w:val="21"/>
              </w:rPr>
            </w:pPr>
            <w:r>
              <w:rPr>
                <w:rFonts w:hint="eastAsia"/>
                <w:szCs w:val="21"/>
              </w:rPr>
              <w:t>副总经理</w:t>
            </w:r>
          </w:p>
        </w:tc>
        <w:tc>
          <w:tcPr>
            <w:tcW w:w="769" w:type="pct"/>
            <w:vAlign w:val="center"/>
          </w:tcPr>
          <w:p>
            <w:pPr>
              <w:jc w:val="both"/>
              <w:rPr>
                <w:szCs w:val="21"/>
              </w:rPr>
            </w:pPr>
            <w:r>
              <w:rPr>
                <w:szCs w:val="21"/>
              </w:rPr>
              <w:t>13.80</w:t>
            </w:r>
          </w:p>
        </w:tc>
        <w:tc>
          <w:tcPr>
            <w:tcW w:w="946" w:type="pct"/>
            <w:vAlign w:val="center"/>
          </w:tcPr>
          <w:p>
            <w:pPr>
              <w:jc w:val="both"/>
              <w:rPr>
                <w:color w:val="000000"/>
                <w:szCs w:val="21"/>
                <w:lang w:bidi="ar"/>
              </w:rPr>
            </w:pPr>
            <w:r>
              <w:rPr>
                <w:rFonts w:hint="eastAsia"/>
                <w:szCs w:val="21"/>
              </w:rPr>
              <w:t>4.14</w:t>
            </w:r>
          </w:p>
        </w:tc>
        <w:tc>
          <w:tcPr>
            <w:tcW w:w="948" w:type="pct"/>
            <w:vAlign w:val="center"/>
          </w:tcPr>
          <w:p>
            <w:pPr>
              <w:jc w:val="both"/>
              <w:textAlignment w:val="center"/>
              <w:rPr>
                <w:szCs w:val="21"/>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szCs w:val="21"/>
              </w:rPr>
            </w:pPr>
            <w:r>
              <w:rPr>
                <w:color w:val="000000"/>
                <w:szCs w:val="21"/>
                <w:lang w:bidi="ar"/>
              </w:rPr>
              <w:t>0.0179%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1" w:type="pct"/>
            <w:vAlign w:val="center"/>
          </w:tcPr>
          <w:p>
            <w:pPr>
              <w:jc w:val="both"/>
              <w:rPr>
                <w:szCs w:val="21"/>
              </w:rPr>
            </w:pPr>
            <w:r>
              <w:rPr>
                <w:rFonts w:hint="eastAsia"/>
                <w:szCs w:val="21"/>
              </w:rPr>
              <w:t>范峰</w:t>
            </w:r>
          </w:p>
        </w:tc>
        <w:tc>
          <w:tcPr>
            <w:tcW w:w="794" w:type="pct"/>
            <w:vAlign w:val="center"/>
          </w:tcPr>
          <w:p>
            <w:pPr>
              <w:jc w:val="both"/>
              <w:rPr>
                <w:szCs w:val="21"/>
              </w:rPr>
            </w:pPr>
            <w:r>
              <w:rPr>
                <w:rFonts w:hint="eastAsia"/>
                <w:szCs w:val="21"/>
              </w:rPr>
              <w:t>副总经理</w:t>
            </w:r>
          </w:p>
        </w:tc>
        <w:tc>
          <w:tcPr>
            <w:tcW w:w="769" w:type="pct"/>
            <w:vAlign w:val="center"/>
          </w:tcPr>
          <w:p>
            <w:pPr>
              <w:jc w:val="both"/>
              <w:rPr>
                <w:szCs w:val="21"/>
              </w:rPr>
            </w:pPr>
            <w:r>
              <w:rPr>
                <w:szCs w:val="21"/>
              </w:rPr>
              <w:t>8.40</w:t>
            </w:r>
          </w:p>
        </w:tc>
        <w:tc>
          <w:tcPr>
            <w:tcW w:w="946" w:type="pct"/>
            <w:vAlign w:val="center"/>
          </w:tcPr>
          <w:p>
            <w:pPr>
              <w:jc w:val="both"/>
              <w:rPr>
                <w:color w:val="000000"/>
                <w:szCs w:val="21"/>
                <w:lang w:bidi="ar"/>
              </w:rPr>
            </w:pPr>
            <w:r>
              <w:rPr>
                <w:rFonts w:hint="eastAsia"/>
                <w:szCs w:val="21"/>
              </w:rPr>
              <w:t>2.52</w:t>
            </w:r>
          </w:p>
        </w:tc>
        <w:tc>
          <w:tcPr>
            <w:tcW w:w="948" w:type="pct"/>
            <w:vAlign w:val="center"/>
          </w:tcPr>
          <w:p>
            <w:pPr>
              <w:jc w:val="both"/>
              <w:textAlignment w:val="center"/>
              <w:rPr>
                <w:szCs w:val="21"/>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szCs w:val="21"/>
              </w:rPr>
            </w:pPr>
            <w:r>
              <w:rPr>
                <w:color w:val="000000"/>
                <w:szCs w:val="21"/>
                <w:lang w:bidi="ar"/>
              </w:rPr>
              <w:t>0.0109%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721" w:type="pct"/>
            <w:vAlign w:val="center"/>
          </w:tcPr>
          <w:p>
            <w:pPr>
              <w:jc w:val="both"/>
              <w:rPr>
                <w:szCs w:val="21"/>
              </w:rPr>
            </w:pPr>
            <w:r>
              <w:rPr>
                <w:rFonts w:hint="eastAsia"/>
                <w:szCs w:val="21"/>
              </w:rPr>
              <w:t>卫杰</w:t>
            </w:r>
          </w:p>
        </w:tc>
        <w:tc>
          <w:tcPr>
            <w:tcW w:w="794" w:type="pct"/>
            <w:vAlign w:val="center"/>
          </w:tcPr>
          <w:p>
            <w:pPr>
              <w:jc w:val="both"/>
              <w:rPr>
                <w:szCs w:val="21"/>
              </w:rPr>
            </w:pPr>
            <w:r>
              <w:rPr>
                <w:rFonts w:hint="eastAsia"/>
                <w:szCs w:val="21"/>
              </w:rPr>
              <w:t>副总经理</w:t>
            </w:r>
          </w:p>
        </w:tc>
        <w:tc>
          <w:tcPr>
            <w:tcW w:w="769" w:type="pct"/>
            <w:vAlign w:val="center"/>
          </w:tcPr>
          <w:p>
            <w:pPr>
              <w:jc w:val="both"/>
              <w:rPr>
                <w:szCs w:val="21"/>
              </w:rPr>
            </w:pPr>
            <w:r>
              <w:rPr>
                <w:szCs w:val="21"/>
              </w:rPr>
              <w:t>7.20</w:t>
            </w:r>
          </w:p>
        </w:tc>
        <w:tc>
          <w:tcPr>
            <w:tcW w:w="946" w:type="pct"/>
            <w:vAlign w:val="center"/>
          </w:tcPr>
          <w:p>
            <w:pPr>
              <w:jc w:val="both"/>
              <w:rPr>
                <w:color w:val="000000"/>
                <w:szCs w:val="21"/>
                <w:lang w:bidi="ar"/>
              </w:rPr>
            </w:pPr>
            <w:r>
              <w:rPr>
                <w:rFonts w:hint="eastAsia"/>
                <w:szCs w:val="21"/>
              </w:rPr>
              <w:t>2.16</w:t>
            </w:r>
          </w:p>
        </w:tc>
        <w:tc>
          <w:tcPr>
            <w:tcW w:w="948" w:type="pct"/>
            <w:vAlign w:val="center"/>
          </w:tcPr>
          <w:p>
            <w:pPr>
              <w:jc w:val="both"/>
              <w:textAlignment w:val="center"/>
              <w:rPr>
                <w:szCs w:val="21"/>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szCs w:val="21"/>
              </w:rPr>
            </w:pPr>
            <w:r>
              <w:rPr>
                <w:color w:val="000000"/>
                <w:szCs w:val="21"/>
                <w:lang w:bidi="ar"/>
              </w:rPr>
              <w:t>0.0093%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5" w:type="pct"/>
            <w:gridSpan w:val="2"/>
            <w:vAlign w:val="center"/>
          </w:tcPr>
          <w:p>
            <w:pPr>
              <w:jc w:val="both"/>
              <w:rPr>
                <w:szCs w:val="21"/>
              </w:rPr>
            </w:pPr>
            <w:r>
              <w:rPr>
                <w:rFonts w:hint="eastAsia"/>
                <w:szCs w:val="21"/>
              </w:rPr>
              <w:t>核心业务（技术）人员</w:t>
            </w:r>
            <w:r>
              <w:rPr>
                <w:szCs w:val="21"/>
              </w:rPr>
              <w:t>/</w:t>
            </w:r>
            <w:r>
              <w:rPr>
                <w:rFonts w:hint="eastAsia"/>
                <w:szCs w:val="21"/>
              </w:rPr>
              <w:t>管理人员（</w:t>
            </w:r>
            <w:r>
              <w:rPr>
                <w:szCs w:val="21"/>
              </w:rPr>
              <w:t>1</w:t>
            </w:r>
            <w:r>
              <w:rPr>
                <w:rFonts w:hint="eastAsia"/>
                <w:szCs w:val="21"/>
              </w:rPr>
              <w:t>47人）</w:t>
            </w:r>
          </w:p>
        </w:tc>
        <w:tc>
          <w:tcPr>
            <w:tcW w:w="769" w:type="pct"/>
            <w:vAlign w:val="center"/>
          </w:tcPr>
          <w:p>
            <w:pPr>
              <w:jc w:val="both"/>
              <w:textAlignment w:val="center"/>
              <w:rPr>
                <w:szCs w:val="21"/>
                <w:highlight w:val="yellow"/>
              </w:rPr>
            </w:pPr>
            <w:r>
              <w:rPr>
                <w:color w:val="000000"/>
                <w:szCs w:val="21"/>
                <w:lang w:bidi="ar"/>
              </w:rPr>
              <w:t>5</w:t>
            </w:r>
            <w:r>
              <w:rPr>
                <w:rFonts w:hint="eastAsia"/>
                <w:color w:val="000000"/>
                <w:szCs w:val="21"/>
                <w:lang w:bidi="ar"/>
              </w:rPr>
              <w:t>41.5</w:t>
            </w:r>
            <w:r>
              <w:rPr>
                <w:color w:val="000000"/>
                <w:szCs w:val="21"/>
                <w:lang w:bidi="ar"/>
              </w:rPr>
              <w:t>0</w:t>
            </w:r>
          </w:p>
        </w:tc>
        <w:tc>
          <w:tcPr>
            <w:tcW w:w="946" w:type="pct"/>
            <w:vAlign w:val="center"/>
          </w:tcPr>
          <w:p>
            <w:pPr>
              <w:jc w:val="both"/>
              <w:textAlignment w:val="center"/>
              <w:rPr>
                <w:color w:val="000000"/>
                <w:szCs w:val="21"/>
                <w:highlight w:val="yellow"/>
                <w:lang w:bidi="ar"/>
              </w:rPr>
            </w:pPr>
            <w:r>
              <w:rPr>
                <w:rFonts w:hint="eastAsia"/>
                <w:color w:val="000000"/>
                <w:szCs w:val="21"/>
                <w:lang w:bidi="ar"/>
              </w:rPr>
              <w:t>162.45</w:t>
            </w:r>
          </w:p>
        </w:tc>
        <w:tc>
          <w:tcPr>
            <w:tcW w:w="948" w:type="pct"/>
            <w:vAlign w:val="center"/>
          </w:tcPr>
          <w:p>
            <w:pPr>
              <w:jc w:val="both"/>
              <w:textAlignment w:val="center"/>
              <w:rPr>
                <w:szCs w:val="21"/>
                <w:highlight w:val="yellow"/>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color w:val="000000"/>
                <w:szCs w:val="21"/>
                <w:highlight w:val="yellow"/>
              </w:rPr>
            </w:pPr>
            <w:r>
              <w:rPr>
                <w:rFonts w:hint="eastAsia"/>
                <w:color w:val="000000"/>
                <w:szCs w:val="21"/>
                <w:lang w:bidi="ar"/>
              </w:rPr>
              <w:t>0.701</w:t>
            </w:r>
            <w:r>
              <w:rPr>
                <w:color w:val="000000"/>
                <w:szCs w:val="21"/>
                <w:lang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5" w:type="pct"/>
            <w:gridSpan w:val="2"/>
            <w:vAlign w:val="center"/>
          </w:tcPr>
          <w:p>
            <w:pPr>
              <w:jc w:val="both"/>
              <w:rPr>
                <w:b/>
                <w:szCs w:val="21"/>
              </w:rPr>
            </w:pPr>
            <w:r>
              <w:rPr>
                <w:rFonts w:hint="eastAsia"/>
                <w:b/>
                <w:szCs w:val="21"/>
              </w:rPr>
              <w:t>合计</w:t>
            </w:r>
          </w:p>
        </w:tc>
        <w:tc>
          <w:tcPr>
            <w:tcW w:w="769" w:type="pct"/>
            <w:vAlign w:val="center"/>
          </w:tcPr>
          <w:p>
            <w:pPr>
              <w:jc w:val="both"/>
              <w:rPr>
                <w:b/>
                <w:szCs w:val="21"/>
                <w:highlight w:val="yellow"/>
              </w:rPr>
            </w:pPr>
            <w:r>
              <w:rPr>
                <w:rFonts w:hint="eastAsia"/>
                <w:b/>
                <w:szCs w:val="21"/>
              </w:rPr>
              <w:t>654.90</w:t>
            </w:r>
          </w:p>
        </w:tc>
        <w:tc>
          <w:tcPr>
            <w:tcW w:w="946" w:type="pct"/>
            <w:vAlign w:val="center"/>
          </w:tcPr>
          <w:p>
            <w:pPr>
              <w:jc w:val="both"/>
              <w:rPr>
                <w:b/>
                <w:szCs w:val="21"/>
                <w:highlight w:val="yellow"/>
              </w:rPr>
            </w:pPr>
            <w:r>
              <w:rPr>
                <w:rFonts w:hint="eastAsia"/>
                <w:b/>
                <w:szCs w:val="21"/>
              </w:rPr>
              <w:t>196.47</w:t>
            </w:r>
          </w:p>
        </w:tc>
        <w:tc>
          <w:tcPr>
            <w:tcW w:w="948" w:type="pct"/>
            <w:vAlign w:val="center"/>
          </w:tcPr>
          <w:p>
            <w:pPr>
              <w:jc w:val="both"/>
              <w:textAlignment w:val="center"/>
              <w:rPr>
                <w:b/>
                <w:szCs w:val="21"/>
                <w:highlight w:val="yellow"/>
              </w:rPr>
            </w:pPr>
            <w:r>
              <w:rPr>
                <w:rFonts w:hint="eastAsia"/>
                <w:color w:val="000000"/>
                <w:szCs w:val="21"/>
                <w:lang w:bidi="ar"/>
              </w:rPr>
              <w:t>30</w:t>
            </w:r>
            <w:r>
              <w:rPr>
                <w:color w:val="000000"/>
                <w:szCs w:val="21"/>
                <w:lang w:bidi="ar"/>
              </w:rPr>
              <w:t>%</w:t>
            </w:r>
          </w:p>
        </w:tc>
        <w:tc>
          <w:tcPr>
            <w:tcW w:w="820" w:type="pct"/>
            <w:vAlign w:val="center"/>
          </w:tcPr>
          <w:p>
            <w:pPr>
              <w:jc w:val="both"/>
              <w:textAlignment w:val="center"/>
              <w:rPr>
                <w:b/>
                <w:color w:val="000000"/>
                <w:szCs w:val="21"/>
                <w:highlight w:val="yellow"/>
              </w:rPr>
            </w:pPr>
            <w:r>
              <w:rPr>
                <w:rFonts w:hint="eastAsia"/>
                <w:color w:val="000000"/>
                <w:szCs w:val="21"/>
                <w:lang w:bidi="ar"/>
              </w:rPr>
              <w:t>0.8</w:t>
            </w:r>
            <w:r>
              <w:rPr>
                <w:color w:val="000000"/>
                <w:szCs w:val="21"/>
                <w:lang w:bidi="ar"/>
              </w:rPr>
              <w:t>479%</w:t>
            </w:r>
          </w:p>
        </w:tc>
      </w:tr>
    </w:tbl>
    <w:p>
      <w:pPr>
        <w:autoSpaceDE w:val="0"/>
        <w:autoSpaceDN w:val="0"/>
        <w:adjustRightInd w:val="0"/>
        <w:snapToGrid w:val="0"/>
        <w:spacing w:line="360" w:lineRule="auto"/>
        <w:ind w:firstLine="420" w:firstLineChars="200"/>
        <w:rPr>
          <w:sz w:val="21"/>
          <w:szCs w:val="21"/>
        </w:rPr>
      </w:pPr>
      <w:r>
        <w:rPr>
          <w:sz w:val="21"/>
          <w:szCs w:val="21"/>
        </w:rPr>
        <w:t>注：</w:t>
      </w:r>
      <w:r>
        <w:rPr>
          <w:rFonts w:hint="eastAsia"/>
          <w:sz w:val="21"/>
          <w:szCs w:val="21"/>
        </w:rPr>
        <w:t>1、2022年7月4日，公司召开第八届董事会第一次会议审议通过了《关于聘任公司总经理的议案》及《关于聘任公司其他高级管理人员的议案》，同意聘任叶枫先生担任公司总经理，聘任朱立通先生、掌晓愚先生、李祥明先生、范峰先生、卫杰先生、朱雅轩女士担任公司副总经理；邹瑛女士担任公司财务总监，目前公司董事会秘书暂时空缺，在公司董事会秘书空缺期间，将由公司董事长杨文山先生代行董事会秘书职责。</w:t>
      </w:r>
    </w:p>
    <w:p>
      <w:pPr>
        <w:autoSpaceDE w:val="0"/>
        <w:autoSpaceDN w:val="0"/>
        <w:adjustRightInd w:val="0"/>
        <w:snapToGrid w:val="0"/>
        <w:spacing w:line="360" w:lineRule="auto"/>
        <w:ind w:firstLine="420" w:firstLineChars="200"/>
        <w:rPr>
          <w:sz w:val="21"/>
          <w:szCs w:val="21"/>
        </w:rPr>
      </w:pPr>
      <w:r>
        <w:rPr>
          <w:rFonts w:hint="eastAsia"/>
          <w:sz w:val="21"/>
          <w:szCs w:val="21"/>
        </w:rPr>
        <w:t>2、202</w:t>
      </w:r>
      <w:r>
        <w:rPr>
          <w:sz w:val="21"/>
          <w:szCs w:val="21"/>
        </w:rPr>
        <w:t>2年</w:t>
      </w:r>
      <w:r>
        <w:rPr>
          <w:rFonts w:hint="eastAsia"/>
          <w:sz w:val="21"/>
          <w:szCs w:val="21"/>
        </w:rPr>
        <w:t>7月4日，2022年第一次临时股东大会审议通过了《关于选举公司第八届董事会非独立董事的议案》，朱立通先生任公司第八届董事会非独立董事。</w:t>
      </w:r>
    </w:p>
    <w:p>
      <w:pPr>
        <w:autoSpaceDE w:val="0"/>
        <w:autoSpaceDN w:val="0"/>
        <w:adjustRightInd w:val="0"/>
        <w:snapToGrid w:val="0"/>
        <w:spacing w:line="360" w:lineRule="auto"/>
        <w:ind w:firstLine="420" w:firstLineChars="200"/>
        <w:rPr>
          <w:sz w:val="21"/>
          <w:szCs w:val="21"/>
        </w:rPr>
      </w:pPr>
      <w:r>
        <w:rPr>
          <w:rFonts w:hint="eastAsia"/>
          <w:sz w:val="21"/>
          <w:szCs w:val="21"/>
        </w:rPr>
        <w:t>3、上表中部分合计数与各明细数相加之和在尾数上如有差异，系以上百分比结果四舍五入所致。</w:t>
      </w:r>
    </w:p>
    <w:p>
      <w:pPr>
        <w:autoSpaceDE w:val="0"/>
        <w:autoSpaceDN w:val="0"/>
        <w:adjustRightInd w:val="0"/>
        <w:snapToGrid w:val="0"/>
        <w:spacing w:line="360" w:lineRule="auto"/>
        <w:ind w:firstLine="420" w:firstLineChars="200"/>
        <w:jc w:val="both"/>
        <w:rPr>
          <w:sz w:val="21"/>
          <w:szCs w:val="21"/>
        </w:rPr>
      </w:pP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四、股权激励股票期权费用的核算及说明</w:t>
      </w:r>
    </w:p>
    <w:p>
      <w:pPr>
        <w:autoSpaceDE w:val="0"/>
        <w:autoSpaceDN w:val="0"/>
        <w:adjustRightInd w:val="0"/>
        <w:snapToGrid w:val="0"/>
        <w:spacing w:line="360" w:lineRule="auto"/>
        <w:ind w:firstLine="504" w:firstLineChars="210"/>
        <w:jc w:val="both"/>
        <w:rPr>
          <w:rFonts w:eastAsiaTheme="minorEastAsia"/>
          <w:color w:val="000000"/>
          <w:highlight w:val="yellow"/>
        </w:rPr>
      </w:pPr>
      <w:r>
        <w:rPr>
          <w:rFonts w:eastAsiaTheme="minorEastAsia"/>
          <w:color w:val="000000"/>
        </w:rPr>
        <w:t>根据《企业会计准则第11号——股份支付》和《企业会计准则第22号——金融工具确认和计量》，在授予日，公司采用Black-Scholes期权定价模型确定股票期权在授予日的公允价值；授予日后，公司已在对应的等待期根据会计准则对本次股票期权行权相关费用进行相应摊销，计入相关成本或费用及资本公积；在行权日，公司仅根据实际行权数量，确认股本和股本溢价，</w:t>
      </w:r>
      <w:r>
        <w:rPr>
          <w:rFonts w:hint="eastAsia" w:eastAsiaTheme="minorEastAsia"/>
          <w:color w:val="000000"/>
        </w:rPr>
        <w:t>具体数额以会计师事务所出具的年度审计报告为准，</w:t>
      </w:r>
      <w:r>
        <w:rPr>
          <w:rFonts w:eastAsiaTheme="minorEastAsia"/>
          <w:color w:val="000000"/>
        </w:rPr>
        <w:t>本次股票行权不会对公司财务状况和经营成果产生重大影响。</w:t>
      </w:r>
    </w:p>
    <w:p>
      <w:pPr>
        <w:tabs>
          <w:tab w:val="left" w:pos="1260"/>
        </w:tabs>
        <w:adjustRightInd w:val="0"/>
        <w:snapToGrid w:val="0"/>
        <w:spacing w:line="360" w:lineRule="auto"/>
        <w:ind w:firstLine="482" w:firstLineChars="200"/>
        <w:jc w:val="both"/>
        <w:outlineLvl w:val="0"/>
        <w:rPr>
          <w:rFonts w:eastAsiaTheme="minorEastAsia"/>
          <w:b/>
        </w:rPr>
      </w:pPr>
      <w:r>
        <w:rPr>
          <w:rFonts w:hint="eastAsia" w:eastAsiaTheme="minorEastAsia"/>
          <w:b/>
        </w:rPr>
        <w:t>五、监事会对激励对象名单的核实情况</w:t>
      </w:r>
    </w:p>
    <w:p>
      <w:pPr>
        <w:snapToGrid w:val="0"/>
        <w:spacing w:line="360" w:lineRule="auto"/>
        <w:ind w:firstLine="460" w:firstLineChars="192"/>
        <w:jc w:val="both"/>
        <w:rPr>
          <w:rFonts w:eastAsiaTheme="minorEastAsia"/>
          <w:color w:val="000000"/>
        </w:rPr>
      </w:pPr>
      <w:r>
        <w:rPr>
          <w:rFonts w:hint="eastAsia"/>
          <w:color w:val="000000"/>
        </w:rPr>
        <w:t>监事会根据《公司2021年股票期权激励计划（草案）</w:t>
      </w:r>
      <w:r>
        <w:rPr>
          <w:color w:val="000000"/>
        </w:rPr>
        <w:t>》及《公司2021年股票期权激励计划实施考核管理办法》中规定的行权条件进行了审核，</w:t>
      </w:r>
      <w:r>
        <w:rPr>
          <w:rFonts w:hint="eastAsia"/>
          <w:color w:val="000000"/>
        </w:rPr>
        <w:t>认为：</w:t>
      </w:r>
      <w:r>
        <w:rPr>
          <w:color w:val="000000"/>
        </w:rPr>
        <w:t>公司2021年股票期权激励计划的第一个行权期行权条件已达成，各激励对象个人绩效考核结果合规、真实，不存在虚假、故意隐瞒或致人重大误解之处</w:t>
      </w:r>
      <w:r>
        <w:rPr>
          <w:rFonts w:hint="eastAsia"/>
          <w:color w:val="000000"/>
        </w:rPr>
        <w:t>，</w:t>
      </w:r>
      <w:r>
        <w:rPr>
          <w:color w:val="000000"/>
        </w:rPr>
        <w:t>符合相关法律、法规及规范性文件所规定的条件，不存在损害公司及全体股东利益的情形。</w:t>
      </w:r>
    </w:p>
    <w:p>
      <w:pPr>
        <w:numPr>
          <w:ilvl w:val="0"/>
          <w:numId w:val="4"/>
        </w:numPr>
        <w:snapToGrid w:val="0"/>
        <w:spacing w:line="360" w:lineRule="auto"/>
        <w:ind w:firstLine="420"/>
        <w:jc w:val="both"/>
        <w:rPr>
          <w:rFonts w:eastAsiaTheme="minorEastAsia"/>
          <w:b/>
          <w:bCs/>
          <w:color w:val="000000"/>
        </w:rPr>
      </w:pPr>
      <w:r>
        <w:rPr>
          <w:rFonts w:hint="eastAsia" w:eastAsiaTheme="minorEastAsia"/>
          <w:b/>
          <w:bCs/>
          <w:color w:val="000000"/>
        </w:rPr>
        <w:t>独立董事发表的独立意见</w:t>
      </w:r>
    </w:p>
    <w:p>
      <w:pPr>
        <w:snapToGrid w:val="0"/>
        <w:spacing w:line="360" w:lineRule="auto"/>
        <w:ind w:firstLine="420"/>
        <w:jc w:val="both"/>
        <w:rPr>
          <w:rFonts w:eastAsiaTheme="minorEastAsia"/>
          <w:color w:val="000000"/>
        </w:rPr>
      </w:pPr>
      <w:r>
        <w:rPr>
          <w:rFonts w:hint="eastAsia" w:eastAsiaTheme="minorEastAsia"/>
          <w:color w:val="000000"/>
        </w:rPr>
        <w:t>公司2021年股票期权激励计划首次授予股票期权第一个行权期行权条件已经成就，公司本次行权安排符合《上市公司股权激励管理办法》等法律法规的规定，且符合《公司2021年股票期权激励计划（草案）》和《公司2021年股票期权激励计划实施考核管理办法》的相关规定，相关行权条件已成就，不存在损害公司及全体股东利益的情形。</w:t>
      </w:r>
    </w:p>
    <w:p>
      <w:pPr>
        <w:snapToGrid w:val="0"/>
        <w:spacing w:line="360" w:lineRule="auto"/>
        <w:ind w:firstLine="420"/>
        <w:jc w:val="both"/>
        <w:rPr>
          <w:rFonts w:eastAsiaTheme="minorEastAsia"/>
          <w:color w:val="000000"/>
        </w:rPr>
      </w:pPr>
      <w:r>
        <w:rPr>
          <w:rFonts w:hint="eastAsia" w:eastAsiaTheme="minorEastAsia"/>
          <w:color w:val="000000"/>
        </w:rPr>
        <w:t>综上所述，同意公司2021年股票期权激励计划首次授予股票期权的</w:t>
      </w:r>
      <w:r>
        <w:rPr>
          <w:rFonts w:eastAsiaTheme="minorEastAsia"/>
          <w:color w:val="000000"/>
        </w:rPr>
        <w:t>1</w:t>
      </w:r>
      <w:r>
        <w:rPr>
          <w:rFonts w:hint="eastAsia" w:eastAsiaTheme="minorEastAsia"/>
          <w:color w:val="000000"/>
        </w:rPr>
        <w:t>53名激励对象第一个行权期共计</w:t>
      </w:r>
      <w:r>
        <w:rPr>
          <w:rFonts w:eastAsiaTheme="minorEastAsia"/>
          <w:color w:val="000000"/>
        </w:rPr>
        <w:t>196.47</w:t>
      </w:r>
      <w:r>
        <w:rPr>
          <w:rFonts w:hint="eastAsia" w:eastAsiaTheme="minorEastAsia"/>
          <w:color w:val="000000"/>
        </w:rPr>
        <w:t>万份股票期权按照相关规定行权。</w:t>
      </w:r>
    </w:p>
    <w:p>
      <w:pPr>
        <w:snapToGrid w:val="0"/>
        <w:spacing w:line="360" w:lineRule="auto"/>
        <w:ind w:firstLine="420"/>
        <w:jc w:val="both"/>
        <w:rPr>
          <w:rFonts w:eastAsiaTheme="minorEastAsia"/>
          <w:b/>
          <w:bCs/>
          <w:color w:val="000000"/>
        </w:rPr>
      </w:pPr>
    </w:p>
    <w:p>
      <w:pPr>
        <w:numPr>
          <w:ilvl w:val="0"/>
          <w:numId w:val="4"/>
        </w:numPr>
        <w:snapToGrid w:val="0"/>
        <w:spacing w:line="360" w:lineRule="auto"/>
        <w:ind w:firstLine="420"/>
        <w:jc w:val="both"/>
        <w:rPr>
          <w:rFonts w:eastAsiaTheme="minorEastAsia"/>
        </w:rPr>
      </w:pPr>
      <w:r>
        <w:rPr>
          <w:rFonts w:hint="eastAsia" w:eastAsiaTheme="minorEastAsia"/>
          <w:b/>
          <w:bCs/>
          <w:color w:val="000000"/>
        </w:rPr>
        <w:t>法律意见书的结论性意见</w:t>
      </w:r>
    </w:p>
    <w:p>
      <w:pPr>
        <w:snapToGrid w:val="0"/>
        <w:spacing w:line="360" w:lineRule="auto"/>
        <w:ind w:firstLine="420"/>
        <w:jc w:val="both"/>
        <w:rPr>
          <w:rFonts w:eastAsiaTheme="minorEastAsia"/>
        </w:rPr>
      </w:pPr>
      <w:r>
        <w:rPr>
          <w:rFonts w:hint="eastAsia" w:eastAsiaTheme="minorEastAsia"/>
        </w:rPr>
        <w:t>根据</w:t>
      </w:r>
      <w:r>
        <w:rPr>
          <w:rFonts w:eastAsiaTheme="minorEastAsia"/>
          <w:bCs/>
        </w:rPr>
        <w:t>公司2021年第</w:t>
      </w:r>
      <w:r>
        <w:rPr>
          <w:rFonts w:hint="eastAsia" w:eastAsiaTheme="minorEastAsia"/>
          <w:bCs/>
        </w:rPr>
        <w:t>一</w:t>
      </w:r>
      <w:r>
        <w:rPr>
          <w:rFonts w:eastAsiaTheme="minorEastAsia"/>
          <w:bCs/>
        </w:rPr>
        <w:t>次临时股东大会</w:t>
      </w:r>
      <w:r>
        <w:rPr>
          <w:rFonts w:hint="eastAsia" w:eastAsiaTheme="minorEastAsia"/>
          <w:bCs/>
        </w:rPr>
        <w:t>的授权，</w:t>
      </w:r>
      <w:r>
        <w:rPr>
          <w:rFonts w:hint="eastAsia" w:eastAsiaTheme="minorEastAsia"/>
        </w:rPr>
        <w:t>董事会有权办理本次行权的相关事宜，截至本法律意见书出具之日，公司本次行权已履行现阶段必要的程序，符合《管理办法》等法律、法规、规范性文件和《激励计划》的相关规定。公司《激励计划》规定的股票期权首次授予的第一期等待期将届满，行权条件已成就，行权的人数、数量及价格均符合《管理办法》等法律、法规、规范性文件及《激励计划》的相关规定。</w:t>
      </w:r>
    </w:p>
    <w:p>
      <w:pPr>
        <w:snapToGrid w:val="0"/>
        <w:spacing w:line="360" w:lineRule="auto"/>
        <w:ind w:firstLine="420"/>
        <w:jc w:val="both"/>
      </w:pPr>
    </w:p>
    <w:p>
      <w:pPr>
        <w:snapToGrid w:val="0"/>
        <w:spacing w:line="360" w:lineRule="auto"/>
        <w:ind w:firstLine="460" w:firstLineChars="192"/>
        <w:jc w:val="both"/>
        <w:rPr>
          <w:rFonts w:eastAsiaTheme="minorEastAsia"/>
          <w:color w:val="000000"/>
        </w:rPr>
      </w:pPr>
      <w:r>
        <w:rPr>
          <w:rFonts w:eastAsiaTheme="minorEastAsia"/>
          <w:color w:val="000000"/>
        </w:rPr>
        <w:t>特此公告。</w:t>
      </w:r>
    </w:p>
    <w:p>
      <w:pPr>
        <w:snapToGrid w:val="0"/>
        <w:spacing w:line="360" w:lineRule="auto"/>
        <w:ind w:firstLine="460" w:firstLineChars="192"/>
        <w:jc w:val="right"/>
        <w:rPr>
          <w:rFonts w:eastAsiaTheme="minorEastAsia"/>
          <w:color w:val="000000"/>
        </w:rPr>
      </w:pPr>
      <w:r>
        <w:rPr>
          <w:rFonts w:eastAsiaTheme="minorEastAsia"/>
          <w:color w:val="000000"/>
        </w:rPr>
        <w:t>格尔软件股份有限公司</w:t>
      </w:r>
      <w:r>
        <w:rPr>
          <w:rFonts w:hint="eastAsia" w:eastAsiaTheme="minorEastAsia"/>
          <w:color w:val="000000"/>
        </w:rPr>
        <w:t>董事会</w:t>
      </w:r>
    </w:p>
    <w:p>
      <w:pPr>
        <w:snapToGrid w:val="0"/>
        <w:spacing w:line="360" w:lineRule="auto"/>
        <w:ind w:firstLine="480" w:firstLineChars="200"/>
        <w:jc w:val="right"/>
        <w:rPr>
          <w:rFonts w:eastAsiaTheme="minorEastAsia"/>
        </w:rPr>
      </w:pPr>
      <w:r>
        <w:rPr>
          <w:rFonts w:eastAsiaTheme="minorEastAsia"/>
        </w:rPr>
        <w:t>2022年7月</w:t>
      </w:r>
      <w:r>
        <w:rPr>
          <w:rFonts w:hint="eastAsia" w:eastAsiaTheme="minorEastAsia"/>
        </w:rPr>
        <w:t>16</w:t>
      </w:r>
      <w:r>
        <w:rPr>
          <w:rFonts w:eastAsiaTheme="minorEastAsia"/>
        </w:rPr>
        <w:t>日</w:t>
      </w:r>
    </w:p>
    <w:p>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2EE221"/>
    <w:multiLevelType w:val="singleLevel"/>
    <w:tmpl w:val="EA2EE221"/>
    <w:lvl w:ilvl="0" w:tentative="0">
      <w:start w:val="1"/>
      <w:numFmt w:val="chineseCounting"/>
      <w:suff w:val="nothing"/>
      <w:lvlText w:val="%1、"/>
      <w:lvlJc w:val="left"/>
      <w:rPr>
        <w:rFonts w:hint="eastAsia"/>
      </w:rPr>
    </w:lvl>
  </w:abstractNum>
  <w:abstractNum w:abstractNumId="1">
    <w:nsid w:val="F5FED928"/>
    <w:multiLevelType w:val="singleLevel"/>
    <w:tmpl w:val="F5FED928"/>
    <w:lvl w:ilvl="0" w:tentative="0">
      <w:start w:val="6"/>
      <w:numFmt w:val="chineseCounting"/>
      <w:suff w:val="nothing"/>
      <w:lvlText w:val="%1、"/>
      <w:lvlJc w:val="left"/>
      <w:rPr>
        <w:rFonts w:hint="eastAsia"/>
        <w:b/>
        <w:bCs/>
      </w:rPr>
    </w:lvl>
  </w:abstractNum>
  <w:abstractNum w:abstractNumId="2">
    <w:nsid w:val="07EB7FF8"/>
    <w:multiLevelType w:val="singleLevel"/>
    <w:tmpl w:val="07EB7FF8"/>
    <w:lvl w:ilvl="0" w:tentative="0">
      <w:start w:val="3"/>
      <w:numFmt w:val="chineseCounting"/>
      <w:suff w:val="nothing"/>
      <w:lvlText w:val="（%1）"/>
      <w:lvlJc w:val="left"/>
      <w:rPr>
        <w:rFonts w:hint="eastAsia"/>
      </w:rPr>
    </w:lvl>
  </w:abstractNum>
  <w:abstractNum w:abstractNumId="3">
    <w:nsid w:val="68722BCA"/>
    <w:multiLevelType w:val="multilevel"/>
    <w:tmpl w:val="68722BCA"/>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009C6E42"/>
    <w:rsid w:val="0001518A"/>
    <w:rsid w:val="00030C70"/>
    <w:rsid w:val="00034C18"/>
    <w:rsid w:val="0006001C"/>
    <w:rsid w:val="00062682"/>
    <w:rsid w:val="000805F0"/>
    <w:rsid w:val="000B2247"/>
    <w:rsid w:val="000B6613"/>
    <w:rsid w:val="000D2126"/>
    <w:rsid w:val="000D6DC1"/>
    <w:rsid w:val="000E2099"/>
    <w:rsid w:val="000E6472"/>
    <w:rsid w:val="000F28C0"/>
    <w:rsid w:val="000F58FC"/>
    <w:rsid w:val="00110697"/>
    <w:rsid w:val="00126977"/>
    <w:rsid w:val="0012771B"/>
    <w:rsid w:val="00131460"/>
    <w:rsid w:val="00133A94"/>
    <w:rsid w:val="00134547"/>
    <w:rsid w:val="001356CB"/>
    <w:rsid w:val="00145B26"/>
    <w:rsid w:val="00163A3C"/>
    <w:rsid w:val="0017115E"/>
    <w:rsid w:val="00173872"/>
    <w:rsid w:val="00191EB6"/>
    <w:rsid w:val="001A13FD"/>
    <w:rsid w:val="001B313D"/>
    <w:rsid w:val="001C43DA"/>
    <w:rsid w:val="001E14A7"/>
    <w:rsid w:val="001F1231"/>
    <w:rsid w:val="001F31B2"/>
    <w:rsid w:val="00201867"/>
    <w:rsid w:val="002115E2"/>
    <w:rsid w:val="00213E54"/>
    <w:rsid w:val="00214D08"/>
    <w:rsid w:val="00220129"/>
    <w:rsid w:val="00233B53"/>
    <w:rsid w:val="002447E5"/>
    <w:rsid w:val="00261677"/>
    <w:rsid w:val="002750E8"/>
    <w:rsid w:val="00284D3B"/>
    <w:rsid w:val="00290368"/>
    <w:rsid w:val="00290949"/>
    <w:rsid w:val="002C7394"/>
    <w:rsid w:val="002D6225"/>
    <w:rsid w:val="002E0BC0"/>
    <w:rsid w:val="002F1D31"/>
    <w:rsid w:val="002F20A4"/>
    <w:rsid w:val="00300C81"/>
    <w:rsid w:val="0030246F"/>
    <w:rsid w:val="003046C6"/>
    <w:rsid w:val="003064A7"/>
    <w:rsid w:val="00307944"/>
    <w:rsid w:val="00314B5E"/>
    <w:rsid w:val="003168B3"/>
    <w:rsid w:val="00317518"/>
    <w:rsid w:val="00323A9D"/>
    <w:rsid w:val="00325A33"/>
    <w:rsid w:val="003311F3"/>
    <w:rsid w:val="00335674"/>
    <w:rsid w:val="003434F6"/>
    <w:rsid w:val="00344992"/>
    <w:rsid w:val="0037562B"/>
    <w:rsid w:val="00383412"/>
    <w:rsid w:val="00395C17"/>
    <w:rsid w:val="003E2EC3"/>
    <w:rsid w:val="003E7939"/>
    <w:rsid w:val="003F4838"/>
    <w:rsid w:val="00410B77"/>
    <w:rsid w:val="0043128F"/>
    <w:rsid w:val="00434C93"/>
    <w:rsid w:val="00441DB1"/>
    <w:rsid w:val="00442537"/>
    <w:rsid w:val="00456B3F"/>
    <w:rsid w:val="00462E44"/>
    <w:rsid w:val="004736D6"/>
    <w:rsid w:val="00482B62"/>
    <w:rsid w:val="004A2F1B"/>
    <w:rsid w:val="004A51E2"/>
    <w:rsid w:val="004E7EBD"/>
    <w:rsid w:val="004F5440"/>
    <w:rsid w:val="004F5834"/>
    <w:rsid w:val="005011DE"/>
    <w:rsid w:val="00512621"/>
    <w:rsid w:val="005143EC"/>
    <w:rsid w:val="00536953"/>
    <w:rsid w:val="005411D1"/>
    <w:rsid w:val="00541CB7"/>
    <w:rsid w:val="0056507B"/>
    <w:rsid w:val="005652B8"/>
    <w:rsid w:val="0057109C"/>
    <w:rsid w:val="00581AA0"/>
    <w:rsid w:val="00582E21"/>
    <w:rsid w:val="005843C8"/>
    <w:rsid w:val="00586374"/>
    <w:rsid w:val="0059046A"/>
    <w:rsid w:val="005B2138"/>
    <w:rsid w:val="005C37FF"/>
    <w:rsid w:val="005C38C9"/>
    <w:rsid w:val="005C3DDF"/>
    <w:rsid w:val="005C6518"/>
    <w:rsid w:val="00607864"/>
    <w:rsid w:val="00616A3F"/>
    <w:rsid w:val="00637220"/>
    <w:rsid w:val="0064491F"/>
    <w:rsid w:val="0067142C"/>
    <w:rsid w:val="00674272"/>
    <w:rsid w:val="006919FF"/>
    <w:rsid w:val="006A269B"/>
    <w:rsid w:val="006B1EBD"/>
    <w:rsid w:val="006C6417"/>
    <w:rsid w:val="006C6B4D"/>
    <w:rsid w:val="006E72E7"/>
    <w:rsid w:val="00703D83"/>
    <w:rsid w:val="007212F9"/>
    <w:rsid w:val="007218E5"/>
    <w:rsid w:val="00732C0F"/>
    <w:rsid w:val="0075001C"/>
    <w:rsid w:val="0075122B"/>
    <w:rsid w:val="00755D25"/>
    <w:rsid w:val="00781184"/>
    <w:rsid w:val="00782594"/>
    <w:rsid w:val="00791B8D"/>
    <w:rsid w:val="007D3A51"/>
    <w:rsid w:val="007D47BE"/>
    <w:rsid w:val="007E1209"/>
    <w:rsid w:val="007E26DA"/>
    <w:rsid w:val="007F4B01"/>
    <w:rsid w:val="007F69D0"/>
    <w:rsid w:val="00815041"/>
    <w:rsid w:val="0085594F"/>
    <w:rsid w:val="00861A8E"/>
    <w:rsid w:val="008709AC"/>
    <w:rsid w:val="008716AE"/>
    <w:rsid w:val="00883147"/>
    <w:rsid w:val="0088342B"/>
    <w:rsid w:val="00891777"/>
    <w:rsid w:val="008A01C3"/>
    <w:rsid w:val="008A281C"/>
    <w:rsid w:val="008A4360"/>
    <w:rsid w:val="008B09DA"/>
    <w:rsid w:val="008C42D1"/>
    <w:rsid w:val="008D3158"/>
    <w:rsid w:val="008D7D5F"/>
    <w:rsid w:val="008E1589"/>
    <w:rsid w:val="008E450B"/>
    <w:rsid w:val="008F4B5B"/>
    <w:rsid w:val="00920C27"/>
    <w:rsid w:val="00923A69"/>
    <w:rsid w:val="00940A25"/>
    <w:rsid w:val="00955BD5"/>
    <w:rsid w:val="00961C0E"/>
    <w:rsid w:val="00961D70"/>
    <w:rsid w:val="009631AF"/>
    <w:rsid w:val="0096659B"/>
    <w:rsid w:val="00970B7D"/>
    <w:rsid w:val="009716E5"/>
    <w:rsid w:val="009A6108"/>
    <w:rsid w:val="009B3919"/>
    <w:rsid w:val="009C20E2"/>
    <w:rsid w:val="009C6E42"/>
    <w:rsid w:val="009D490D"/>
    <w:rsid w:val="009F411A"/>
    <w:rsid w:val="00A047DF"/>
    <w:rsid w:val="00A1415E"/>
    <w:rsid w:val="00A41FFE"/>
    <w:rsid w:val="00A61F00"/>
    <w:rsid w:val="00A62962"/>
    <w:rsid w:val="00A71C97"/>
    <w:rsid w:val="00A72368"/>
    <w:rsid w:val="00A9390F"/>
    <w:rsid w:val="00A96597"/>
    <w:rsid w:val="00AA25F9"/>
    <w:rsid w:val="00AA3E38"/>
    <w:rsid w:val="00AC0550"/>
    <w:rsid w:val="00AC4A33"/>
    <w:rsid w:val="00AD7B8B"/>
    <w:rsid w:val="00B02BC2"/>
    <w:rsid w:val="00B153C5"/>
    <w:rsid w:val="00B22C1A"/>
    <w:rsid w:val="00B27DBC"/>
    <w:rsid w:val="00B77B90"/>
    <w:rsid w:val="00B80F25"/>
    <w:rsid w:val="00B81BC2"/>
    <w:rsid w:val="00B8509F"/>
    <w:rsid w:val="00B90A28"/>
    <w:rsid w:val="00B91097"/>
    <w:rsid w:val="00B9391C"/>
    <w:rsid w:val="00B93BEF"/>
    <w:rsid w:val="00B9474F"/>
    <w:rsid w:val="00B94DF3"/>
    <w:rsid w:val="00B95149"/>
    <w:rsid w:val="00BC13B0"/>
    <w:rsid w:val="00BD2941"/>
    <w:rsid w:val="00BE539C"/>
    <w:rsid w:val="00BF62EF"/>
    <w:rsid w:val="00C00B3E"/>
    <w:rsid w:val="00C10F4D"/>
    <w:rsid w:val="00C2204B"/>
    <w:rsid w:val="00C55A63"/>
    <w:rsid w:val="00C569F2"/>
    <w:rsid w:val="00C65383"/>
    <w:rsid w:val="00C82E66"/>
    <w:rsid w:val="00C85161"/>
    <w:rsid w:val="00C90D3C"/>
    <w:rsid w:val="00C970BB"/>
    <w:rsid w:val="00CA0083"/>
    <w:rsid w:val="00CB71E3"/>
    <w:rsid w:val="00CD17CF"/>
    <w:rsid w:val="00CE13E7"/>
    <w:rsid w:val="00D07CD5"/>
    <w:rsid w:val="00D07DCA"/>
    <w:rsid w:val="00D10C31"/>
    <w:rsid w:val="00D207A5"/>
    <w:rsid w:val="00D23697"/>
    <w:rsid w:val="00D27792"/>
    <w:rsid w:val="00D30C51"/>
    <w:rsid w:val="00D370E0"/>
    <w:rsid w:val="00D45446"/>
    <w:rsid w:val="00D53B55"/>
    <w:rsid w:val="00D61A63"/>
    <w:rsid w:val="00D64105"/>
    <w:rsid w:val="00D657AB"/>
    <w:rsid w:val="00D668C3"/>
    <w:rsid w:val="00D810EE"/>
    <w:rsid w:val="00D86958"/>
    <w:rsid w:val="00D92124"/>
    <w:rsid w:val="00DA06E2"/>
    <w:rsid w:val="00DA425A"/>
    <w:rsid w:val="00DA5313"/>
    <w:rsid w:val="00DB096A"/>
    <w:rsid w:val="00DB75CF"/>
    <w:rsid w:val="00DC2022"/>
    <w:rsid w:val="00DC6AA1"/>
    <w:rsid w:val="00DE1453"/>
    <w:rsid w:val="00DE3EDD"/>
    <w:rsid w:val="00E1611E"/>
    <w:rsid w:val="00E21F93"/>
    <w:rsid w:val="00E22332"/>
    <w:rsid w:val="00E310BC"/>
    <w:rsid w:val="00E33166"/>
    <w:rsid w:val="00E36290"/>
    <w:rsid w:val="00E44B3A"/>
    <w:rsid w:val="00E638CE"/>
    <w:rsid w:val="00E82A9E"/>
    <w:rsid w:val="00E93770"/>
    <w:rsid w:val="00EA31D3"/>
    <w:rsid w:val="00EA71D9"/>
    <w:rsid w:val="00EA7340"/>
    <w:rsid w:val="00EB25E7"/>
    <w:rsid w:val="00ED7676"/>
    <w:rsid w:val="00EF053F"/>
    <w:rsid w:val="00F0408C"/>
    <w:rsid w:val="00F10FE9"/>
    <w:rsid w:val="00F211B3"/>
    <w:rsid w:val="00F22ADD"/>
    <w:rsid w:val="00F43499"/>
    <w:rsid w:val="00F51019"/>
    <w:rsid w:val="00F52280"/>
    <w:rsid w:val="00F65091"/>
    <w:rsid w:val="00FB2AC6"/>
    <w:rsid w:val="00FB4734"/>
    <w:rsid w:val="00FB6F73"/>
    <w:rsid w:val="00FC0663"/>
    <w:rsid w:val="00FD1530"/>
    <w:rsid w:val="00FD3001"/>
    <w:rsid w:val="00FE47EA"/>
    <w:rsid w:val="00FF2439"/>
    <w:rsid w:val="00FF49AD"/>
    <w:rsid w:val="01E3316A"/>
    <w:rsid w:val="02B95212"/>
    <w:rsid w:val="041D56EE"/>
    <w:rsid w:val="04383D88"/>
    <w:rsid w:val="06C44988"/>
    <w:rsid w:val="07227C03"/>
    <w:rsid w:val="073D3EE8"/>
    <w:rsid w:val="092822A5"/>
    <w:rsid w:val="0AC67B39"/>
    <w:rsid w:val="0C1D2426"/>
    <w:rsid w:val="0C490DA4"/>
    <w:rsid w:val="0CA3523B"/>
    <w:rsid w:val="0CD20156"/>
    <w:rsid w:val="0DC21D96"/>
    <w:rsid w:val="0E41082D"/>
    <w:rsid w:val="0ED830F1"/>
    <w:rsid w:val="0F851FF3"/>
    <w:rsid w:val="117F52E5"/>
    <w:rsid w:val="13143F34"/>
    <w:rsid w:val="13C1120F"/>
    <w:rsid w:val="15EB5232"/>
    <w:rsid w:val="18335E21"/>
    <w:rsid w:val="196E07EC"/>
    <w:rsid w:val="1B037CDD"/>
    <w:rsid w:val="1D093BE7"/>
    <w:rsid w:val="20476E0C"/>
    <w:rsid w:val="21597A58"/>
    <w:rsid w:val="216A1B8D"/>
    <w:rsid w:val="21ED770F"/>
    <w:rsid w:val="224462EA"/>
    <w:rsid w:val="22FE2970"/>
    <w:rsid w:val="232D64B7"/>
    <w:rsid w:val="234447AB"/>
    <w:rsid w:val="23CF0795"/>
    <w:rsid w:val="24C108AD"/>
    <w:rsid w:val="25483E3A"/>
    <w:rsid w:val="25FD4BA8"/>
    <w:rsid w:val="2859184C"/>
    <w:rsid w:val="28A90D4C"/>
    <w:rsid w:val="2A1022F5"/>
    <w:rsid w:val="2BEA0F44"/>
    <w:rsid w:val="2C4F2AD7"/>
    <w:rsid w:val="2CAC2782"/>
    <w:rsid w:val="2CC8097D"/>
    <w:rsid w:val="2E227416"/>
    <w:rsid w:val="2EF01BE2"/>
    <w:rsid w:val="2F8751FB"/>
    <w:rsid w:val="2FD327D9"/>
    <w:rsid w:val="2FD94771"/>
    <w:rsid w:val="32654859"/>
    <w:rsid w:val="32BA5BD3"/>
    <w:rsid w:val="331A4B9F"/>
    <w:rsid w:val="33E653E8"/>
    <w:rsid w:val="356551CF"/>
    <w:rsid w:val="37092B3E"/>
    <w:rsid w:val="38D26630"/>
    <w:rsid w:val="399E2E1B"/>
    <w:rsid w:val="3B277FFC"/>
    <w:rsid w:val="3B2F628D"/>
    <w:rsid w:val="3E920F0F"/>
    <w:rsid w:val="3FB222DC"/>
    <w:rsid w:val="407E0AA8"/>
    <w:rsid w:val="416C38DF"/>
    <w:rsid w:val="43073D73"/>
    <w:rsid w:val="436B7FDA"/>
    <w:rsid w:val="44064FCD"/>
    <w:rsid w:val="44901E93"/>
    <w:rsid w:val="44C7795C"/>
    <w:rsid w:val="458060A5"/>
    <w:rsid w:val="45B253A3"/>
    <w:rsid w:val="45CC3AD7"/>
    <w:rsid w:val="45DC194C"/>
    <w:rsid w:val="46092479"/>
    <w:rsid w:val="467C66C9"/>
    <w:rsid w:val="47FE7124"/>
    <w:rsid w:val="490876A7"/>
    <w:rsid w:val="496A4CD3"/>
    <w:rsid w:val="49B86908"/>
    <w:rsid w:val="49E12C87"/>
    <w:rsid w:val="4A007194"/>
    <w:rsid w:val="4B3D59C8"/>
    <w:rsid w:val="4BF70D33"/>
    <w:rsid w:val="4DA62092"/>
    <w:rsid w:val="4E653AEC"/>
    <w:rsid w:val="4EF4496D"/>
    <w:rsid w:val="4F486310"/>
    <w:rsid w:val="507024A0"/>
    <w:rsid w:val="51F940D2"/>
    <w:rsid w:val="557030FD"/>
    <w:rsid w:val="56C105B6"/>
    <w:rsid w:val="56E22B76"/>
    <w:rsid w:val="56EF4352"/>
    <w:rsid w:val="58556BFC"/>
    <w:rsid w:val="59723252"/>
    <w:rsid w:val="5A070C42"/>
    <w:rsid w:val="5A150BDD"/>
    <w:rsid w:val="5A7E1718"/>
    <w:rsid w:val="5AF87FEB"/>
    <w:rsid w:val="5B4F7984"/>
    <w:rsid w:val="5B98359B"/>
    <w:rsid w:val="5C332A84"/>
    <w:rsid w:val="5CED0E3E"/>
    <w:rsid w:val="5CFC0A5F"/>
    <w:rsid w:val="5E8F65BA"/>
    <w:rsid w:val="607E7678"/>
    <w:rsid w:val="60984B45"/>
    <w:rsid w:val="63273DBC"/>
    <w:rsid w:val="63A0407E"/>
    <w:rsid w:val="662034EA"/>
    <w:rsid w:val="663049B1"/>
    <w:rsid w:val="66720B4E"/>
    <w:rsid w:val="67596B94"/>
    <w:rsid w:val="684E0A93"/>
    <w:rsid w:val="69411A88"/>
    <w:rsid w:val="698405AC"/>
    <w:rsid w:val="6A0D0B87"/>
    <w:rsid w:val="6AB54AA0"/>
    <w:rsid w:val="6EAC4C03"/>
    <w:rsid w:val="70285E66"/>
    <w:rsid w:val="70765533"/>
    <w:rsid w:val="713B55CA"/>
    <w:rsid w:val="71965657"/>
    <w:rsid w:val="722B71FD"/>
    <w:rsid w:val="73B86637"/>
    <w:rsid w:val="75D352C7"/>
    <w:rsid w:val="773430B1"/>
    <w:rsid w:val="7742482B"/>
    <w:rsid w:val="77781FC6"/>
    <w:rsid w:val="799B0126"/>
    <w:rsid w:val="7D937C70"/>
    <w:rsid w:val="7E835FA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21"/>
    <w:semiHidden/>
    <w:unhideWhenUsed/>
    <w:qFormat/>
    <w:uiPriority w:val="99"/>
    <w:rPr>
      <w:rFonts w:ascii="宋体"/>
      <w:sz w:val="18"/>
      <w:szCs w:val="18"/>
    </w:rPr>
  </w:style>
  <w:style w:type="paragraph" w:styleId="3">
    <w:name w:val="annotation text"/>
    <w:basedOn w:val="1"/>
    <w:link w:val="23"/>
    <w:semiHidden/>
    <w:unhideWhenUsed/>
    <w:qFormat/>
    <w:uiPriority w:val="99"/>
  </w:style>
  <w:style w:type="paragraph" w:styleId="4">
    <w:name w:val="Date"/>
    <w:basedOn w:val="1"/>
    <w:next w:val="1"/>
    <w:link w:val="18"/>
    <w:semiHidden/>
    <w:unhideWhenUsed/>
    <w:qFormat/>
    <w:uiPriority w:val="99"/>
    <w:pPr>
      <w:ind w:left="100" w:leftChars="2500"/>
    </w:pPr>
  </w:style>
  <w:style w:type="paragraph" w:styleId="5">
    <w:name w:val="footer"/>
    <w:basedOn w:val="1"/>
    <w:link w:val="20"/>
    <w:unhideWhenUsed/>
    <w:qFormat/>
    <w:uiPriority w:val="99"/>
    <w:pPr>
      <w:tabs>
        <w:tab w:val="center" w:pos="4153"/>
        <w:tab w:val="right" w:pos="8306"/>
      </w:tabs>
      <w:snapToGrid w:val="0"/>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100" w:beforeAutospacing="1" w:after="100" w:afterAutospacing="1"/>
    </w:pPr>
  </w:style>
  <w:style w:type="paragraph" w:styleId="8">
    <w:name w:val="annotation subject"/>
    <w:basedOn w:val="3"/>
    <w:next w:val="3"/>
    <w:link w:val="24"/>
    <w:semiHidden/>
    <w:unhideWhenUsed/>
    <w:qFormat/>
    <w:uiPriority w:val="99"/>
    <w:rPr>
      <w:b/>
      <w:bCs/>
    </w:rPr>
  </w:style>
  <w:style w:type="table" w:styleId="10">
    <w:name w:val="Table Grid"/>
    <w:basedOn w:val="9"/>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styleId="13">
    <w:name w:val="Hyperlink"/>
    <w:basedOn w:val="11"/>
    <w:qFormat/>
    <w:uiPriority w:val="0"/>
    <w:rPr>
      <w:color w:val="0000FF"/>
      <w:u w:val="single"/>
    </w:rPr>
  </w:style>
  <w:style w:type="character" w:styleId="14">
    <w:name w:val="annotation reference"/>
    <w:basedOn w:val="11"/>
    <w:semiHidden/>
    <w:unhideWhenUsed/>
    <w:qFormat/>
    <w:uiPriority w:val="99"/>
    <w:rPr>
      <w:sz w:val="21"/>
      <w:szCs w:val="21"/>
    </w:rPr>
  </w:style>
  <w:style w:type="paragraph" w:customStyle="1" w:styleId="15">
    <w:name w:val="Default"/>
    <w:link w:val="16"/>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character" w:customStyle="1" w:styleId="16">
    <w:name w:val="Default Char"/>
    <w:link w:val="15"/>
    <w:qFormat/>
    <w:uiPriority w:val="0"/>
    <w:rPr>
      <w:rFonts w:ascii="楷体_GB2312" w:hAnsi="Times New Roman" w:eastAsia="楷体_GB2312" w:cs="Times New Roman"/>
      <w:color w:val="000000"/>
      <w:kern w:val="0"/>
      <w:sz w:val="24"/>
      <w:szCs w:val="24"/>
    </w:rPr>
  </w:style>
  <w:style w:type="paragraph" w:styleId="17">
    <w:name w:val="List Paragraph"/>
    <w:basedOn w:val="1"/>
    <w:qFormat/>
    <w:uiPriority w:val="34"/>
    <w:pPr>
      <w:widowControl w:val="0"/>
      <w:ind w:firstLine="420" w:firstLineChars="200"/>
      <w:jc w:val="both"/>
    </w:pPr>
    <w:rPr>
      <w:rFonts w:ascii="Calibri" w:hAnsi="Calibri"/>
      <w:kern w:val="2"/>
      <w:sz w:val="21"/>
      <w:szCs w:val="22"/>
    </w:rPr>
  </w:style>
  <w:style w:type="character" w:customStyle="1" w:styleId="18">
    <w:name w:val="日期 字符"/>
    <w:basedOn w:val="11"/>
    <w:link w:val="4"/>
    <w:semiHidden/>
    <w:qFormat/>
    <w:uiPriority w:val="99"/>
    <w:rPr>
      <w:rFonts w:ascii="Times New Roman" w:hAnsi="Times New Roman" w:eastAsia="宋体" w:cs="Times New Roman"/>
      <w:kern w:val="0"/>
      <w:sz w:val="24"/>
      <w:szCs w:val="24"/>
    </w:rPr>
  </w:style>
  <w:style w:type="character" w:customStyle="1" w:styleId="19">
    <w:name w:val="页眉 字符"/>
    <w:basedOn w:val="11"/>
    <w:link w:val="6"/>
    <w:qFormat/>
    <w:uiPriority w:val="99"/>
    <w:rPr>
      <w:rFonts w:ascii="Times New Roman" w:hAnsi="Times New Roman" w:eastAsia="宋体" w:cs="Times New Roman"/>
      <w:kern w:val="0"/>
      <w:sz w:val="18"/>
      <w:szCs w:val="18"/>
    </w:rPr>
  </w:style>
  <w:style w:type="character" w:customStyle="1" w:styleId="20">
    <w:name w:val="页脚 字符"/>
    <w:basedOn w:val="11"/>
    <w:link w:val="5"/>
    <w:qFormat/>
    <w:uiPriority w:val="99"/>
    <w:rPr>
      <w:rFonts w:ascii="Times New Roman" w:hAnsi="Times New Roman" w:eastAsia="宋体" w:cs="Times New Roman"/>
      <w:kern w:val="0"/>
      <w:sz w:val="18"/>
      <w:szCs w:val="18"/>
    </w:rPr>
  </w:style>
  <w:style w:type="character" w:customStyle="1" w:styleId="21">
    <w:name w:val="文档结构图 字符"/>
    <w:basedOn w:val="11"/>
    <w:link w:val="2"/>
    <w:semiHidden/>
    <w:qFormat/>
    <w:uiPriority w:val="99"/>
    <w:rPr>
      <w:rFonts w:ascii="宋体" w:hAnsi="Times New Roman" w:eastAsia="宋体" w:cs="Times New Roman"/>
      <w:kern w:val="0"/>
      <w:sz w:val="18"/>
      <w:szCs w:val="18"/>
    </w:rPr>
  </w:style>
  <w:style w:type="paragraph" w:customStyle="1" w:styleId="22">
    <w:name w:val="修订1"/>
    <w:hidden/>
    <w:semiHidden/>
    <w:qFormat/>
    <w:uiPriority w:val="99"/>
    <w:rPr>
      <w:rFonts w:ascii="Times New Roman" w:hAnsi="Times New Roman" w:eastAsia="宋体" w:cs="Times New Roman"/>
      <w:sz w:val="24"/>
      <w:szCs w:val="24"/>
      <w:lang w:val="en-US" w:eastAsia="zh-CN" w:bidi="ar-SA"/>
    </w:rPr>
  </w:style>
  <w:style w:type="character" w:customStyle="1" w:styleId="23">
    <w:name w:val="批注文字 字符"/>
    <w:basedOn w:val="11"/>
    <w:link w:val="3"/>
    <w:semiHidden/>
    <w:qFormat/>
    <w:uiPriority w:val="99"/>
    <w:rPr>
      <w:sz w:val="24"/>
      <w:szCs w:val="24"/>
    </w:rPr>
  </w:style>
  <w:style w:type="character" w:customStyle="1" w:styleId="24">
    <w:name w:val="批注主题 字符"/>
    <w:basedOn w:val="23"/>
    <w:link w:val="8"/>
    <w:semiHidden/>
    <w:qFormat/>
    <w:uiPriority w:val="99"/>
    <w:rPr>
      <w:b/>
      <w:bCs/>
      <w:sz w:val="24"/>
      <w:szCs w:val="24"/>
    </w:rPr>
  </w:style>
  <w:style w:type="paragraph" w:customStyle="1" w:styleId="25">
    <w:name w:val="修订2"/>
    <w:hidden/>
    <w:semiHidden/>
    <w:qFormat/>
    <w:uiPriority w:val="99"/>
    <w:rPr>
      <w:rFonts w:ascii="Times New Roman" w:hAnsi="Times New Roman" w:eastAsia="宋体" w:cs="Times New Roman"/>
      <w:sz w:val="24"/>
      <w:szCs w:val="24"/>
      <w:lang w:val="en-US" w:eastAsia="zh-CN" w:bidi="ar-SA"/>
    </w:rPr>
  </w:style>
  <w:style w:type="paragraph" w:customStyle="1" w:styleId="26">
    <w:name w:val="Revision"/>
    <w:hidden/>
    <w:semiHidden/>
    <w:qFormat/>
    <w:uiPriority w:val="99"/>
    <w:rPr>
      <w:rFonts w:ascii="Times New Roman" w:hAnsi="Times New Roman" w:eastAsia="宋体" w:cs="Times New Roman"/>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C53291-24DE-4514-BADA-DD9B372B6E1B}">
  <ds:schemaRefs/>
</ds:datastoreItem>
</file>

<file path=docProps/app.xml><?xml version="1.0" encoding="utf-8"?>
<Properties xmlns="http://schemas.openxmlformats.org/officeDocument/2006/extended-properties" xmlns:vt="http://schemas.openxmlformats.org/officeDocument/2006/docPropsVTypes">
  <Template>Normal</Template>
  <Pages>9</Pages>
  <Words>6022</Words>
  <Characters>6789</Characters>
  <Lines>52</Lines>
  <Paragraphs>14</Paragraphs>
  <TotalTime>12</TotalTime>
  <ScaleCrop>false</ScaleCrop>
  <LinksUpToDate>false</LinksUpToDate>
  <CharactersWithSpaces>6828</CharactersWithSpaces>
  <Application>WPS Office_11.1.0.11875_F1E327BC-269C-435d-A152-05C5408002CA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2022-07-15T04:54:00Z</dcterms:created>
  <dc:creator>admin</dc:creator>
  <cp:lastModifiedBy>suuuu</cp:lastModifiedBy>
  <cp:lastPrinted>2019-06-12T08:48:00Z</cp:lastPrinted>
  <dcterms:modified xsi:type="dcterms:W3CDTF">2022-07-15T08:16:09Z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2052-11.1.0.11875</vt:lpwstr>
  </property>
  <property fmtid="{D5CDD505-2E9C-101B-9397-08002B2CF9AE}" pid="3" name="ICV">
    <vt:lpwstr>FAF4EF0943924263B0E3AD84FDD113D0</vt:lpwstr>
  </property>
</Properties>
</file>