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r>
        <w:rPr>
          <w:rFonts w:hint="eastAsia" w:ascii="Times New Roman" w:hAnsi="Times New Roman" w:cs="Times New Roman" w:eastAsiaTheme="minorEastAsia"/>
          <w:szCs w:val="21"/>
        </w:rPr>
        <w:t>证券代码：603232</w:t>
      </w:r>
      <w:r>
        <w:rPr>
          <w:rFonts w:ascii="Times New Roman" w:hAnsi="Times New Roman" w:cs="Times New Roman" w:eastAsiaTheme="minorEastAsia"/>
          <w:szCs w:val="21"/>
        </w:rPr>
        <w:t xml:space="preserve">      </w:t>
      </w:r>
      <w:r>
        <w:rPr>
          <w:rFonts w:hint="eastAsia" w:ascii="Times New Roman" w:hAnsi="Times New Roman" w:cs="Times New Roman" w:eastAsiaTheme="minorEastAsia"/>
          <w:szCs w:val="21"/>
          <w:lang w:val="en-US" w:eastAsia="zh-CN"/>
        </w:rPr>
        <w:t xml:space="preserve">  </w:t>
      </w:r>
      <w:r>
        <w:rPr>
          <w:rFonts w:ascii="Times New Roman" w:hAnsi="Times New Roman" w:cs="Times New Roman" w:eastAsiaTheme="minorEastAsia"/>
          <w:szCs w:val="21"/>
        </w:rPr>
        <w:t xml:space="preserve">       </w:t>
      </w:r>
      <w:r>
        <w:rPr>
          <w:rFonts w:hint="eastAsia" w:ascii="Times New Roman" w:hAnsi="Times New Roman" w:cs="Times New Roman" w:eastAsiaTheme="minorEastAsia"/>
          <w:szCs w:val="21"/>
        </w:rPr>
        <w:t>证券简称：格尔软件</w:t>
      </w:r>
      <w:r>
        <w:rPr>
          <w:rFonts w:ascii="Times New Roman" w:hAnsi="Times New Roman" w:cs="Times New Roman" w:eastAsiaTheme="minorEastAsia"/>
          <w:szCs w:val="21"/>
        </w:rPr>
        <w:t xml:space="preserve">  </w:t>
      </w:r>
      <w:r>
        <w:rPr>
          <w:rFonts w:hint="eastAsia" w:ascii="Times New Roman" w:hAnsi="Times New Roman" w:cs="Times New Roman" w:eastAsiaTheme="minorEastAsia"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 w:eastAsiaTheme="minorEastAsia"/>
          <w:szCs w:val="21"/>
        </w:rPr>
        <w:t xml:space="preserve">  </w:t>
      </w:r>
      <w:r>
        <w:rPr>
          <w:rFonts w:hint="eastAsia" w:ascii="Times New Roman" w:hAnsi="Times New Roman" w:cs="Times New Roman" w:eastAsiaTheme="minorEastAsia"/>
          <w:szCs w:val="21"/>
        </w:rPr>
        <w:t xml:space="preserve">       公告编号：</w:t>
      </w:r>
      <w:r>
        <w:rPr>
          <w:rFonts w:hint="eastAsia" w:ascii="Times New Roman" w:hAnsi="Times New Roman" w:cs="Times New Roman" w:eastAsiaTheme="minorEastAsia"/>
          <w:szCs w:val="21"/>
          <w:lang w:val="en-US" w:eastAsia="zh-CN"/>
        </w:rPr>
        <w:t>202</w:t>
      </w:r>
      <w:r>
        <w:rPr>
          <w:rFonts w:hint="eastAsia" w:cs="Times New Roman" w:eastAsiaTheme="minorEastAsia"/>
          <w:szCs w:val="21"/>
          <w:lang w:val="en-US" w:eastAsia="zh-CN"/>
        </w:rPr>
        <w:t>2</w:t>
      </w:r>
      <w:r>
        <w:rPr>
          <w:rFonts w:hint="eastAsia" w:ascii="Times New Roman" w:hAnsi="Times New Roman" w:cs="Times New Roman" w:eastAsiaTheme="minorEastAsia"/>
          <w:szCs w:val="21"/>
          <w:lang w:val="en-US" w:eastAsia="zh-CN"/>
        </w:rPr>
        <w:t>-001</w:t>
      </w:r>
    </w:p>
    <w:p>
      <w:pPr>
        <w:autoSpaceDE w:val="0"/>
        <w:autoSpaceDN w:val="0"/>
        <w:adjustRightInd w:val="0"/>
        <w:jc w:val="left"/>
        <w:rPr>
          <w:rFonts w:ascii="黑体" w:hAnsi="黑体" w:cs="黑体" w:eastAsiaTheme="minorEastAsia"/>
          <w:color w:val="000000"/>
          <w:kern w:val="0"/>
          <w:sz w:val="24"/>
          <w:szCs w:val="24"/>
        </w:rPr>
      </w:pP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 w:cs="Times New Roman"/>
          <w:b/>
          <w:color w:val="FF0000"/>
          <w:sz w:val="32"/>
          <w:szCs w:val="32"/>
        </w:rPr>
      </w:pPr>
      <w:r>
        <w:rPr>
          <w:rFonts w:hint="eastAsia" w:ascii="黑体" w:hAnsi="黑体" w:eastAsia="黑体" w:cs="Times New Roman"/>
          <w:b/>
          <w:color w:val="FF0000"/>
          <w:sz w:val="32"/>
          <w:szCs w:val="32"/>
        </w:rPr>
        <w:t>格尔软件</w:t>
      </w:r>
      <w:r>
        <w:rPr>
          <w:rFonts w:ascii="黑体" w:hAnsi="黑体" w:eastAsia="黑体" w:cs="Times New Roman"/>
          <w:b/>
          <w:color w:val="FF0000"/>
          <w:sz w:val="32"/>
          <w:szCs w:val="32"/>
        </w:rPr>
        <w:t>股份有限公司</w:t>
      </w: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 w:cs="Times New Roman"/>
          <w:b/>
          <w:color w:val="FF0000"/>
          <w:sz w:val="32"/>
          <w:szCs w:val="32"/>
        </w:rPr>
      </w:pPr>
      <w:r>
        <w:rPr>
          <w:rFonts w:hint="eastAsia" w:ascii="黑体" w:hAnsi="黑体" w:eastAsia="黑体" w:cs="Times New Roman"/>
          <w:b/>
          <w:color w:val="FF0000"/>
          <w:sz w:val="32"/>
          <w:szCs w:val="32"/>
        </w:rPr>
        <w:t>关于</w:t>
      </w:r>
      <w:r>
        <w:rPr>
          <w:rFonts w:hint="eastAsia" w:ascii="黑体" w:hAnsi="黑体" w:eastAsia="黑体" w:cs="Times New Roman"/>
          <w:b/>
          <w:color w:val="FF0000"/>
          <w:sz w:val="32"/>
          <w:szCs w:val="32"/>
          <w:lang w:val="en-US" w:eastAsia="zh-CN"/>
        </w:rPr>
        <w:t>2021年下半年度</w:t>
      </w:r>
      <w:r>
        <w:rPr>
          <w:rFonts w:hint="eastAsia" w:ascii="黑体" w:hAnsi="黑体" w:eastAsia="黑体" w:cs="Times New Roman"/>
          <w:b/>
          <w:color w:val="FF0000"/>
          <w:sz w:val="32"/>
          <w:szCs w:val="32"/>
        </w:rPr>
        <w:t>获得政府补助的公告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</w:pBdr>
        <w:adjustRightInd w:val="0"/>
        <w:snapToGrid w:val="0"/>
        <w:spacing w:line="360" w:lineRule="auto"/>
        <w:ind w:firstLine="420" w:firstLineChars="200"/>
        <w:rPr>
          <w:rFonts w:asciiTheme="minorEastAsia" w:hAnsiTheme="minorEastAsia" w:eastAsiaTheme="minorEastAsia"/>
          <w:color w:val="000000"/>
          <w:szCs w:val="21"/>
        </w:rPr>
      </w:pPr>
      <w:r>
        <w:rPr>
          <w:rFonts w:hint="eastAsia" w:asciiTheme="minorEastAsia" w:hAnsiTheme="minorEastAsia" w:eastAsiaTheme="minorEastAsia"/>
          <w:color w:val="000000"/>
          <w:szCs w:val="21"/>
        </w:rPr>
        <w:t>本公司董事会及全体董事保证本公告内容不存在任何虚假记载、误导性陈述或者重大遗漏，并对其内容的真实性、准确性和完整性承担个别及连带责任。</w:t>
      </w:r>
    </w:p>
    <w:p>
      <w:pPr>
        <w:adjustRightInd w:val="0"/>
        <w:snapToGrid w:val="0"/>
        <w:spacing w:line="360" w:lineRule="auto"/>
        <w:ind w:firstLine="482" w:firstLineChars="200"/>
        <w:rPr>
          <w:rFonts w:asciiTheme="minorEastAsia" w:hAnsiTheme="minorEastAsia" w:eastAsiaTheme="minorEastAsia"/>
          <w:b/>
          <w:sz w:val="24"/>
          <w:szCs w:val="24"/>
        </w:rPr>
      </w:pPr>
    </w:p>
    <w:p>
      <w:pPr>
        <w:pStyle w:val="5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获取补助的基本情况</w:t>
      </w:r>
    </w:p>
    <w:p>
      <w:pPr>
        <w:adjustRightInd w:val="0"/>
        <w:snapToGrid w:val="0"/>
        <w:spacing w:line="36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格尔软件股份有限公司（以下简称“公司”）及下属子</w:t>
      </w:r>
      <w:r>
        <w:rPr>
          <w:rFonts w:hint="default" w:ascii="Times New Roman" w:hAnsi="Times New Roman" w:eastAsia="宋体" w:cs="Times New Roman"/>
          <w:sz w:val="24"/>
          <w:szCs w:val="24"/>
        </w:rPr>
        <w:t>公司自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202</w:t>
      </w:r>
      <w:r>
        <w:rPr>
          <w:rFonts w:hint="eastAsia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年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sz w:val="24"/>
          <w:szCs w:val="24"/>
        </w:rPr>
        <w:t>月1日至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202</w:t>
      </w:r>
      <w:r>
        <w:rPr>
          <w:rFonts w:hint="eastAsia" w:cs="Times New Roman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年12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月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31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日</w:t>
      </w:r>
      <w:r>
        <w:rPr>
          <w:rFonts w:hint="eastAsia"/>
          <w:sz w:val="24"/>
          <w:szCs w:val="24"/>
        </w:rPr>
        <w:t>，累计收到</w:t>
      </w:r>
      <w:r>
        <w:rPr>
          <w:rFonts w:hint="eastAsia"/>
          <w:sz w:val="24"/>
          <w:szCs w:val="24"/>
          <w:lang w:eastAsia="zh-CN"/>
        </w:rPr>
        <w:t>与收益相关的政府补助共计人民币4</w:t>
      </w:r>
      <w:r>
        <w:rPr>
          <w:rFonts w:hint="eastAsia"/>
          <w:sz w:val="24"/>
          <w:szCs w:val="24"/>
          <w:lang w:val="en-US" w:eastAsia="zh-CN"/>
        </w:rPr>
        <w:t>,</w:t>
      </w:r>
      <w:r>
        <w:rPr>
          <w:rFonts w:hint="eastAsia"/>
          <w:sz w:val="24"/>
          <w:szCs w:val="24"/>
          <w:lang w:eastAsia="zh-CN"/>
        </w:rPr>
        <w:t>999</w:t>
      </w:r>
      <w:r>
        <w:rPr>
          <w:rFonts w:hint="eastAsia"/>
          <w:sz w:val="24"/>
          <w:szCs w:val="24"/>
          <w:lang w:val="en-US" w:eastAsia="zh-CN"/>
        </w:rPr>
        <w:t>,</w:t>
      </w:r>
      <w:r>
        <w:rPr>
          <w:rFonts w:hint="eastAsia"/>
          <w:sz w:val="24"/>
          <w:szCs w:val="24"/>
          <w:lang w:eastAsia="zh-CN"/>
        </w:rPr>
        <w:t>592.88</w:t>
      </w:r>
      <w:r>
        <w:rPr>
          <w:rFonts w:hint="eastAsia"/>
          <w:sz w:val="24"/>
          <w:szCs w:val="24"/>
          <w:lang w:val="en-US" w:eastAsia="zh-CN"/>
        </w:rPr>
        <w:t>元</w:t>
      </w:r>
      <w:r>
        <w:rPr>
          <w:rFonts w:hint="eastAsia"/>
          <w:sz w:val="24"/>
          <w:szCs w:val="24"/>
          <w:lang w:eastAsia="zh-CN"/>
        </w:rPr>
        <w:t>；与资产相关的政府补助共计人民币</w:t>
      </w:r>
      <w:r>
        <w:rPr>
          <w:rFonts w:hint="eastAsia"/>
          <w:sz w:val="24"/>
          <w:szCs w:val="24"/>
          <w:highlight w:val="none"/>
          <w:lang w:val="en-US" w:eastAsia="zh-CN"/>
        </w:rPr>
        <w:t>600</w:t>
      </w:r>
      <w:r>
        <w:rPr>
          <w:rFonts w:hint="eastAsia"/>
          <w:sz w:val="24"/>
          <w:szCs w:val="24"/>
          <w:highlight w:val="none"/>
          <w:lang w:eastAsia="zh-CN"/>
        </w:rPr>
        <w:t>,000.00</w:t>
      </w:r>
      <w:r>
        <w:rPr>
          <w:rFonts w:hint="eastAsia"/>
          <w:sz w:val="24"/>
          <w:szCs w:val="24"/>
          <w:lang w:eastAsia="zh-CN"/>
        </w:rPr>
        <w:t>元。</w:t>
      </w:r>
      <w:r>
        <w:rPr>
          <w:rFonts w:hint="eastAsia"/>
          <w:sz w:val="24"/>
          <w:szCs w:val="24"/>
        </w:rPr>
        <w:t>具体情况如下：</w:t>
      </w:r>
    </w:p>
    <w:p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CN"/>
        </w:rPr>
        <w:t>（一）收益相关的政府补助</w:t>
      </w:r>
    </w:p>
    <w:tbl>
      <w:tblPr>
        <w:tblStyle w:val="3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237"/>
        <w:gridCol w:w="1194"/>
        <w:gridCol w:w="1518"/>
        <w:gridCol w:w="1567"/>
        <w:gridCol w:w="2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237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补助公司</w:t>
            </w:r>
          </w:p>
        </w:tc>
        <w:tc>
          <w:tcPr>
            <w:tcW w:w="1194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补助项目</w:t>
            </w:r>
          </w:p>
        </w:tc>
        <w:tc>
          <w:tcPr>
            <w:tcW w:w="1518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</w:rPr>
              <w:t>金额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（元）</w:t>
            </w:r>
          </w:p>
        </w:tc>
        <w:tc>
          <w:tcPr>
            <w:tcW w:w="1567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取得时间</w:t>
            </w:r>
          </w:p>
        </w:tc>
        <w:tc>
          <w:tcPr>
            <w:tcW w:w="2323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取得依据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格尔软件股份有限公司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项目拨款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1,500,000.00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2021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静安区科学技术委员会关于印发《〈静安区关于促进科技创新与发展的实施意见〉配套政策细则》的通知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格尔软件股份有限公司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项目拨款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500,000.00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2021年9月</w:t>
            </w:r>
          </w:p>
        </w:tc>
        <w:tc>
          <w:tcPr>
            <w:tcW w:w="23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《关于下达2020年静安区国家服务业综合改革试点专项资金第一、第二批项目扶持计划的通知》（静发改委2020年28号）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格尔软件股份有限公司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电子退库（扣除个税手续费应交增值税）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20,224.45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2021年11月</w:t>
            </w:r>
          </w:p>
        </w:tc>
        <w:tc>
          <w:tcPr>
            <w:tcW w:w="23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《财政部、国家税务总局、中国人民银行关于进一步加强代扣代收代征税款手续费管理的通知》（财行〔2005〕365号）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格尔软件股份有限公司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项目拨款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2,500.00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2021年12月</w:t>
            </w:r>
          </w:p>
        </w:tc>
        <w:tc>
          <w:tcPr>
            <w:tcW w:w="23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上海市知识产权局关于印发《上海市专利一般资助申请指南》的通知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上海格尔安全科技有限公司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崇明智慧岛园区财政扶持款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2,247,000.00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2021年8月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与智慧岛签订的协议《关于加快推进智慧岛数据产业园发展的若干意见》崇府发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[</w:t>
            </w:r>
            <w:r>
              <w:rPr>
                <w:rFonts w:hint="eastAsia"/>
                <w:sz w:val="24"/>
                <w:szCs w:val="24"/>
              </w:rPr>
              <w:t>2012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]</w:t>
            </w:r>
            <w:r>
              <w:rPr>
                <w:rFonts w:hint="eastAsia"/>
                <w:sz w:val="24"/>
                <w:szCs w:val="24"/>
              </w:rPr>
              <w:t>169号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上海格尔安全科技有限公司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崇明智慧岛园区财政扶持款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168,000.00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2021</w:t>
            </w:r>
            <w:r>
              <w:rPr>
                <w:rFonts w:hint="eastAsia"/>
                <w:sz w:val="24"/>
                <w:szCs w:val="24"/>
                <w:highlight w:val="none"/>
              </w:rPr>
              <w:t>年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24"/>
                <w:highlight w:val="none"/>
              </w:rPr>
              <w:t>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与智慧岛签订的协议《关于加快推进智慧岛数据产业园发展的若干意见》崇府发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[</w:t>
            </w:r>
            <w:r>
              <w:rPr>
                <w:rFonts w:hint="eastAsia"/>
                <w:sz w:val="24"/>
                <w:szCs w:val="24"/>
              </w:rPr>
              <w:t>2012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]</w:t>
            </w:r>
            <w:r>
              <w:rPr>
                <w:rFonts w:hint="eastAsia"/>
                <w:sz w:val="24"/>
                <w:szCs w:val="24"/>
              </w:rPr>
              <w:t>169号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上海格尔安全科技有限公司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崇明智慧岛园区财政扶持款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82,100.00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2021年9月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与智慧岛签订的协议《关于加快推进智慧岛数据产业园发展的若干意见》崇府发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[</w:t>
            </w:r>
            <w:r>
              <w:rPr>
                <w:rFonts w:hint="eastAsia"/>
                <w:sz w:val="24"/>
                <w:szCs w:val="24"/>
              </w:rPr>
              <w:t>2012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]</w:t>
            </w:r>
            <w:r>
              <w:rPr>
                <w:rFonts w:hint="eastAsia"/>
                <w:sz w:val="24"/>
                <w:szCs w:val="24"/>
              </w:rPr>
              <w:t>169号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上海格尔安全科技有限公司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项目拨款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2,500.00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2021年12月</w:t>
            </w:r>
          </w:p>
        </w:tc>
        <w:tc>
          <w:tcPr>
            <w:tcW w:w="23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上海市知识产权局关于印发《上海市专利一般资助申请指南》的通知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北京格尔国信科技有限公司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增值税退税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42,283.18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2021年7月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《关于鼓励软件产业和集成电路产业发展有关税收政策问题的通知》(财税[2000]25号)、《关于印发进一步鼓励软件产业和集成电路产业发展若干政策的通知》(国发[2011]4号)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北京格尔国信科技有限公司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增值税退税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40,123.90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2021年7月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《关于鼓励软件产业和集成电路产业发展有关税收政策问题的通知》(财税[2000]25号)、《关于印发进一步鼓励软件产业和集成电路产业发展若干政策的通知》(国发[2011]4号)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北京格尔国信科技有限公司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增值税退税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55,575.19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2021年8月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《关于鼓励软件产业和集成电路产业发展有关税收政策问题的通知》(财税[2000]25号)、《关于印发进一步鼓励软件产业和集成电路产业发展若干政策的通知》(国发[2011]4号)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北京格尔国信科技有限公司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失业保险返还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9,762.70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2021年8月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《个人所得税扣缴申报管理办法（试行）》和《关于进一步加强代扣代收代征税款手续费管理通知》(财行[2005]365号)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北京格尔国信科技有限公司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增值税退税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48,672.58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2021年11月</w:t>
            </w:r>
          </w:p>
        </w:tc>
        <w:tc>
          <w:tcPr>
            <w:tcW w:w="23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《关于鼓励软件产业和集成电路产业发展有关税收政策问题的通知》(财税[2000]25号)、《关于印发进一步鼓励软件产业和集成电路产业发展若干政策的通知》(国发[2011]4号)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北京格尔国信科技有限公司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增值税退税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104,424.78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2021年11月</w:t>
            </w:r>
          </w:p>
        </w:tc>
        <w:tc>
          <w:tcPr>
            <w:tcW w:w="23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《个人所得税扣缴申报管理办法（试行）》和《关于进一步加强代扣代收代征税款手续费管理通知》(财行[2005]365号)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上海格尔安信科技有限公司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培训补贴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2021年8月</w:t>
            </w:r>
          </w:p>
        </w:tc>
        <w:tc>
          <w:tcPr>
            <w:tcW w:w="23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关于调整本市有关就业扶持政策补贴标准的通知》（沪人社就发（2012）36号）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上海格尔安信科技有限公司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培训补贴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600.00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2021年9月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关于调整本市有关就业扶持政策补贴标准的通知》（沪人社就发（2012）36号）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上海格尔安信科技有限公司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培训补贴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600.00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2021年11月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关于调整本市有关就业扶持政策补贴标准的通知》（沪人社就发（2012）36号）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highlight w:val="none"/>
                <w:lang w:val="en-US" w:eastAsia="zh-CN"/>
              </w:rPr>
              <w:t>上海格尔科安智能科技有限公司</w:t>
            </w:r>
          </w:p>
        </w:tc>
        <w:tc>
          <w:tcPr>
            <w:tcW w:w="11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即征即退税款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5,290.95</w:t>
            </w:r>
          </w:p>
        </w:tc>
        <w:tc>
          <w:tcPr>
            <w:tcW w:w="15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2021年8月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《上海市市北高新技术服务业园区管理委员会财政扶持专项资金协议》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19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/>
                <w:sz w:val="24"/>
                <w:szCs w:val="24"/>
                <w:highlight w:val="none"/>
                <w:lang w:val="en-US" w:eastAsia="zh-CN"/>
              </w:rPr>
              <w:t>上海格尔科安智能科技有限公司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/>
                <w:sz w:val="24"/>
                <w:szCs w:val="24"/>
                <w:highlight w:val="none"/>
                <w:lang w:val="en-US" w:eastAsia="zh-CN"/>
              </w:rPr>
              <w:t>市北园区财政扶持款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/>
                <w:sz w:val="24"/>
                <w:szCs w:val="24"/>
                <w:highlight w:val="none"/>
                <w:lang w:val="en-US" w:eastAsia="zh-CN"/>
              </w:rPr>
              <w:t>2,765.37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/>
                <w:sz w:val="24"/>
                <w:szCs w:val="24"/>
                <w:highlight w:val="none"/>
                <w:lang w:val="en-US" w:eastAsia="zh-CN"/>
              </w:rPr>
              <w:t>2021年11月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《上海市市北高新技术服务业园区管理委员会财政扶持专项资金协议》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上海格尔科安智能科技有限公司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市北园区财政扶持款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10,111.88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2021年11月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《上海市市北高新技术服务业园区管理委员会财政扶持专项资金协议》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21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上海格尔科安智能科技有限公司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失业保险费返还款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141.12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2021年12月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《关于继续做好失业保险稳岗返还工作的通知》（京人社就发（2021）2023号）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22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上海格尔科安智能科技有限公司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市北园区财政扶持款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90,295.37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2021年12月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《上海市市北高新技术服务业园区管理委员会财政扶持专项资金协议》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23</w:t>
            </w:r>
          </w:p>
        </w:tc>
        <w:tc>
          <w:tcPr>
            <w:tcW w:w="12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郑州信领软件有限公司</w:t>
            </w:r>
          </w:p>
        </w:tc>
        <w:tc>
          <w:tcPr>
            <w:tcW w:w="11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增值税退税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55,721.41</w:t>
            </w:r>
          </w:p>
        </w:tc>
        <w:tc>
          <w:tcPr>
            <w:tcW w:w="15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2021年10月</w:t>
            </w:r>
          </w:p>
        </w:tc>
        <w:tc>
          <w:tcPr>
            <w:tcW w:w="23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财政部国家税务总局关于软件产品增值税政策的通知财税〔2011〕100号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24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郑州信领软件有限公司</w:t>
            </w:r>
          </w:p>
        </w:tc>
        <w:tc>
          <w:tcPr>
            <w:tcW w:w="11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研发费用后补助</w:t>
            </w:r>
          </w:p>
        </w:tc>
        <w:tc>
          <w:tcPr>
            <w:tcW w:w="15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10,000.00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2021年12月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《河南省企业研究开发财政补助实施方案（试行）》（豫财科〔2017〕166号）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4" w:type="dxa"/>
            <w:gridSpan w:val="2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合计</w:t>
            </w:r>
          </w:p>
        </w:tc>
        <w:tc>
          <w:tcPr>
            <w:tcW w:w="1194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8" w:type="dxa"/>
            <w:shd w:val="clear" w:color="auto" w:fill="D8D8D8" w:themeFill="background1" w:themeFillShade="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4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999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592.88</w:t>
            </w:r>
          </w:p>
        </w:tc>
        <w:tc>
          <w:tcPr>
            <w:tcW w:w="1567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23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</w:p>
    <w:p>
      <w:pPr>
        <w:adjustRightInd w:val="0"/>
        <w:snapToGrid w:val="0"/>
        <w:spacing w:line="360" w:lineRule="auto"/>
        <w:ind w:firstLine="420"/>
        <w:rPr>
          <w:rFonts w:hint="eastAsia" w:eastAsia="宋体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（二）资产相关的政府补助</w:t>
      </w:r>
    </w:p>
    <w:tbl>
      <w:tblPr>
        <w:tblStyle w:val="3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237"/>
        <w:gridCol w:w="1186"/>
        <w:gridCol w:w="1549"/>
        <w:gridCol w:w="1545"/>
        <w:gridCol w:w="2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237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补助公司</w:t>
            </w:r>
          </w:p>
        </w:tc>
        <w:tc>
          <w:tcPr>
            <w:tcW w:w="1186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补助项目</w:t>
            </w:r>
          </w:p>
        </w:tc>
        <w:tc>
          <w:tcPr>
            <w:tcW w:w="1549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</w:rPr>
              <w:t>金额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（元）</w:t>
            </w:r>
          </w:p>
        </w:tc>
        <w:tc>
          <w:tcPr>
            <w:tcW w:w="1545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取得时间</w:t>
            </w:r>
          </w:p>
        </w:tc>
        <w:tc>
          <w:tcPr>
            <w:tcW w:w="2322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取得依据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格尔软件股份有限公司</w:t>
            </w:r>
          </w:p>
        </w:tc>
        <w:tc>
          <w:tcPr>
            <w:tcW w:w="118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项目拨款</w:t>
            </w:r>
          </w:p>
        </w:tc>
        <w:tc>
          <w:tcPr>
            <w:tcW w:w="154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279,000.00</w:t>
            </w:r>
          </w:p>
        </w:tc>
        <w:tc>
          <w:tcPr>
            <w:tcW w:w="15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2021年9月</w:t>
            </w:r>
          </w:p>
        </w:tc>
        <w:tc>
          <w:tcPr>
            <w:tcW w:w="2322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《2019年工业互联网创新发展工程——工业企业网络安全综合防护平台项目》合同书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3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格尔软件股份有限公司</w:t>
            </w:r>
          </w:p>
        </w:tc>
        <w:tc>
          <w:tcPr>
            <w:tcW w:w="118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项目拨款</w:t>
            </w:r>
          </w:p>
        </w:tc>
        <w:tc>
          <w:tcPr>
            <w:tcW w:w="154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321,000.00</w:t>
            </w:r>
          </w:p>
        </w:tc>
        <w:tc>
          <w:tcPr>
            <w:tcW w:w="15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2021年10月</w:t>
            </w:r>
          </w:p>
        </w:tc>
        <w:tc>
          <w:tcPr>
            <w:tcW w:w="2322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《2019年工业互联网创新发展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  <w:lang w:val="en-US" w:eastAsia="zh-CN"/>
              </w:rPr>
              <w:t>工程——工业企业网络安全综合防护平台项目》合同书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4" w:type="dxa"/>
            <w:gridSpan w:val="2"/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</w:rPr>
              <w:t>合计</w:t>
            </w:r>
          </w:p>
        </w:tc>
        <w:tc>
          <w:tcPr>
            <w:tcW w:w="1186" w:type="dxa"/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549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600,000.00</w:t>
            </w:r>
          </w:p>
        </w:tc>
        <w:tc>
          <w:tcPr>
            <w:tcW w:w="1545" w:type="dxa"/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322" w:type="dxa"/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/>
                <w:sz w:val="24"/>
                <w:szCs w:val="24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</w:p>
    <w:p>
      <w:pPr>
        <w:pStyle w:val="5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政府补助对上市公司的影响</w:t>
      </w:r>
    </w:p>
    <w:p>
      <w:pPr>
        <w:adjustRightInd w:val="0"/>
        <w:snapToGrid w:val="0"/>
        <w:spacing w:line="36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根据《企业会计准则第1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号—政府补助》的相关规定，将上述与收益相关的政府补助共计人民币4,999,592.88元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计入</w:t>
      </w:r>
      <w:r>
        <w:rPr>
          <w:rFonts w:hint="eastAsia"/>
          <w:sz w:val="24"/>
          <w:szCs w:val="24"/>
          <w:lang w:val="en-US" w:eastAsia="zh-CN"/>
        </w:rPr>
        <w:t>营业外收入及其他收益</w:t>
      </w:r>
      <w:r>
        <w:rPr>
          <w:rFonts w:hint="eastAsia"/>
          <w:sz w:val="24"/>
          <w:szCs w:val="24"/>
          <w:lang w:eastAsia="zh-CN"/>
        </w:rPr>
        <w:t>；与资产相关的政府补助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共计人民币</w:t>
      </w:r>
      <w:r>
        <w:rPr>
          <w:rFonts w:hint="eastAsia" w:cs="Times New Roman"/>
          <w:sz w:val="24"/>
          <w:szCs w:val="24"/>
          <w:highlight w:val="none"/>
          <w:lang w:val="en-US" w:eastAsia="zh-CN"/>
        </w:rPr>
        <w:t>600,000.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val="en-US" w:eastAsia="zh-CN"/>
        </w:rPr>
        <w:t>00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元，计入</w:t>
      </w:r>
      <w:r>
        <w:rPr>
          <w:rFonts w:hint="eastAsia"/>
          <w:sz w:val="24"/>
          <w:szCs w:val="24"/>
          <w:lang w:val="en-US" w:eastAsia="zh-CN"/>
        </w:rPr>
        <w:t>递延收益</w:t>
      </w:r>
      <w:r>
        <w:rPr>
          <w:rFonts w:hint="eastAsia"/>
          <w:sz w:val="24"/>
          <w:szCs w:val="24"/>
        </w:rPr>
        <w:t>。</w:t>
      </w:r>
    </w:p>
    <w:p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上述政府补助未经审计，</w:t>
      </w:r>
      <w:r>
        <w:rPr>
          <w:rFonts w:hint="eastAsia"/>
          <w:sz w:val="24"/>
          <w:szCs w:val="24"/>
        </w:rPr>
        <w:t>具体会计处理以及对公司</w:t>
      </w:r>
      <w:r>
        <w:rPr>
          <w:rFonts w:hint="eastAsia"/>
          <w:sz w:val="24"/>
          <w:szCs w:val="24"/>
          <w:lang w:val="en-US" w:eastAsia="zh-CN"/>
        </w:rPr>
        <w:t>2021</w:t>
      </w:r>
      <w:r>
        <w:rPr>
          <w:rFonts w:hint="eastAsia"/>
          <w:sz w:val="24"/>
          <w:szCs w:val="24"/>
        </w:rPr>
        <w:t>年度损益的影响需以年度审计报告为准，敬请广大投资者注意风险，审慎投资。</w:t>
      </w:r>
    </w:p>
    <w:p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特此公告</w:t>
      </w:r>
    </w:p>
    <w:p>
      <w:pPr>
        <w:adjustRightInd w:val="0"/>
        <w:snapToGrid w:val="0"/>
        <w:spacing w:line="360" w:lineRule="auto"/>
        <w:ind w:firstLine="480" w:firstLineChars="200"/>
        <w:jc w:val="right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格尔软件股份有限公司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董事会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jc w:val="righ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2022</w:t>
      </w:r>
      <w:r>
        <w:rPr>
          <w:rFonts w:hint="eastAsia"/>
          <w:sz w:val="24"/>
          <w:szCs w:val="24"/>
          <w:highlight w:val="none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>1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5</w:t>
      </w:r>
      <w:r>
        <w:rPr>
          <w:rFonts w:hint="eastAsia"/>
          <w:sz w:val="24"/>
          <w:szCs w:val="24"/>
          <w:highlight w:val="none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2F5682"/>
    <w:multiLevelType w:val="multilevel"/>
    <w:tmpl w:val="242F5682"/>
    <w:lvl w:ilvl="0" w:tentative="0">
      <w:start w:val="1"/>
      <w:numFmt w:val="japaneseCounting"/>
      <w:lvlText w:val="%1、"/>
      <w:lvlJc w:val="left"/>
      <w:pPr>
        <w:ind w:left="977" w:hanging="49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9F5BB8"/>
    <w:rsid w:val="00491A48"/>
    <w:rsid w:val="005A33E2"/>
    <w:rsid w:val="018E4822"/>
    <w:rsid w:val="01FA215B"/>
    <w:rsid w:val="027576DF"/>
    <w:rsid w:val="02AF4FED"/>
    <w:rsid w:val="049C0D81"/>
    <w:rsid w:val="04BC2DF0"/>
    <w:rsid w:val="051D5553"/>
    <w:rsid w:val="05202816"/>
    <w:rsid w:val="05B5678A"/>
    <w:rsid w:val="07832D9E"/>
    <w:rsid w:val="083E47F0"/>
    <w:rsid w:val="08977F70"/>
    <w:rsid w:val="08C60F31"/>
    <w:rsid w:val="091B1E36"/>
    <w:rsid w:val="097203F7"/>
    <w:rsid w:val="0AC149D4"/>
    <w:rsid w:val="0BC4590D"/>
    <w:rsid w:val="0BE8347C"/>
    <w:rsid w:val="0E205747"/>
    <w:rsid w:val="0F34760A"/>
    <w:rsid w:val="0F9F5BB8"/>
    <w:rsid w:val="0FBD3F46"/>
    <w:rsid w:val="100E2521"/>
    <w:rsid w:val="11535FD3"/>
    <w:rsid w:val="11B55FCB"/>
    <w:rsid w:val="11FA498B"/>
    <w:rsid w:val="15462F97"/>
    <w:rsid w:val="15E54F66"/>
    <w:rsid w:val="17391ED0"/>
    <w:rsid w:val="17A17C4F"/>
    <w:rsid w:val="17E62CEF"/>
    <w:rsid w:val="17FB0069"/>
    <w:rsid w:val="18C179CD"/>
    <w:rsid w:val="193F6E91"/>
    <w:rsid w:val="1A041605"/>
    <w:rsid w:val="1D36117A"/>
    <w:rsid w:val="1DE640C3"/>
    <w:rsid w:val="1E125A00"/>
    <w:rsid w:val="1F6C3676"/>
    <w:rsid w:val="29A7485D"/>
    <w:rsid w:val="2DF44503"/>
    <w:rsid w:val="2E4E7A2B"/>
    <w:rsid w:val="2E80779D"/>
    <w:rsid w:val="3340749F"/>
    <w:rsid w:val="38A712F1"/>
    <w:rsid w:val="38D05A6D"/>
    <w:rsid w:val="390212BA"/>
    <w:rsid w:val="397D10DC"/>
    <w:rsid w:val="39B02A11"/>
    <w:rsid w:val="3AF7441B"/>
    <w:rsid w:val="3BD9715E"/>
    <w:rsid w:val="3C295A99"/>
    <w:rsid w:val="3EE1443F"/>
    <w:rsid w:val="3EE71B36"/>
    <w:rsid w:val="3EFB2631"/>
    <w:rsid w:val="40461D28"/>
    <w:rsid w:val="40502228"/>
    <w:rsid w:val="414C0073"/>
    <w:rsid w:val="42FD048C"/>
    <w:rsid w:val="433B62FA"/>
    <w:rsid w:val="43426F87"/>
    <w:rsid w:val="48000720"/>
    <w:rsid w:val="49721DBB"/>
    <w:rsid w:val="4A0E310F"/>
    <w:rsid w:val="4AFD1F57"/>
    <w:rsid w:val="4B501A2D"/>
    <w:rsid w:val="4C565D83"/>
    <w:rsid w:val="4CAD5B18"/>
    <w:rsid w:val="50CE329E"/>
    <w:rsid w:val="516C6209"/>
    <w:rsid w:val="52CA6E04"/>
    <w:rsid w:val="549A5A7A"/>
    <w:rsid w:val="54CB6472"/>
    <w:rsid w:val="56FD7F32"/>
    <w:rsid w:val="59BC214E"/>
    <w:rsid w:val="59DB62D9"/>
    <w:rsid w:val="5C646231"/>
    <w:rsid w:val="604E6A0A"/>
    <w:rsid w:val="609A26F5"/>
    <w:rsid w:val="616B102B"/>
    <w:rsid w:val="61FC78BC"/>
    <w:rsid w:val="62662018"/>
    <w:rsid w:val="64274C3E"/>
    <w:rsid w:val="66066C4D"/>
    <w:rsid w:val="6736715E"/>
    <w:rsid w:val="67BF6746"/>
    <w:rsid w:val="683A721E"/>
    <w:rsid w:val="688A543D"/>
    <w:rsid w:val="68BA5CE9"/>
    <w:rsid w:val="692A202C"/>
    <w:rsid w:val="69760C36"/>
    <w:rsid w:val="6B797D08"/>
    <w:rsid w:val="6B7F203F"/>
    <w:rsid w:val="6C360C93"/>
    <w:rsid w:val="6DBF37EC"/>
    <w:rsid w:val="6E471F02"/>
    <w:rsid w:val="70BD7855"/>
    <w:rsid w:val="716E7BB1"/>
    <w:rsid w:val="73911D1F"/>
    <w:rsid w:val="74F3717A"/>
    <w:rsid w:val="75A620CB"/>
    <w:rsid w:val="76CC503A"/>
    <w:rsid w:val="776179CD"/>
    <w:rsid w:val="7A656D7F"/>
    <w:rsid w:val="7BEB393A"/>
    <w:rsid w:val="7CAC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2021-12-20T06:15:00Z</dcterms:created>
  <dc:creator>邹岩</dc:creator>
  <cp:lastModifiedBy>邹岩</cp:lastModifiedBy>
  <dcterms:modified xsi:type="dcterms:W3CDTF">2022-01-04T06:46:50Z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16683ABE82A347AA8A0701CC53B043F2</vt:lpwstr>
  </property>
</Properties>
</file>