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证券代码：603232   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    证券简称：格尔软件         公告编号：20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eastAsia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eastAsia" w:cs="Times New Roman"/>
          <w:sz w:val="24"/>
          <w:szCs w:val="24"/>
          <w:lang w:val="en-US" w:eastAsia="zh-CN"/>
        </w:rPr>
        <w:t>012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1" w:beforeLines="50" w:line="360" w:lineRule="auto"/>
        <w:jc w:val="center"/>
        <w:textAlignment w:val="auto"/>
        <w:rPr>
          <w:rFonts w:ascii="黑体" w:hAnsi="宋体" w:eastAsia="黑体" w:cs="Arial"/>
          <w:b/>
          <w:bCs/>
          <w:color w:val="FF0000"/>
          <w:kern w:val="36"/>
          <w:sz w:val="36"/>
          <w:szCs w:val="36"/>
        </w:rPr>
      </w:pPr>
      <w:r>
        <w:rPr>
          <w:rFonts w:hint="eastAsia" w:ascii="黑体" w:hAnsi="宋体" w:eastAsia="黑体" w:cs="Arial"/>
          <w:b/>
          <w:bCs/>
          <w:color w:val="FF0000"/>
          <w:kern w:val="36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黑体" w:hAnsi="宋体" w:eastAsia="黑体" w:cs="Arial"/>
          <w:b/>
          <w:bCs/>
          <w:color w:val="FF0000"/>
          <w:kern w:val="36"/>
          <w:sz w:val="36"/>
          <w:szCs w:val="36"/>
        </w:rPr>
      </w:pPr>
      <w:r>
        <w:rPr>
          <w:rFonts w:hint="eastAsia" w:ascii="黑体" w:hAnsi="宋体" w:eastAsia="黑体" w:cs="Arial"/>
          <w:b/>
          <w:bCs/>
          <w:color w:val="FF0000"/>
          <w:kern w:val="36"/>
          <w:sz w:val="36"/>
          <w:szCs w:val="36"/>
        </w:rPr>
        <w:t>20</w:t>
      </w:r>
      <w:r>
        <w:rPr>
          <w:rFonts w:hint="eastAsia" w:ascii="黑体" w:hAnsi="宋体" w:eastAsia="黑体" w:cs="Arial"/>
          <w:b/>
          <w:bCs/>
          <w:color w:val="FF0000"/>
          <w:kern w:val="36"/>
          <w:sz w:val="36"/>
          <w:szCs w:val="36"/>
          <w:lang w:val="en-US" w:eastAsia="zh-CN"/>
        </w:rPr>
        <w:t>21</w:t>
      </w:r>
      <w:r>
        <w:rPr>
          <w:rFonts w:hint="eastAsia" w:ascii="黑体" w:hAnsi="宋体" w:eastAsia="黑体" w:cs="Arial"/>
          <w:b/>
          <w:bCs/>
          <w:color w:val="FF0000"/>
          <w:kern w:val="36"/>
          <w:sz w:val="36"/>
          <w:szCs w:val="36"/>
        </w:rPr>
        <w:t>年日常关联交易执行情况及20</w:t>
      </w:r>
      <w:r>
        <w:rPr>
          <w:rFonts w:hint="eastAsia" w:ascii="黑体" w:hAnsi="宋体" w:eastAsia="黑体" w:cs="Arial"/>
          <w:b/>
          <w:bCs/>
          <w:color w:val="FF0000"/>
          <w:kern w:val="36"/>
          <w:sz w:val="36"/>
          <w:szCs w:val="36"/>
          <w:lang w:val="en-US" w:eastAsia="zh-CN"/>
        </w:rPr>
        <w:t>22</w:t>
      </w:r>
      <w:r>
        <w:rPr>
          <w:rFonts w:hint="eastAsia" w:ascii="黑体" w:hAnsi="宋体" w:eastAsia="黑体" w:cs="Arial"/>
          <w:b/>
          <w:bCs/>
          <w:color w:val="FF0000"/>
          <w:kern w:val="36"/>
          <w:sz w:val="36"/>
          <w:szCs w:val="36"/>
        </w:rPr>
        <w:t>年日常关联交易预计的公告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本公司董事会及全体董事保证本公告内容不存在任何虚假记载、误导性陈述或者重大遗漏，并对其内容的真实性、准确性和完整性承担个别及连带责任。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重要内容提示：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根据</w:t>
      </w:r>
      <w:r>
        <w:rPr>
          <w:rFonts w:hint="eastAsia"/>
          <w:sz w:val="24"/>
          <w:szCs w:val="24"/>
          <w:highlight w:val="none"/>
          <w:lang w:eastAsia="zh-CN"/>
        </w:rPr>
        <w:t>上海证券交易所《股票上市规则》及</w:t>
      </w:r>
      <w:r>
        <w:rPr>
          <w:rFonts w:ascii="宋体" w:hAnsi="宋体" w:cs="宋体"/>
          <w:color w:val="000000"/>
          <w:kern w:val="0"/>
          <w:sz w:val="24"/>
          <w:szCs w:val="24"/>
          <w:highlight w:val="none"/>
        </w:rPr>
        <w:t>格尔软件股份有限公司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</w:rPr>
        <w:t>（以下简称“</w:t>
      </w:r>
      <w:r>
        <w:rPr>
          <w:rFonts w:hint="eastAsia"/>
          <w:sz w:val="24"/>
          <w:szCs w:val="24"/>
          <w:highlight w:val="none"/>
        </w:rPr>
        <w:t>公司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</w:rPr>
        <w:t>”）</w:t>
      </w:r>
      <w:r>
        <w:rPr>
          <w:rFonts w:hint="eastAsia"/>
          <w:sz w:val="24"/>
          <w:szCs w:val="24"/>
          <w:highlight w:val="none"/>
        </w:rPr>
        <w:t>的《</w:t>
      </w:r>
      <w:r>
        <w:rPr>
          <w:rFonts w:hint="eastAsia"/>
          <w:kern w:val="0"/>
          <w:sz w:val="24"/>
          <w:szCs w:val="24"/>
          <w:highlight w:val="none"/>
        </w:rPr>
        <w:t>关联交易</w:t>
      </w:r>
      <w:r>
        <w:rPr>
          <w:rFonts w:hint="eastAsia"/>
          <w:kern w:val="0"/>
          <w:sz w:val="24"/>
          <w:szCs w:val="24"/>
          <w:highlight w:val="none"/>
          <w:lang w:val="en-US" w:eastAsia="zh-CN"/>
        </w:rPr>
        <w:t>决策</w:t>
      </w:r>
      <w:r>
        <w:rPr>
          <w:rFonts w:hint="eastAsia"/>
          <w:kern w:val="0"/>
          <w:sz w:val="24"/>
          <w:szCs w:val="24"/>
          <w:highlight w:val="none"/>
        </w:rPr>
        <w:t>制度》规定，</w:t>
      </w:r>
      <w:r>
        <w:rPr>
          <w:rFonts w:hint="eastAsia"/>
          <w:sz w:val="24"/>
          <w:szCs w:val="24"/>
          <w:highlight w:val="none"/>
        </w:rPr>
        <w:t>公司20</w:t>
      </w:r>
      <w:r>
        <w:rPr>
          <w:rFonts w:hint="eastAsia"/>
          <w:sz w:val="24"/>
          <w:szCs w:val="24"/>
          <w:highlight w:val="none"/>
          <w:lang w:val="en-US" w:eastAsia="zh-CN"/>
        </w:rPr>
        <w:t>21</w:t>
      </w:r>
      <w:r>
        <w:rPr>
          <w:rFonts w:hint="eastAsia"/>
          <w:sz w:val="24"/>
          <w:szCs w:val="24"/>
          <w:highlight w:val="none"/>
        </w:rPr>
        <w:t>度发生的以及20</w:t>
      </w:r>
      <w:r>
        <w:rPr>
          <w:rFonts w:hint="eastAsia"/>
          <w:sz w:val="24"/>
          <w:szCs w:val="24"/>
          <w:highlight w:val="none"/>
          <w:lang w:val="en-US" w:eastAsia="zh-CN"/>
        </w:rPr>
        <w:t>22</w:t>
      </w:r>
      <w:r>
        <w:rPr>
          <w:rFonts w:hint="eastAsia"/>
          <w:sz w:val="24"/>
          <w:szCs w:val="24"/>
          <w:highlight w:val="none"/>
        </w:rPr>
        <w:t>年度预计的日常关联交易金额在公司董事会的审批范围之内。该日常关联交易无需提交股东大会审议。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公司的日常关联交易按照一般商业条款进行，交易价格依据市场价格确定，系公司与关联方正常的日常经营往来，不存在损害非关联股东利益的情况。日常关联交易没有对公司产生重大影响。</w:t>
      </w:r>
    </w:p>
    <w:p>
      <w:pPr>
        <w:pStyle w:val="6"/>
        <w:spacing w:line="360" w:lineRule="auto"/>
      </w:pPr>
    </w:p>
    <w:p>
      <w:pPr>
        <w:pStyle w:val="6"/>
        <w:spacing w:line="360" w:lineRule="auto"/>
        <w:ind w:firstLine="434" w:firstLineChars="180"/>
        <w:outlineLvl w:val="0"/>
        <w:rPr>
          <w:rFonts w:hAnsi="宋体"/>
          <w:b/>
        </w:rPr>
      </w:pPr>
      <w:r>
        <w:rPr>
          <w:rFonts w:hint="eastAsia" w:hAnsi="宋体"/>
          <w:b/>
        </w:rPr>
        <w:t>一、日常关联交易基本情况</w:t>
      </w:r>
    </w:p>
    <w:p>
      <w:pPr>
        <w:pStyle w:val="6"/>
        <w:spacing w:line="360" w:lineRule="auto"/>
        <w:ind w:firstLine="405" w:firstLineChars="168"/>
        <w:outlineLvl w:val="0"/>
        <w:rPr>
          <w:rFonts w:hAnsi="宋体"/>
          <w:b/>
        </w:rPr>
      </w:pPr>
      <w:r>
        <w:rPr>
          <w:rFonts w:hint="eastAsia" w:hAnsi="宋体"/>
          <w:b/>
        </w:rPr>
        <w:t>（一）日常关联交易履行的审议情况</w:t>
      </w:r>
    </w:p>
    <w:p>
      <w:pPr>
        <w:spacing w:line="360" w:lineRule="auto"/>
        <w:ind w:left="0" w:leftChars="0" w:firstLine="420" w:firstLineChars="175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日，经公司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eastAsia="zh-CN"/>
        </w:rPr>
        <w:t>第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七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eastAsia="zh-CN"/>
        </w:rPr>
        <w:t>届董事会第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十六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eastAsia="zh-CN"/>
        </w:rPr>
        <w:t>次会议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审议通过了《</w:t>
      </w:r>
      <w:bookmarkStart w:id="0" w:name="_Toc13459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关于公司20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年度日常关联交易执行情况及20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年度日常关联交易预计的议案</w:t>
      </w:r>
      <w:bookmarkEnd w:id="0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》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20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年度，公司预计与新疆数字证书认证中心</w:t>
      </w:r>
      <w:r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</w:rPr>
        <w:t>(有限公司)（以下简称“新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疆CA</w:t>
      </w:r>
      <w:r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</w:rPr>
        <w:t>”）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/>
        </w:rPr>
        <w:t>、</w:t>
      </w:r>
      <w:r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</w:rPr>
        <w:t>浙江省数字安全证书管理有限公司（以下简称“浙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江CA</w:t>
      </w:r>
      <w:r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</w:rPr>
        <w:t>”）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/>
        </w:rPr>
        <w:t>、上海格尔汽车科技发展有限公司（以下简称“格尔汽车”）、北京网云飞信息技术有限公司（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以下简称“网云飞”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和上海芯钛信息科技有限公司（以下简称“上海芯钛”）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等关联公司发生相关交易，主要为销售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及采购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商品，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有关公司日常关联交易的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具体情况如下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/>
        </w:rPr>
        <w:t>：</w:t>
      </w:r>
    </w:p>
    <w:p>
      <w:pPr>
        <w:spacing w:line="360" w:lineRule="auto"/>
        <w:rPr>
          <w:rFonts w:hint="default" w:ascii="宋体" w:hAnsi="宋体" w:eastAsia="宋体" w:cs="宋体"/>
          <w:color w:val="000000"/>
          <w:kern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预计向新疆CA销售商品，金额为人民币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00万元；预计向浙江CA销售商品，金额为人民币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100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t>万元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eastAsia="zh-CN"/>
        </w:rPr>
        <w:t>；预计向格尔汽车销售商品，金额为人民币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50万元；预计向</w:t>
      </w:r>
      <w:r>
        <w:rPr>
          <w:rFonts w:hint="eastAsia" w:cs="Times New Roman"/>
          <w:color w:val="000000"/>
          <w:kern w:val="0"/>
          <w:sz w:val="24"/>
          <w:szCs w:val="24"/>
          <w:highlight w:val="none"/>
          <w:lang w:val="en-US" w:eastAsia="zh-CN"/>
        </w:rPr>
        <w:t>上海芯钛销售商品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，金额为人民币</w:t>
      </w:r>
      <w:r>
        <w:rPr>
          <w:rFonts w:hint="eastAsia" w:cs="Times New Roman"/>
          <w:color w:val="000000"/>
          <w:kern w:val="0"/>
          <w:sz w:val="24"/>
          <w:szCs w:val="24"/>
          <w:highlight w:val="none"/>
          <w:lang w:val="en-US" w:eastAsia="zh-CN"/>
        </w:rPr>
        <w:t>100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/>
        </w:rPr>
        <w:t>万元</w:t>
      </w:r>
      <w:r>
        <w:rPr>
          <w:rFonts w:hint="eastAsia" w:cs="Times New Roman"/>
          <w:color w:val="000000"/>
          <w:kern w:val="0"/>
          <w:sz w:val="24"/>
          <w:szCs w:val="24"/>
          <w:highlight w:val="none"/>
          <w:lang w:val="en-US" w:eastAsia="zh-CN"/>
        </w:rPr>
        <w:t>；预计向上海芯钛采购商品，金额为人民币300万元，预计向网云飞采购商品，金额为人民币200万元。</w:t>
      </w:r>
    </w:p>
    <w:p>
      <w:pPr>
        <w:pStyle w:val="6"/>
        <w:spacing w:line="360" w:lineRule="auto"/>
        <w:ind w:firstLine="475" w:firstLineChars="198"/>
      </w:pPr>
      <w:r>
        <w:rPr>
          <w:rFonts w:hint="default" w:ascii="Times New Roman" w:hAnsi="Times New Roman" w:cs="Times New Roman"/>
        </w:rPr>
        <w:t>公司第</w:t>
      </w:r>
      <w:r>
        <w:rPr>
          <w:rFonts w:hint="default" w:ascii="Times New Roman" w:hAnsi="Times New Roman" w:cs="Times New Roman"/>
          <w:lang w:eastAsia="zh-CN"/>
        </w:rPr>
        <w:t>七</w:t>
      </w:r>
      <w:r>
        <w:rPr>
          <w:rFonts w:hint="default" w:ascii="Times New Roman" w:hAnsi="Times New Roman" w:cs="Times New Roman"/>
        </w:rPr>
        <w:t>届董事会第</w:t>
      </w:r>
      <w:r>
        <w:rPr>
          <w:rFonts w:hint="eastAsia" w:ascii="Times New Roman" w:cs="Times New Roman"/>
          <w:lang w:eastAsia="zh-CN"/>
        </w:rPr>
        <w:t>二十三</w:t>
      </w:r>
      <w:r>
        <w:rPr>
          <w:rFonts w:hint="default" w:ascii="Times New Roman" w:hAnsi="Times New Roman" w:cs="Times New Roman"/>
        </w:rPr>
        <w:t>次会议审议通过了《关于格尔软件股份有限公司20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eastAsia" w:asci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年度日常关联交易执行情况及20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eastAsia" w:asci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年度日常关联交易预计的议案》。在董事会议案审议表决过程中，关联董事都回避了表决。公司的独立董事事前审核了日常关联交易议案，并签署了《</w:t>
      </w:r>
      <w:r>
        <w:rPr>
          <w:rFonts w:hint="default" w:ascii="Times New Roman" w:hAnsi="Times New Roman" w:cs="Times New Roman"/>
          <w:bCs/>
        </w:rPr>
        <w:t>事前认可书》、发表了独立意见。公司审计委员会形成决议同意将该议案提交董事会审议。</w:t>
      </w:r>
      <w:r>
        <w:rPr>
          <w:rFonts w:hint="default" w:ascii="Times New Roman" w:hAnsi="Times New Roman" w:cs="Times New Roman"/>
        </w:rPr>
        <w:t>根据</w:t>
      </w:r>
      <w:r>
        <w:rPr>
          <w:rFonts w:hint="eastAsia"/>
          <w:sz w:val="24"/>
          <w:szCs w:val="24"/>
          <w:lang w:eastAsia="zh-CN"/>
        </w:rPr>
        <w:t>上海证券交易所《股票上市规则》</w:t>
      </w:r>
      <w:r>
        <w:rPr>
          <w:rFonts w:hint="eastAsia"/>
          <w:sz w:val="24"/>
          <w:szCs w:val="24"/>
          <w:lang w:val="en-US" w:eastAsia="zh-CN"/>
        </w:rPr>
        <w:t>及</w:t>
      </w:r>
      <w:r>
        <w:rPr>
          <w:rFonts w:hint="default" w:ascii="Times New Roman" w:hAnsi="Times New Roman" w:cs="Times New Roman"/>
        </w:rPr>
        <w:t>公司《关联交易</w:t>
      </w:r>
      <w:r>
        <w:rPr>
          <w:rFonts w:hint="eastAsia" w:ascii="Times New Roman" w:cs="Times New Roman"/>
          <w:lang w:val="en-US" w:eastAsia="zh-CN"/>
        </w:rPr>
        <w:t>决策</w:t>
      </w:r>
      <w:r>
        <w:rPr>
          <w:rFonts w:hint="default" w:ascii="Times New Roman" w:hAnsi="Times New Roman" w:cs="Times New Roman"/>
        </w:rPr>
        <w:t>制度》规定，公司20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eastAsia" w:asci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度发生的以及20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eastAsia" w:asci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年度预计的日常关联交易金额在公司董事会的审批范围之内</w:t>
      </w:r>
      <w:r>
        <w:rPr>
          <w:rFonts w:hint="default" w:ascii="Times New Roman" w:hAnsi="Times New Roman" w:cs="Times New Roman"/>
          <w:highlight w:val="none"/>
        </w:rPr>
        <w:t>。该日常关联交易无需提交股东大会审议。</w:t>
      </w:r>
    </w:p>
    <w:p>
      <w:pPr>
        <w:pStyle w:val="6"/>
        <w:spacing w:line="360" w:lineRule="auto"/>
        <w:ind w:firstLine="405" w:firstLineChars="168"/>
        <w:outlineLvl w:val="0"/>
        <w:rPr>
          <w:rFonts w:hAnsi="宋体"/>
          <w:b/>
        </w:rPr>
      </w:pPr>
      <w:r>
        <w:rPr>
          <w:rFonts w:hint="eastAsia" w:hAnsi="宋体"/>
          <w:b/>
        </w:rPr>
        <w:t>（二）</w:t>
      </w:r>
      <w:r>
        <w:rPr>
          <w:rFonts w:hint="default" w:ascii="Times New Roman" w:hAnsi="Times New Roman" w:cs="Times New Roman"/>
          <w:b/>
        </w:rPr>
        <w:t>20</w:t>
      </w:r>
      <w:r>
        <w:rPr>
          <w:rFonts w:hint="default" w:ascii="Times New Roman" w:hAnsi="Times New Roman" w:cs="Times New Roman"/>
          <w:b/>
          <w:lang w:val="en-US" w:eastAsia="zh-CN"/>
        </w:rPr>
        <w:t>2</w:t>
      </w:r>
      <w:r>
        <w:rPr>
          <w:rFonts w:hint="eastAsia" w:ascii="Times New Roman" w:cs="Times New Roman"/>
          <w:b/>
          <w:lang w:val="en-US" w:eastAsia="zh-CN"/>
        </w:rPr>
        <w:t>1</w:t>
      </w:r>
      <w:r>
        <w:rPr>
          <w:rFonts w:hint="default" w:ascii="Times New Roman" w:hAnsi="Times New Roman" w:cs="Times New Roman"/>
          <w:b/>
        </w:rPr>
        <w:t>年</w:t>
      </w:r>
      <w:r>
        <w:rPr>
          <w:rFonts w:hint="eastAsia" w:hAnsi="宋体"/>
          <w:b/>
        </w:rPr>
        <w:t>日常关联交易的预计和执行情况</w:t>
      </w:r>
    </w:p>
    <w:p>
      <w:pPr>
        <w:pStyle w:val="6"/>
        <w:spacing w:line="360" w:lineRule="auto"/>
        <w:ind w:right="240" w:firstLine="403" w:firstLineChars="168"/>
        <w:jc w:val="right"/>
        <w:rPr>
          <w:rFonts w:hAnsi="宋体"/>
          <w:b/>
        </w:rPr>
      </w:pPr>
      <w:r>
        <w:rPr>
          <w:rFonts w:hint="eastAsia" w:hAnsi="宋体"/>
        </w:rPr>
        <w:t>单位：元</w:t>
      </w:r>
    </w:p>
    <w:tbl>
      <w:tblPr>
        <w:tblStyle w:val="3"/>
        <w:tblW w:w="8645" w:type="dxa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2006"/>
        <w:gridCol w:w="1860"/>
        <w:gridCol w:w="1725"/>
        <w:gridCol w:w="17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关联交易类别</w:t>
            </w:r>
          </w:p>
        </w:tc>
        <w:tc>
          <w:tcPr>
            <w:tcW w:w="2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关联方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20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年预计金额(元）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20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年日常关联交易实际发生金额（元）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销售商品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新疆数字证书认证中心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5,000,000.00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1,210,404.66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PKI产品、数字</w:t>
            </w:r>
            <w:r>
              <w:rPr>
                <w:rFonts w:ascii="Calibri" w:hAnsi="Calibri" w:eastAsia="宋体" w:cs="Times New Roman"/>
                <w:szCs w:val="21"/>
              </w:rPr>
              <w:t>认证</w:t>
            </w:r>
            <w:r>
              <w:rPr>
                <w:rFonts w:hint="eastAsia" w:ascii="Calibri" w:hAnsi="Calibri" w:eastAsia="宋体" w:cs="Times New Roman"/>
                <w:szCs w:val="21"/>
              </w:rPr>
              <w:t>系统、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网关等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 w:eastAsia="宋体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浙江省数字安全证书管理有限公司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1,000,000.00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77,830.19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PKI产品、数字</w:t>
            </w:r>
            <w:r>
              <w:rPr>
                <w:rFonts w:ascii="Calibri" w:hAnsi="Calibri" w:eastAsia="宋体" w:cs="Times New Roman"/>
                <w:szCs w:val="21"/>
              </w:rPr>
              <w:t>认证</w:t>
            </w:r>
            <w:r>
              <w:rPr>
                <w:rFonts w:hint="eastAsia" w:ascii="Calibri" w:hAnsi="Calibri" w:eastAsia="宋体" w:cs="Times New Roman"/>
                <w:szCs w:val="21"/>
              </w:rPr>
              <w:t>系统、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网关等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 w:eastAsia="宋体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上海格尔汽车科技发展有限公司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500,000.00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0.00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PKI产品、数字</w:t>
            </w:r>
            <w:r>
              <w:rPr>
                <w:rFonts w:ascii="Calibri" w:hAnsi="Calibri" w:eastAsia="宋体" w:cs="Times New Roman"/>
                <w:szCs w:val="21"/>
              </w:rPr>
              <w:t>认证</w:t>
            </w:r>
            <w:r>
              <w:rPr>
                <w:rFonts w:hint="eastAsia" w:ascii="Calibri" w:hAnsi="Calibri" w:eastAsia="宋体" w:cs="Times New Roman"/>
                <w:szCs w:val="21"/>
              </w:rPr>
              <w:t>系统、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网关等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 w:eastAsia="宋体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  <w:t>上海芯钛信息科技有限公司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,000,000.00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eastAsia="等线"/>
                <w:color w:val="000000"/>
                <w:szCs w:val="21"/>
                <w:highlight w:val="none"/>
              </w:rPr>
              <w:t>429,203.56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PKI产品、数字</w:t>
            </w:r>
            <w:r>
              <w:rPr>
                <w:rFonts w:ascii="Calibri" w:hAnsi="Calibri" w:eastAsia="宋体" w:cs="Times New Roman"/>
                <w:szCs w:val="21"/>
                <w:highlight w:val="none"/>
              </w:rPr>
              <w:t>认证</w:t>
            </w:r>
            <w:r>
              <w:rPr>
                <w:rFonts w:hint="eastAsia" w:ascii="Calibri" w:hAnsi="Calibri" w:eastAsia="宋体" w:cs="Times New Roman"/>
                <w:szCs w:val="21"/>
                <w:highlight w:val="none"/>
              </w:rPr>
              <w:t>系统、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网关等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采购商品</w:t>
            </w:r>
          </w:p>
        </w:tc>
        <w:tc>
          <w:tcPr>
            <w:tcW w:w="2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  <w:t>上海芯钛信息科技有限公司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,000,000.00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0.00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  <w:t>芯片、密码模组、软件可售业务系统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</w:p>
        </w:tc>
        <w:tc>
          <w:tcPr>
            <w:tcW w:w="2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  <w:t>北京网云飞信息技术有限公司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,000,000.00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0.00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加密存储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0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小计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12,500,000.00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cs="Times New Roman"/>
                <w:b/>
                <w:bCs/>
                <w:kern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717</w:t>
            </w:r>
            <w:r>
              <w:rPr>
                <w:rFonts w:hint="eastAsia" w:cs="Times New Roman"/>
                <w:b/>
                <w:bCs/>
                <w:kern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438.41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right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81" w:beforeLines="50" w:line="360" w:lineRule="auto"/>
        <w:ind w:firstLine="405" w:firstLineChars="168"/>
        <w:textAlignment w:val="auto"/>
        <w:outlineLvl w:val="0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（三）20</w:t>
      </w:r>
      <w:r>
        <w:rPr>
          <w:rFonts w:hint="default" w:ascii="Times New Roman" w:hAnsi="Times New Roman" w:cs="Times New Roman"/>
          <w:b/>
          <w:lang w:val="en-US" w:eastAsia="zh-CN"/>
        </w:rPr>
        <w:t>2</w:t>
      </w:r>
      <w:r>
        <w:rPr>
          <w:rFonts w:hint="eastAsia" w:ascii="Times New Roman" w:cs="Times New Roman"/>
          <w:b/>
          <w:lang w:val="en-US" w:eastAsia="zh-CN"/>
        </w:rPr>
        <w:t>2</w:t>
      </w:r>
      <w:r>
        <w:rPr>
          <w:rFonts w:hint="default" w:ascii="Times New Roman" w:hAnsi="Times New Roman" w:cs="Times New Roman"/>
          <w:b/>
        </w:rPr>
        <w:t>年日常关联交易预计情况</w:t>
      </w:r>
    </w:p>
    <w:p>
      <w:pPr>
        <w:pStyle w:val="6"/>
        <w:spacing w:line="360" w:lineRule="auto"/>
        <w:ind w:firstLine="475" w:firstLineChars="198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根据近年来公司关联交易的开展情况，结合公司业务发展需要，对公司20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eastAsia" w:asci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年日常关联交易预计如下：</w:t>
      </w:r>
    </w:p>
    <w:p>
      <w:pPr>
        <w:pStyle w:val="6"/>
        <w:spacing w:line="360" w:lineRule="auto"/>
        <w:ind w:right="240" w:firstLine="403" w:firstLineChars="168"/>
        <w:jc w:val="right"/>
        <w:rPr>
          <w:rFonts w:hAnsi="宋体"/>
          <w:b/>
        </w:rPr>
      </w:pPr>
      <w:r>
        <w:rPr>
          <w:rFonts w:hint="eastAsia" w:hAnsi="宋体"/>
        </w:rPr>
        <w:t>单位：元</w:t>
      </w:r>
    </w:p>
    <w:tbl>
      <w:tblPr>
        <w:tblStyle w:val="3"/>
        <w:tblW w:w="8645" w:type="dxa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2010"/>
        <w:gridCol w:w="1845"/>
        <w:gridCol w:w="1740"/>
        <w:gridCol w:w="1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关联交易类别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关联方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20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年日常关联交易实际发生金额（元）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202</w:t>
            </w:r>
            <w:r>
              <w:rPr>
                <w:rFonts w:hint="eastAsia" w:ascii="宋体" w:hAnsi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年日常关联交易预计发生金额（元）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</w:rPr>
              <w:t>销售商品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新疆数字证书认证中心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1,210,404.66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5,000,000.00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PKI产品、数字</w:t>
            </w:r>
            <w:r>
              <w:rPr>
                <w:rFonts w:ascii="Calibri" w:hAnsi="Calibri" w:eastAsia="宋体" w:cs="Times New Roman"/>
                <w:szCs w:val="21"/>
              </w:rPr>
              <w:t>认证</w:t>
            </w:r>
            <w:r>
              <w:rPr>
                <w:rFonts w:hint="eastAsia" w:ascii="Calibri" w:hAnsi="Calibri" w:eastAsia="宋体" w:cs="Times New Roman"/>
                <w:szCs w:val="21"/>
              </w:rPr>
              <w:t>系统、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网关等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1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浙江省数字安全证书管理有限公司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77,830.19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1,000,000.00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PKI产品、数字</w:t>
            </w:r>
            <w:r>
              <w:rPr>
                <w:rFonts w:ascii="Calibri" w:hAnsi="Calibri" w:eastAsia="宋体" w:cs="Times New Roman"/>
                <w:szCs w:val="21"/>
              </w:rPr>
              <w:t>认证</w:t>
            </w:r>
            <w:r>
              <w:rPr>
                <w:rFonts w:hint="eastAsia" w:ascii="Calibri" w:hAnsi="Calibri" w:eastAsia="宋体" w:cs="Times New Roman"/>
                <w:szCs w:val="21"/>
              </w:rPr>
              <w:t>系统、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网关等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31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上海格尔汽车科技发展有限公司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500,000.00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PKI产品、数字</w:t>
            </w:r>
            <w:r>
              <w:rPr>
                <w:rFonts w:ascii="Calibri" w:hAnsi="Calibri" w:eastAsia="宋体" w:cs="Times New Roman"/>
                <w:szCs w:val="21"/>
              </w:rPr>
              <w:t>认证</w:t>
            </w:r>
            <w:r>
              <w:rPr>
                <w:rFonts w:hint="eastAsia" w:ascii="Calibri" w:hAnsi="Calibri" w:eastAsia="宋体" w:cs="Times New Roman"/>
                <w:szCs w:val="21"/>
              </w:rPr>
              <w:t>系统、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网关等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3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  <w:t>上海芯钛信息科技有限公司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eastAsia="等线"/>
                <w:color w:val="000000"/>
                <w:szCs w:val="21"/>
                <w:highlight w:val="none"/>
              </w:rPr>
              <w:t>429,203.56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,000,000.00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PKI产品、数字</w:t>
            </w:r>
            <w:r>
              <w:rPr>
                <w:rFonts w:ascii="Calibri" w:hAnsi="Calibri" w:eastAsia="宋体" w:cs="Times New Roman"/>
                <w:szCs w:val="21"/>
                <w:highlight w:val="none"/>
              </w:rPr>
              <w:t>认证</w:t>
            </w:r>
            <w:r>
              <w:rPr>
                <w:rFonts w:hint="eastAsia" w:ascii="Calibri" w:hAnsi="Calibri" w:eastAsia="宋体" w:cs="Times New Roman"/>
                <w:szCs w:val="21"/>
                <w:highlight w:val="none"/>
              </w:rPr>
              <w:t>系统、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网关等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3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采购商品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  <w:t>上海芯钛信息科技有限公司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0.00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,000,000.00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  <w:t>芯片、密码模组、软件可售业务系统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3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  <w:t>北京网云飞信息技术有限公司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0.00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</w:rPr>
              <w:t>,000,000.00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加密存储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 w:eastAsia="宋体" w:cs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小计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cs="Times New Roman"/>
                <w:b/>
                <w:bCs/>
                <w:kern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717</w:t>
            </w:r>
            <w:r>
              <w:rPr>
                <w:rFonts w:hint="eastAsia" w:cs="Times New Roman"/>
                <w:b/>
                <w:bCs/>
                <w:kern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438.41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12,500,000.00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0"/>
                <w:szCs w:val="21"/>
              </w:rPr>
            </w:pPr>
          </w:p>
        </w:tc>
      </w:tr>
    </w:tbl>
    <w:p>
      <w:pPr>
        <w:pStyle w:val="6"/>
        <w:spacing w:line="360" w:lineRule="auto"/>
        <w:ind w:right="240" w:firstLine="405" w:firstLineChars="168"/>
        <w:jc w:val="right"/>
        <w:rPr>
          <w:rFonts w:hAnsi="宋体"/>
          <w:b/>
        </w:rPr>
      </w:pPr>
    </w:p>
    <w:p>
      <w:pPr>
        <w:spacing w:line="500" w:lineRule="exact"/>
        <w:ind w:firstLine="354" w:firstLineChars="147"/>
        <w:outlineLvl w:val="0"/>
        <w:rPr>
          <w:rFonts w:cs="Cambria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二、关联关系和关联方介绍</w:t>
      </w:r>
    </w:p>
    <w:p>
      <w:pPr>
        <w:numPr>
          <w:ilvl w:val="0"/>
          <w:numId w:val="2"/>
        </w:numPr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color w:val="000000"/>
          <w:kern w:val="0"/>
          <w:sz w:val="24"/>
          <w:szCs w:val="24"/>
        </w:rPr>
        <w:t>新疆数字证书认证中心（有限公司）</w:t>
      </w:r>
    </w:p>
    <w:p>
      <w:pPr>
        <w:numPr>
          <w:ilvl w:val="0"/>
          <w:numId w:val="3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</w:rPr>
        <w:t>住所：新疆乌鲁木齐市天山区人民路183号兴亚大厦1801室</w:t>
      </w:r>
    </w:p>
    <w:p>
      <w:pPr>
        <w:numPr>
          <w:ilvl w:val="0"/>
          <w:numId w:val="3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法定代表人：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许斌</w:t>
      </w:r>
    </w:p>
    <w:p>
      <w:pPr>
        <w:numPr>
          <w:ilvl w:val="0"/>
          <w:numId w:val="3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注册资本：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人民币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3,000万元</w:t>
      </w:r>
    </w:p>
    <w:p>
      <w:pPr>
        <w:numPr>
          <w:ilvl w:val="0"/>
          <w:numId w:val="3"/>
        </w:numPr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经营范围：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电子数字证书认证；计算机系统服务（具体经营项目以有关部门颁发的许可证、资质证书为准）；电子商务和电子政务系统开发及运营服务；信息技术及信息安全产品研发、应用、培训、服务；网络信息安全测评及信息咨询；软件开发及销售；计算机网络、通信产品、信息安全产品、电子设备、空调器、计算机及外设、商用密码产品销售；货物与技术的进出口；安全技术防范工程服务。（依法须经批准的项目，经相关部门批准后方可开展经营活动）</w:t>
      </w:r>
    </w:p>
    <w:p>
      <w:pPr>
        <w:numPr>
          <w:ilvl w:val="0"/>
          <w:numId w:val="3"/>
        </w:numPr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与上市公司的关联关系：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公司董事兼副总经理朱斌担任新疆CA董事。</w:t>
      </w:r>
    </w:p>
    <w:p>
      <w:pPr>
        <w:numPr>
          <w:ilvl w:val="0"/>
          <w:numId w:val="2"/>
        </w:numPr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宋体" w:cs="Times New Roman"/>
          <w:b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color w:val="000000"/>
          <w:kern w:val="0"/>
          <w:sz w:val="24"/>
          <w:szCs w:val="24"/>
        </w:rPr>
        <w:t>浙江省数字安全证书管理有限公司</w:t>
      </w:r>
    </w:p>
    <w:p>
      <w:pPr>
        <w:numPr>
          <w:ilvl w:val="0"/>
          <w:numId w:val="4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</w:rPr>
        <w:t>住所：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  <w:lang w:eastAsia="zh-CN"/>
        </w:rPr>
        <w:t>浙江省杭州市中山北路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  <w:lang w:val="en-US" w:eastAsia="zh-CN"/>
        </w:rPr>
        <w:t>631号22层</w:t>
      </w:r>
    </w:p>
    <w:p>
      <w:pPr>
        <w:numPr>
          <w:ilvl w:val="0"/>
          <w:numId w:val="4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法定代表人：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李晓宁</w:t>
      </w:r>
    </w:p>
    <w:p>
      <w:pPr>
        <w:numPr>
          <w:ilvl w:val="0"/>
          <w:numId w:val="4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注册资本：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人民币3,011.30万元</w:t>
      </w:r>
    </w:p>
    <w:p>
      <w:pPr>
        <w:numPr>
          <w:ilvl w:val="0"/>
          <w:numId w:val="4"/>
        </w:numPr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经营范围：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电子安全数字证书有关业务的咨询、服务，计算机通信网络系统的规划、研究开发、系统集成，电子安全工程服务、电子商务的信息服务，电子产品的销售。</w:t>
      </w:r>
    </w:p>
    <w:p>
      <w:pPr>
        <w:numPr>
          <w:ilvl w:val="0"/>
          <w:numId w:val="4"/>
        </w:numPr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与上市公司的关联关系：</w:t>
      </w:r>
      <w:r>
        <w:rPr>
          <w:rFonts w:hint="default" w:ascii="Times New Roman" w:hAnsi="Times New Roman" w:cs="Times New Roman"/>
          <w:b w:val="0"/>
          <w:bCs w:val="0"/>
          <w:kern w:val="0"/>
          <w:sz w:val="24"/>
          <w:szCs w:val="24"/>
          <w:lang w:val="en-US" w:eastAsia="zh-CN"/>
        </w:rPr>
        <w:t>公司董事兼总经理杨文山担任浙江CA董事。</w:t>
      </w:r>
    </w:p>
    <w:p>
      <w:pPr>
        <w:numPr>
          <w:ilvl w:val="0"/>
          <w:numId w:val="2"/>
        </w:numPr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宋体" w:cs="Times New Roman"/>
          <w:b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color w:val="000000"/>
          <w:kern w:val="0"/>
          <w:sz w:val="24"/>
          <w:szCs w:val="24"/>
          <w:lang w:eastAsia="zh-CN"/>
        </w:rPr>
        <w:t>上海格尔汽车科技发展有限公司</w:t>
      </w:r>
    </w:p>
    <w:p>
      <w:pPr>
        <w:numPr>
          <w:ilvl w:val="0"/>
          <w:numId w:val="5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</w:rPr>
        <w:t>住所：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  <w:lang w:eastAsia="zh-CN"/>
        </w:rPr>
        <w:t>上海市嘉定区回城南路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szCs w:val="24"/>
          <w:lang w:val="en-US" w:eastAsia="zh-CN"/>
        </w:rPr>
        <w:t>2358号</w:t>
      </w:r>
    </w:p>
    <w:p>
      <w:pPr>
        <w:numPr>
          <w:ilvl w:val="0"/>
          <w:numId w:val="5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法定代表人：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孔令钢</w:t>
      </w:r>
    </w:p>
    <w:p>
      <w:pPr>
        <w:numPr>
          <w:ilvl w:val="0"/>
          <w:numId w:val="5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注册资本：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人民币3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0万元</w:t>
      </w:r>
    </w:p>
    <w:p>
      <w:pPr>
        <w:numPr>
          <w:ilvl w:val="0"/>
          <w:numId w:val="5"/>
        </w:numPr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经营范围：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从事汽车零部件技术领域内的技术开发、技术转让、技术咨询、技术服务，汽车附件制造、加工、销售，从事货物及技术的进出口业务。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（依法须经批准的项目，经相关部门批准后方可开展经营活动）</w:t>
      </w:r>
    </w:p>
    <w:p>
      <w:pPr>
        <w:numPr>
          <w:ilvl w:val="0"/>
          <w:numId w:val="5"/>
        </w:numPr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与上市公司的关联关系：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格尔汽车为公司实际控制人控制的企业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zh-CN"/>
        </w:rPr>
        <w:t>。</w:t>
      </w:r>
    </w:p>
    <w:p>
      <w:pPr>
        <w:numPr>
          <w:ilvl w:val="-1"/>
          <w:numId w:val="0"/>
        </w:numPr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宋体" w:cs="Times New Roman"/>
          <w:b/>
          <w:color w:val="00000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color w:val="000000"/>
          <w:kern w:val="0"/>
          <w:sz w:val="24"/>
          <w:szCs w:val="24"/>
          <w:lang w:val="en-US" w:eastAsia="zh-CN"/>
        </w:rPr>
        <w:t>4.北京网云飞信息技术有限公司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1）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住所：北京市丰台区南四环陆188号十八区20号楼11层（园区）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法定代表人：何连跃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注册资本：人民币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3,500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万元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经营范围：技术开发、服务、咨询、转让、咨询；销售计算机软件及辅助设备、电子产品；计算机系统服务；软件开发；计算机系统集成；数据处理。（市场主体依法自主选择经营项目，开展经营活动；依法须经批准的项目，经相关部门批准后依批准的内容开展经营活动；不得从事国家和本市产业政策禁止和限制类项目的经营活动。）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与上市公司的关联关系：公司的董事兼副总经理朱斌担任</w:t>
      </w: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网云飞董事。</w:t>
      </w:r>
    </w:p>
    <w:p>
      <w:pPr>
        <w:numPr>
          <w:ilvl w:val="-1"/>
          <w:numId w:val="0"/>
        </w:numPr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宋体" w:cs="Times New Roman"/>
          <w:b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5.上海芯钛信息科技有限公司</w:t>
      </w:r>
    </w:p>
    <w:p>
      <w:pPr>
        <w:numPr>
          <w:ilvl w:val="-1"/>
          <w:numId w:val="0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1）住所：上海市崇明区长兴镇潘园公路1800号3号楼14347室（上海泰和经济发展区）</w:t>
      </w:r>
    </w:p>
    <w:p>
      <w:pPr>
        <w:numPr>
          <w:ilvl w:val="-1"/>
          <w:numId w:val="0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2）法定代表人：刘功哲</w:t>
      </w:r>
    </w:p>
    <w:p>
      <w:pPr>
        <w:numPr>
          <w:ilvl w:val="-1"/>
          <w:numId w:val="0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3）注册资本：人民币</w:t>
      </w:r>
      <w:r>
        <w:rPr>
          <w:rFonts w:hint="default" w:ascii="Times New Roman" w:hAnsi="Times New Roman" w:cs="Times New Roman"/>
          <w:b w:val="0"/>
          <w:bCs/>
          <w:color w:val="000000"/>
          <w:kern w:val="0"/>
          <w:sz w:val="24"/>
          <w:szCs w:val="24"/>
          <w:highlight w:val="none"/>
          <w:lang w:val="en-US" w:eastAsia="zh-CN"/>
        </w:rPr>
        <w:t>3,460.6451</w:t>
      </w: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万元</w:t>
      </w:r>
    </w:p>
    <w:p>
      <w:pPr>
        <w:numPr>
          <w:ilvl w:val="-1"/>
          <w:numId w:val="0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4）经营范围：从事信息、计算机、通讯、电子、集成电路科技领域内的技术开发、技术转让、技术咨询和技术服务，从事货物及技术的进出口业务。【依法须经批准的项目，经相关部门批准后方可开展经营活动】</w:t>
      </w:r>
    </w:p>
    <w:p>
      <w:pPr>
        <w:numPr>
          <w:ilvl w:val="-1"/>
          <w:numId w:val="0"/>
        </w:num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lang w:val="en-US" w:eastAsia="zh-CN"/>
        </w:rPr>
        <w:t>5）与上市公司的关联关系：上海芯钛控股股东、实际控制人孔旻先生为公司控股股东、实际控制人孔令钢年满18周岁的子女，因此上海芯钛及孔旻先生为公司关联方。</w:t>
      </w:r>
    </w:p>
    <w:p>
      <w:pPr>
        <w:snapToGrid w:val="0"/>
        <w:spacing w:line="360" w:lineRule="auto"/>
        <w:ind w:firstLine="354" w:firstLineChars="147"/>
        <w:outlineLvl w:val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四</w:t>
      </w:r>
      <w:r>
        <w:rPr>
          <w:rFonts w:hint="eastAsia" w:ascii="宋体" w:hAnsi="宋体"/>
          <w:b/>
          <w:sz w:val="24"/>
          <w:szCs w:val="24"/>
        </w:rPr>
        <w:t>、关联交易的定价依据</w:t>
      </w:r>
    </w:p>
    <w:p>
      <w:pPr>
        <w:snapToGrid w:val="0"/>
        <w:spacing w:line="360" w:lineRule="auto"/>
        <w:ind w:left="0" w:leftChars="0" w:firstLine="420" w:firstLineChars="175"/>
        <w:rPr>
          <w:rFonts w:ascii="宋体" w:hAnsi="宋体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公司向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上述</w:t>
      </w:r>
      <w:r>
        <w:rPr>
          <w:rFonts w:ascii="宋体" w:hAnsi="宋体" w:eastAsia="宋体" w:cs="Times New Roman"/>
          <w:sz w:val="24"/>
          <w:szCs w:val="24"/>
        </w:rPr>
        <w:t>关联方</w:t>
      </w:r>
      <w:r>
        <w:rPr>
          <w:rFonts w:hint="eastAsia" w:ascii="宋体" w:hAnsi="宋体" w:eastAsia="宋体" w:cs="Times New Roman"/>
          <w:sz w:val="24"/>
          <w:szCs w:val="24"/>
        </w:rPr>
        <w:t>销售商品、</w:t>
      </w:r>
      <w:r>
        <w:rPr>
          <w:rFonts w:ascii="宋体" w:hAnsi="宋体" w:eastAsia="宋体" w:cs="Times New Roman"/>
          <w:sz w:val="24"/>
          <w:szCs w:val="24"/>
        </w:rPr>
        <w:t>提供技术</w:t>
      </w:r>
      <w:r>
        <w:rPr>
          <w:rFonts w:ascii="宋体" w:hAnsi="宋体" w:eastAsia="宋体" w:cs="Arial"/>
          <w:sz w:val="24"/>
          <w:szCs w:val="24"/>
        </w:rPr>
        <w:t>服务均参照</w:t>
      </w:r>
      <w:r>
        <w:rPr>
          <w:rFonts w:hint="eastAsia" w:ascii="宋体" w:hAnsi="宋体" w:eastAsia="宋体" w:cs="Times New Roman"/>
          <w:sz w:val="24"/>
          <w:szCs w:val="24"/>
        </w:rPr>
        <w:t>一般商业条款进行，按照</w:t>
      </w:r>
      <w:r>
        <w:rPr>
          <w:rFonts w:ascii="宋体" w:hAnsi="宋体" w:eastAsia="宋体" w:cs="Arial"/>
          <w:sz w:val="24"/>
          <w:szCs w:val="24"/>
        </w:rPr>
        <w:t>同期同类技术服务</w:t>
      </w:r>
      <w:r>
        <w:rPr>
          <w:rFonts w:hint="eastAsia" w:ascii="宋体" w:hAnsi="宋体" w:eastAsia="宋体" w:cs="Arial"/>
          <w:sz w:val="24"/>
          <w:szCs w:val="24"/>
        </w:rPr>
        <w:t>和商品</w:t>
      </w:r>
      <w:r>
        <w:rPr>
          <w:rFonts w:ascii="宋体" w:hAnsi="宋体" w:eastAsia="宋体" w:cs="Arial"/>
          <w:sz w:val="24"/>
          <w:szCs w:val="24"/>
        </w:rPr>
        <w:t>的市场行情，由双方协商确定价格，该价格与其他非关联方的服务价格基本一致，价格公允。公司向关联方提供技术服务交易</w:t>
      </w:r>
      <w:r>
        <w:rPr>
          <w:rFonts w:hint="eastAsia" w:ascii="宋体" w:hAnsi="宋体" w:eastAsia="宋体" w:cs="Arial"/>
          <w:sz w:val="24"/>
          <w:szCs w:val="24"/>
        </w:rPr>
        <w:t>和商品</w:t>
      </w:r>
      <w:r>
        <w:rPr>
          <w:rFonts w:ascii="宋体" w:hAnsi="宋体" w:eastAsia="宋体" w:cs="Arial"/>
          <w:sz w:val="24"/>
          <w:szCs w:val="24"/>
        </w:rPr>
        <w:t>金额较小，对</w:t>
      </w:r>
      <w:r>
        <w:rPr>
          <w:rFonts w:ascii="宋体" w:hAnsi="宋体" w:eastAsia="宋体" w:cs="Times New Roman"/>
          <w:sz w:val="24"/>
          <w:szCs w:val="24"/>
        </w:rPr>
        <w:t>公司独立性不构成影响</w:t>
      </w:r>
      <w:r>
        <w:rPr>
          <w:rFonts w:hint="eastAsia" w:ascii="宋体" w:hAnsi="宋体" w:eastAsia="宋体" w:cs="Times New Roman"/>
          <w:sz w:val="24"/>
          <w:szCs w:val="24"/>
        </w:rPr>
        <w:t>，不存在损害非关联股东利益的情况。</w:t>
      </w:r>
    </w:p>
    <w:p>
      <w:pPr>
        <w:snapToGrid w:val="0"/>
        <w:spacing w:line="360" w:lineRule="auto"/>
        <w:ind w:firstLine="354" w:firstLineChars="147"/>
        <w:outlineLvl w:val="0"/>
        <w:rPr>
          <w:rFonts w:ascii="宋体" w:hAnsi="宋体"/>
          <w:b/>
          <w:sz w:val="24"/>
          <w:szCs w:val="24"/>
          <w:highlight w:val="none"/>
        </w:rPr>
      </w:pPr>
      <w:r>
        <w:rPr>
          <w:rFonts w:hint="eastAsia" w:ascii="宋体" w:hAnsi="宋体"/>
          <w:b/>
          <w:sz w:val="24"/>
          <w:szCs w:val="24"/>
          <w:highlight w:val="none"/>
          <w:lang w:eastAsia="zh-CN"/>
        </w:rPr>
        <w:t>五</w:t>
      </w:r>
      <w:r>
        <w:rPr>
          <w:rFonts w:hint="eastAsia" w:ascii="宋体" w:hAnsi="宋体"/>
          <w:b/>
          <w:sz w:val="24"/>
          <w:szCs w:val="24"/>
          <w:highlight w:val="none"/>
        </w:rPr>
        <w:t>、关联交易的目的及对上市公司的影响</w:t>
      </w:r>
    </w:p>
    <w:p>
      <w:pPr>
        <w:snapToGrid w:val="0"/>
        <w:spacing w:line="360" w:lineRule="auto"/>
        <w:ind w:left="0" w:leftChars="0" w:firstLine="420" w:firstLineChars="175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一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交易的必要性、持续性</w:t>
      </w:r>
    </w:p>
    <w:p>
      <w:p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2"/>
        </w:rPr>
      </w:pPr>
      <w:r>
        <w:rPr>
          <w:rFonts w:hint="default" w:ascii="Times New Roman" w:hAnsi="Times New Roman" w:eastAsia="宋体" w:cs="Times New Roman"/>
          <w:sz w:val="24"/>
          <w:szCs w:val="22"/>
        </w:rPr>
        <w:t>公司主要从事以公钥基础设施PKI（Public Key Infrastructure）为核心的商用密码软件产品的研发、生产和销售及服务业务，为用户提供基于PKI的信息安全系列产品、安全服务和信息安全整体解决方案。</w:t>
      </w:r>
    </w:p>
    <w:p>
      <w:p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2"/>
        </w:rPr>
      </w:pPr>
      <w:r>
        <w:rPr>
          <w:rFonts w:hint="default" w:ascii="Times New Roman" w:hAnsi="Times New Roman" w:eastAsia="宋体" w:cs="Times New Roman"/>
          <w:sz w:val="24"/>
          <w:szCs w:val="22"/>
        </w:rPr>
        <w:t>新疆</w:t>
      </w:r>
      <w:r>
        <w:rPr>
          <w:rFonts w:hint="eastAsia" w:cs="Times New Roman"/>
          <w:sz w:val="24"/>
          <w:szCs w:val="22"/>
          <w:lang w:val="en-US" w:eastAsia="zh-CN"/>
        </w:rPr>
        <w:t>CA</w:t>
      </w:r>
      <w:r>
        <w:rPr>
          <w:rFonts w:hint="default" w:ascii="Times New Roman" w:hAnsi="Times New Roman" w:eastAsia="宋体" w:cs="Times New Roman"/>
          <w:sz w:val="24"/>
          <w:szCs w:val="22"/>
        </w:rPr>
        <w:t>与浙江</w:t>
      </w:r>
      <w:r>
        <w:rPr>
          <w:rFonts w:hint="eastAsia" w:cs="Times New Roman"/>
          <w:sz w:val="24"/>
          <w:szCs w:val="22"/>
          <w:lang w:val="en-US" w:eastAsia="zh-CN"/>
        </w:rPr>
        <w:t>CA</w:t>
      </w:r>
      <w:r>
        <w:rPr>
          <w:rFonts w:hint="default" w:ascii="Times New Roman" w:hAnsi="Times New Roman" w:eastAsia="宋体" w:cs="Times New Roman"/>
          <w:sz w:val="24"/>
          <w:szCs w:val="22"/>
        </w:rPr>
        <w:t>为格尔软件的联营公司，均主要从事网上合法身份认证、电子签名等电子认证服务，格尔汽车从事汽车零部件的生产与销售业务。上述企业在日常经营中需要网络安全方面的服务支撑与保障。</w:t>
      </w:r>
    </w:p>
    <w:p>
      <w:p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上海</w:t>
      </w:r>
      <w:r>
        <w:rPr>
          <w:rFonts w:hint="default" w:ascii="Times New Roman" w:hAnsi="Times New Roman" w:eastAsia="宋体" w:cs="Times New Roman"/>
          <w:sz w:val="24"/>
          <w:szCs w:val="22"/>
        </w:rPr>
        <w:t>芯钛在构建车联网安全体系中，需要采用专用合规的服务端密码产品提升整体安全，因此需要采购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公司</w:t>
      </w:r>
      <w:r>
        <w:rPr>
          <w:rFonts w:hint="default" w:ascii="Times New Roman" w:hAnsi="Times New Roman" w:eastAsia="宋体" w:cs="Times New Roman"/>
          <w:sz w:val="24"/>
          <w:szCs w:val="22"/>
        </w:rPr>
        <w:t>相关面向车联网的PKI产品、数字认证系统、网关等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密码安全产品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。</w:t>
      </w:r>
    </w:p>
    <w:p>
      <w:p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公司</w:t>
      </w:r>
      <w:r>
        <w:rPr>
          <w:rFonts w:hint="default" w:ascii="Times New Roman" w:hAnsi="Times New Roman" w:eastAsia="宋体" w:cs="Times New Roman"/>
          <w:sz w:val="24"/>
          <w:szCs w:val="22"/>
        </w:rPr>
        <w:t>面向工控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2"/>
        </w:rPr>
        <w:t>车联等物联领域，提供完整地密码+安全服务体系，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包括</w:t>
      </w:r>
      <w:r>
        <w:rPr>
          <w:rFonts w:hint="default" w:ascii="Times New Roman" w:hAnsi="Times New Roman" w:eastAsia="宋体" w:cs="Times New Roman"/>
          <w:sz w:val="24"/>
          <w:szCs w:val="22"/>
        </w:rPr>
        <w:t>硬件计算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2"/>
        </w:rPr>
        <w:t>服务支撑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2"/>
        </w:rPr>
        <w:t>服务平台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的整体建设</w:t>
      </w:r>
      <w:r>
        <w:rPr>
          <w:rFonts w:hint="default" w:ascii="Times New Roman" w:hAnsi="Times New Roman" w:eastAsia="宋体" w:cs="Times New Roman"/>
          <w:sz w:val="24"/>
          <w:szCs w:val="22"/>
        </w:rPr>
        <w:t>，因此需要采购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上海</w:t>
      </w:r>
      <w:r>
        <w:rPr>
          <w:rFonts w:hint="default" w:ascii="Times New Roman" w:hAnsi="Times New Roman" w:eastAsia="宋体" w:cs="Times New Roman"/>
          <w:sz w:val="24"/>
          <w:szCs w:val="22"/>
        </w:rPr>
        <w:t>芯钛的芯片及模组，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以</w:t>
      </w:r>
      <w:r>
        <w:rPr>
          <w:rFonts w:hint="default" w:ascii="Times New Roman" w:hAnsi="Times New Roman" w:eastAsia="宋体" w:cs="Times New Roman"/>
          <w:sz w:val="24"/>
          <w:szCs w:val="22"/>
        </w:rPr>
        <w:t>满足车规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2"/>
        </w:rPr>
        <w:t>工规等实际使用环境要求和业务需求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。</w:t>
      </w:r>
    </w:p>
    <w:p>
      <w:pPr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公司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面向政务、企业客户，提供完整的数据保护解决方案，因此需要采购网云飞的加密存储产品，以满足客户的业务需求</w:t>
      </w:r>
      <w:r>
        <w:rPr>
          <w:rFonts w:hint="eastAsia" w:cs="Times New Roman"/>
          <w:sz w:val="24"/>
          <w:szCs w:val="22"/>
          <w:lang w:eastAsia="zh-CN"/>
        </w:rPr>
        <w:t>。</w:t>
      </w:r>
    </w:p>
    <w:p>
      <w:pPr>
        <w:snapToGrid w:val="0"/>
        <w:spacing w:line="360" w:lineRule="auto"/>
        <w:ind w:left="0" w:leftChars="0" w:firstLine="420" w:firstLineChars="175"/>
        <w:rPr>
          <w:rFonts w:hint="eastAsia" w:ascii="宋体" w:hAnsi="宋体" w:eastAsia="宋体" w:cs="宋体"/>
          <w:sz w:val="24"/>
          <w:szCs w:val="22"/>
        </w:rPr>
      </w:pPr>
      <w:r>
        <w:rPr>
          <w:rFonts w:hint="default" w:ascii="Times New Roman" w:hAnsi="Times New Roman" w:eastAsia="宋体" w:cs="Times New Roman"/>
          <w:sz w:val="24"/>
          <w:szCs w:val="22"/>
        </w:rPr>
        <w:t>公司以及下属子公司在日常经营中，根据实际需要与关联企业签订销售商品、提供技术服务的合同</w:t>
      </w:r>
      <w:r>
        <w:rPr>
          <w:rFonts w:hint="default" w:ascii="Times New Roman" w:hAnsi="Times New Roman" w:eastAsia="宋体" w:cs="Times New Roman"/>
          <w:sz w:val="24"/>
          <w:szCs w:val="22"/>
          <w:highlight w:val="none"/>
        </w:rPr>
        <w:t>。20</w:t>
      </w:r>
      <w:r>
        <w:rPr>
          <w:rFonts w:hint="default" w:ascii="Times New Roman" w:hAnsi="Times New Roman" w:eastAsia="宋体" w:cs="Times New Roman"/>
          <w:sz w:val="24"/>
          <w:szCs w:val="22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2"/>
          <w:highlight w:val="none"/>
        </w:rPr>
        <w:t>年度，公司向新疆CA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2"/>
          <w:highlight w:val="none"/>
        </w:rPr>
        <w:t>浙江CA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eastAsia="zh-CN"/>
        </w:rPr>
        <w:t>、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val="en-US" w:eastAsia="zh-CN"/>
        </w:rPr>
        <w:t>上海芯钛</w:t>
      </w:r>
      <w:r>
        <w:rPr>
          <w:rFonts w:hint="default" w:ascii="Times New Roman" w:hAnsi="Times New Roman" w:eastAsia="宋体" w:cs="Times New Roman"/>
          <w:sz w:val="24"/>
          <w:szCs w:val="22"/>
          <w:highlight w:val="none"/>
        </w:rPr>
        <w:t>销售了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val="en-US" w:eastAsia="zh-CN"/>
        </w:rPr>
        <w:t>PKI产品、</w:t>
      </w:r>
      <w:r>
        <w:rPr>
          <w:rFonts w:hint="default" w:ascii="Times New Roman" w:hAnsi="Times New Roman" w:eastAsia="宋体" w:cs="Times New Roman"/>
          <w:sz w:val="24"/>
          <w:szCs w:val="22"/>
          <w:highlight w:val="none"/>
        </w:rPr>
        <w:t>数字证书认证系统、网关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val="en-US" w:eastAsia="zh-CN"/>
        </w:rPr>
        <w:t>等产品</w:t>
      </w:r>
      <w:r>
        <w:rPr>
          <w:rFonts w:hint="default" w:ascii="Times New Roman" w:hAnsi="Times New Roman" w:eastAsia="宋体" w:cs="Times New Roman"/>
          <w:sz w:val="24"/>
          <w:szCs w:val="22"/>
        </w:rPr>
        <w:t>。20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2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2"/>
        </w:rPr>
        <w:t>年度，公司预计仍将向新疆CA、浙江CA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、</w:t>
      </w:r>
      <w:r>
        <w:rPr>
          <w:rFonts w:hint="eastAsia" w:ascii="Times New Roman" w:hAnsi="Times New Roman" w:cs="Times New Roman"/>
          <w:sz w:val="24"/>
          <w:szCs w:val="22"/>
          <w:lang w:val="en-US" w:eastAsia="zh-CN"/>
        </w:rPr>
        <w:t>上海芯钛</w:t>
      </w:r>
      <w:r>
        <w:rPr>
          <w:rFonts w:hint="default" w:ascii="Times New Roman" w:hAnsi="Times New Roman" w:eastAsia="宋体" w:cs="Times New Roman"/>
          <w:sz w:val="24"/>
          <w:szCs w:val="22"/>
        </w:rPr>
        <w:t>以及格尔汽车销售网关、数字证书认证系统等商品</w:t>
      </w:r>
      <w:r>
        <w:rPr>
          <w:rFonts w:hint="default" w:ascii="Times New Roman" w:hAnsi="Times New Roman" w:eastAsia="宋体" w:cs="Times New Roman"/>
          <w:sz w:val="24"/>
          <w:szCs w:val="22"/>
          <w:lang w:eastAsia="zh-CN"/>
        </w:rPr>
        <w:t>；</w:t>
      </w:r>
      <w:r>
        <w:rPr>
          <w:rFonts w:hint="default" w:ascii="Times New Roman" w:hAnsi="Times New Roman" w:eastAsia="宋体" w:cs="Times New Roman"/>
          <w:sz w:val="24"/>
          <w:szCs w:val="22"/>
          <w:lang w:val="en-US" w:eastAsia="zh-CN"/>
        </w:rPr>
        <w:t>向上海芯钛采购芯片、密码模组、软件可售业务系统</w:t>
      </w:r>
      <w:r>
        <w:rPr>
          <w:rFonts w:hint="eastAsia" w:ascii="Times New Roman" w:hAnsi="Times New Roman" w:cs="Times New Roman"/>
          <w:sz w:val="24"/>
          <w:szCs w:val="22"/>
          <w:lang w:val="en-US" w:eastAsia="zh-CN"/>
        </w:rPr>
        <w:t>；向网云飞采购加密存储</w:t>
      </w:r>
      <w:r>
        <w:rPr>
          <w:rFonts w:hint="default" w:ascii="Times New Roman" w:hAnsi="Times New Roman" w:eastAsia="宋体" w:cs="Times New Roman"/>
          <w:sz w:val="24"/>
          <w:szCs w:val="22"/>
        </w:rPr>
        <w:t>。上述交易价格以市场价格为依据，由双方协商确定价格，与其他非关联方的服务价格基本一致，价格公允。</w:t>
      </w:r>
    </w:p>
    <w:p>
      <w:pPr>
        <w:snapToGrid w:val="0"/>
        <w:spacing w:line="360" w:lineRule="auto"/>
        <w:ind w:left="0" w:leftChars="0" w:firstLine="420" w:firstLineChars="175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（二）交易的公允性</w:t>
      </w:r>
    </w:p>
    <w:p>
      <w:pPr>
        <w:snapToGrid w:val="0"/>
        <w:spacing w:line="360" w:lineRule="auto"/>
        <w:ind w:left="0" w:leftChars="0" w:firstLine="420" w:firstLineChars="175"/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上述日常关联交易价格按市场价格确定，故定价</w:t>
      </w:r>
      <w:r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</w:rPr>
        <w:t>公允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、</w:t>
      </w:r>
      <w:r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</w:rPr>
        <w:t>合理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，关联交易不存在损害公司及其股东特别是中、小股东利益的情形。</w:t>
      </w:r>
    </w:p>
    <w:p>
      <w:pPr>
        <w:snapToGrid w:val="0"/>
        <w:spacing w:line="360" w:lineRule="auto"/>
        <w:ind w:left="0" w:leftChars="0" w:firstLine="420" w:firstLineChars="175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（三）交易对公司独立性的影响</w:t>
      </w:r>
    </w:p>
    <w:p>
      <w:pPr>
        <w:snapToGrid w:val="0"/>
        <w:spacing w:line="360" w:lineRule="auto"/>
        <w:ind w:left="0" w:leftChars="0" w:firstLine="420" w:firstLineChars="175"/>
        <w:rPr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公司的产品和业务模式导致的上述日常关联交易必要且持续，不影响公司的独立性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。</w:t>
      </w:r>
      <w:r>
        <w:rPr>
          <w:rFonts w:hint="eastAsia" w:ascii="Calibri" w:hAnsi="Calibri" w:eastAsia="宋体" w:cs="Times New Roman"/>
          <w:b w:val="0"/>
          <w:bCs/>
          <w:sz w:val="24"/>
          <w:szCs w:val="24"/>
        </w:rPr>
        <w:t>公</w:t>
      </w:r>
      <w:r>
        <w:rPr>
          <w:rFonts w:hint="eastAsia" w:ascii="Calibri" w:hAnsi="Calibri" w:eastAsia="宋体" w:cs="Times New Roman"/>
          <w:sz w:val="24"/>
          <w:szCs w:val="24"/>
        </w:rPr>
        <w:t>司相对于控股股东及其他各关联方，在业务、人员、资产、机构、财务等方面独立，上述关联交易不会对公司的独立性产生不利影响，公司主营业务不会因此类交易而对关联人形成依赖。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napToGrid w:val="0"/>
        <w:spacing w:line="360" w:lineRule="auto"/>
        <w:ind w:firstLine="354" w:firstLineChars="147"/>
        <w:textAlignment w:val="auto"/>
        <w:rPr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lang w:eastAsia="zh-CN"/>
        </w:rPr>
        <w:t>六</w:t>
      </w:r>
      <w:r>
        <w:rPr>
          <w:rFonts w:hint="eastAsia"/>
          <w:b/>
          <w:bCs/>
          <w:sz w:val="24"/>
          <w:szCs w:val="24"/>
          <w:highlight w:val="none"/>
        </w:rPr>
        <w:t>、保荐机构的核查意见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napToGrid w:val="0"/>
        <w:spacing w:before="0" w:beforeLines="0"/>
        <w:ind w:firstLine="480"/>
        <w:textAlignment w:val="auto"/>
      </w:pPr>
      <w:r>
        <w:rPr>
          <w:rFonts w:hint="eastAsia"/>
        </w:rPr>
        <w:t>经核查，</w:t>
      </w:r>
      <w:r>
        <w:rPr>
          <w:rFonts w:hint="eastAsia"/>
          <w:lang w:val="en-US" w:eastAsia="zh-CN"/>
        </w:rPr>
        <w:t>公司</w:t>
      </w:r>
      <w:r>
        <w:rPr>
          <w:rFonts w:hint="eastAsia"/>
        </w:rPr>
        <w:t>保荐机构</w:t>
      </w:r>
      <w:r>
        <w:rPr>
          <w:rFonts w:hint="eastAsia"/>
          <w:lang w:val="en-US" w:eastAsia="zh-CN"/>
        </w:rPr>
        <w:t>中信证券股份有限公司</w:t>
      </w:r>
      <w:r>
        <w:rPr>
          <w:rFonts w:hint="eastAsia"/>
        </w:rPr>
        <w:t>认为：公司</w:t>
      </w:r>
      <w:r>
        <w:t>2021年度日常关联交易</w:t>
      </w:r>
      <w:r>
        <w:rPr>
          <w:rFonts w:hint="eastAsia"/>
        </w:rPr>
        <w:t>和预计</w:t>
      </w:r>
      <w:r>
        <w:t>2022年度日常关联交易事项已经</w:t>
      </w:r>
      <w:r>
        <w:rPr>
          <w:rFonts w:hint="eastAsia"/>
        </w:rPr>
        <w:t>第七届董事会第二十三次会议</w:t>
      </w:r>
      <w:r>
        <w:t>和</w:t>
      </w:r>
      <w:r>
        <w:rPr>
          <w:rFonts w:hint="eastAsia"/>
        </w:rPr>
        <w:t>第七届监事会第二十次会议</w:t>
      </w:r>
      <w:r>
        <w:t>审议通过，独立董事发表了独立意见，关联董事遵守了回避制度，履行了必要的决策程序，符合有关法</w:t>
      </w:r>
      <w:bookmarkStart w:id="1" w:name="_GoBack"/>
      <w:bookmarkEnd w:id="1"/>
      <w:r>
        <w:t>律法规和《公司章程》的规定；公司与上述关联方发生的关联交易按照公平、公正的原则，依据市场公允价格协商确定，没有损害公司和非关联股东的利益，不会对公司的独立性产生影响。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ascii="Times New Roman" w:hAnsi="Times New Roman" w:cstheme="minorBidi"/>
          <w:bCs/>
          <w:color w:val="000000"/>
          <w:kern w:val="2"/>
          <w:sz w:val="24"/>
          <w:szCs w:val="24"/>
          <w:lang w:val="en-US" w:bidi="ar-SA"/>
        </w:rPr>
      </w:pPr>
      <w:r>
        <w:rPr>
          <w:rFonts w:hint="eastAsia" w:ascii="Times New Roman" w:hAnsi="Times New Roman" w:cstheme="minorBidi"/>
          <w:bCs/>
          <w:color w:val="000000"/>
          <w:kern w:val="2"/>
          <w:sz w:val="24"/>
          <w:szCs w:val="24"/>
          <w:lang w:val="en-US" w:bidi="ar-SA"/>
        </w:rPr>
        <w:t>综上，</w:t>
      </w:r>
      <w:r>
        <w:rPr>
          <w:rFonts w:ascii="Times New Roman" w:hAnsi="Times New Roman" w:cstheme="minorBidi"/>
          <w:bCs/>
          <w:color w:val="000000"/>
          <w:kern w:val="2"/>
          <w:sz w:val="24"/>
          <w:szCs w:val="24"/>
          <w:lang w:val="en-US" w:bidi="ar-SA"/>
        </w:rPr>
        <w:t>本保荐机构对公司2021年度日常关联交易</w:t>
      </w:r>
      <w:r>
        <w:rPr>
          <w:rFonts w:hint="eastAsia" w:ascii="Times New Roman" w:hAnsi="Times New Roman" w:cstheme="minorBidi"/>
          <w:bCs/>
          <w:color w:val="000000"/>
          <w:kern w:val="2"/>
          <w:sz w:val="24"/>
          <w:szCs w:val="24"/>
          <w:lang w:val="en-US" w:bidi="ar-SA"/>
        </w:rPr>
        <w:t>和</w:t>
      </w:r>
      <w:r>
        <w:rPr>
          <w:rFonts w:ascii="Times New Roman" w:hAnsi="Times New Roman" w:cstheme="minorBidi"/>
          <w:bCs/>
          <w:color w:val="000000"/>
          <w:kern w:val="2"/>
          <w:sz w:val="24"/>
          <w:szCs w:val="24"/>
          <w:lang w:val="en-US" w:bidi="ar-SA"/>
        </w:rPr>
        <w:t>预计2022年度日常关联交易事项无异议。</w:t>
      </w:r>
    </w:p>
    <w:p>
      <w:pPr>
        <w:snapToGrid w:val="0"/>
        <w:spacing w:line="360" w:lineRule="auto"/>
        <w:ind w:firstLine="447" w:firstLineChars="159"/>
        <w:outlineLvl w:val="0"/>
        <w:rPr>
          <w:rFonts w:ascii="宋体" w:hAnsi="宋体"/>
          <w:b/>
          <w:sz w:val="28"/>
          <w:szCs w:val="28"/>
          <w:highlight w:val="none"/>
        </w:rPr>
      </w:pPr>
      <w:r>
        <w:rPr>
          <w:rFonts w:hint="eastAsia" w:ascii="宋体" w:hAnsi="宋体"/>
          <w:b/>
          <w:sz w:val="28"/>
          <w:szCs w:val="28"/>
          <w:highlight w:val="none"/>
        </w:rPr>
        <w:t>六、备查文件</w:t>
      </w:r>
    </w:p>
    <w:p>
      <w:pPr>
        <w:snapToGrid w:val="0"/>
        <w:spacing w:line="360" w:lineRule="auto"/>
        <w:ind w:firstLine="540" w:firstLineChars="225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1.《格尔软件股份有限公司第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七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届董事会第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二十三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次会议决议》</w:t>
      </w:r>
    </w:p>
    <w:p>
      <w:pPr>
        <w:snapToGrid w:val="0"/>
        <w:spacing w:line="360" w:lineRule="auto"/>
        <w:ind w:firstLine="540" w:firstLineChars="225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2.《格尔软件股份有限公司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独立董事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关于公司第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七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届董事会第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二十三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次会议相关事项的事前认可书》</w:t>
      </w:r>
    </w:p>
    <w:p>
      <w:pPr>
        <w:snapToGrid w:val="0"/>
        <w:spacing w:line="360" w:lineRule="auto"/>
        <w:ind w:firstLine="540" w:firstLineChars="225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3.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《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格尔软件股份有限公司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独立董事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关于公司第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七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届董事会第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二十三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次会议相关事项的独立意见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》</w:t>
      </w:r>
    </w:p>
    <w:p>
      <w:pPr>
        <w:snapToGrid w:val="0"/>
        <w:spacing w:line="360" w:lineRule="auto"/>
        <w:ind w:firstLine="540" w:firstLineChars="225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4.《格尔软件股份有限公司第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七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届董事会审计委员会第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十二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次会议决议》</w:t>
      </w:r>
    </w:p>
    <w:p>
      <w:pPr>
        <w:snapToGrid w:val="0"/>
        <w:spacing w:line="360" w:lineRule="auto"/>
        <w:ind w:firstLine="540" w:firstLineChars="225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5.《中信证券股份有限公司关于格尔软件股份有限公司202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年度日常关联交易及预计202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年度日常关联交易的核查意见》</w:t>
      </w:r>
    </w:p>
    <w:p>
      <w:pPr>
        <w:snapToGrid w:val="0"/>
        <w:spacing w:line="360" w:lineRule="auto"/>
        <w:ind w:firstLine="540" w:firstLineChars="225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特此公告。</w:t>
      </w:r>
    </w:p>
    <w:p>
      <w:pPr>
        <w:snapToGrid w:val="0"/>
        <w:spacing w:line="360" w:lineRule="auto"/>
        <w:ind w:firstLine="540" w:firstLineChars="225"/>
        <w:rPr>
          <w:rFonts w:ascii="宋体" w:hAnsi="宋体"/>
          <w:sz w:val="24"/>
          <w:szCs w:val="24"/>
          <w:highlight w:val="yellow"/>
        </w:rPr>
      </w:pPr>
    </w:p>
    <w:p>
      <w:pPr>
        <w:snapToGrid w:val="0"/>
        <w:spacing w:line="360" w:lineRule="auto"/>
        <w:ind w:firstLine="600"/>
        <w:jc w:val="right"/>
        <w:rPr>
          <w:rFonts w:hint="eastAsia" w:ascii="宋体" w:hAnsi="宋体" w:eastAsia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sz w:val="24"/>
          <w:szCs w:val="24"/>
          <w:highlight w:val="none"/>
        </w:rPr>
        <w:t>格尔软件股份有限公司</w:t>
      </w:r>
      <w:r>
        <w:rPr>
          <w:rFonts w:hint="eastAsia" w:ascii="宋体" w:hAnsi="宋体"/>
          <w:sz w:val="24"/>
          <w:szCs w:val="24"/>
          <w:highlight w:val="none"/>
          <w:lang w:eastAsia="zh-CN"/>
        </w:rPr>
        <w:t>董事会</w:t>
      </w:r>
    </w:p>
    <w:p>
      <w:pPr>
        <w:snapToGrid w:val="0"/>
        <w:spacing w:line="360" w:lineRule="auto"/>
        <w:ind w:firstLine="600"/>
        <w:jc w:val="right"/>
        <w:rPr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20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年4月2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日</w:t>
      </w:r>
    </w:p>
    <w:p/>
    <w:sectPr>
      <w:footerReference r:id="rId3" w:type="default"/>
      <w:footerReference r:id="rId4" w:type="even"/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5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100CFD"/>
    <w:multiLevelType w:val="singleLevel"/>
    <w:tmpl w:val="E2100CFD"/>
    <w:lvl w:ilvl="0" w:tentative="0">
      <w:start w:val="2"/>
      <w:numFmt w:val="decimal"/>
      <w:suff w:val="nothing"/>
      <w:lvlText w:val="%1）"/>
      <w:lvlJc w:val="left"/>
    </w:lvl>
  </w:abstractNum>
  <w:abstractNum w:abstractNumId="1">
    <w:nsid w:val="1A49ED19"/>
    <w:multiLevelType w:val="singleLevel"/>
    <w:tmpl w:val="1A49ED19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455CA0C7"/>
    <w:multiLevelType w:val="singleLevel"/>
    <w:tmpl w:val="455CA0C7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5801656F"/>
    <w:multiLevelType w:val="multilevel"/>
    <w:tmpl w:val="5801656F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4">
    <w:nsid w:val="686E5C84"/>
    <w:multiLevelType w:val="singleLevel"/>
    <w:tmpl w:val="686E5C84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709E10EE"/>
    <w:multiLevelType w:val="singleLevel"/>
    <w:tmpl w:val="709E10EE"/>
    <w:lvl w:ilvl="0" w:tentative="0">
      <w:start w:val="1"/>
      <w:numFmt w:val="decimal"/>
      <w:lvlText w:val="%1."/>
      <w:lvlJc w:val="left"/>
      <w:pPr>
        <w:ind w:left="423" w:hanging="425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852FE"/>
    <w:rsid w:val="00491A48"/>
    <w:rsid w:val="018E4822"/>
    <w:rsid w:val="027576DF"/>
    <w:rsid w:val="02AF4FED"/>
    <w:rsid w:val="049C0D81"/>
    <w:rsid w:val="04BC2DF0"/>
    <w:rsid w:val="04BD6B13"/>
    <w:rsid w:val="050F3BF1"/>
    <w:rsid w:val="051D5553"/>
    <w:rsid w:val="05202816"/>
    <w:rsid w:val="05B5678A"/>
    <w:rsid w:val="07832D9E"/>
    <w:rsid w:val="083E47F0"/>
    <w:rsid w:val="08977F70"/>
    <w:rsid w:val="08C60F31"/>
    <w:rsid w:val="097203F7"/>
    <w:rsid w:val="0980077D"/>
    <w:rsid w:val="0AC149D4"/>
    <w:rsid w:val="0BC4590D"/>
    <w:rsid w:val="0BE8347C"/>
    <w:rsid w:val="0E9F76CF"/>
    <w:rsid w:val="0EA140B8"/>
    <w:rsid w:val="0F34760A"/>
    <w:rsid w:val="0FBD3F46"/>
    <w:rsid w:val="100E2521"/>
    <w:rsid w:val="109B53FF"/>
    <w:rsid w:val="11535FD3"/>
    <w:rsid w:val="11B55FCB"/>
    <w:rsid w:val="11FA498B"/>
    <w:rsid w:val="15462F97"/>
    <w:rsid w:val="15E54F66"/>
    <w:rsid w:val="17391ED0"/>
    <w:rsid w:val="17965A93"/>
    <w:rsid w:val="17A17C4F"/>
    <w:rsid w:val="17E62CEF"/>
    <w:rsid w:val="1A041605"/>
    <w:rsid w:val="1BA4388E"/>
    <w:rsid w:val="1C7D2391"/>
    <w:rsid w:val="1CF729AB"/>
    <w:rsid w:val="1D36117A"/>
    <w:rsid w:val="1DE640C3"/>
    <w:rsid w:val="1E125A00"/>
    <w:rsid w:val="1F6C3676"/>
    <w:rsid w:val="22551099"/>
    <w:rsid w:val="26340D10"/>
    <w:rsid w:val="270B20C1"/>
    <w:rsid w:val="29A7485D"/>
    <w:rsid w:val="2DF44503"/>
    <w:rsid w:val="2E4E7A2B"/>
    <w:rsid w:val="2E80779D"/>
    <w:rsid w:val="2EF4476A"/>
    <w:rsid w:val="2F8156B1"/>
    <w:rsid w:val="3340749F"/>
    <w:rsid w:val="346218FF"/>
    <w:rsid w:val="34E7249A"/>
    <w:rsid w:val="38D05A6D"/>
    <w:rsid w:val="390212BA"/>
    <w:rsid w:val="397D10DC"/>
    <w:rsid w:val="39B02A11"/>
    <w:rsid w:val="3AF7441B"/>
    <w:rsid w:val="3BD6080F"/>
    <w:rsid w:val="3C295A99"/>
    <w:rsid w:val="3EE1443F"/>
    <w:rsid w:val="3EE71B36"/>
    <w:rsid w:val="3EFB2631"/>
    <w:rsid w:val="3F1852FE"/>
    <w:rsid w:val="40461D28"/>
    <w:rsid w:val="40502228"/>
    <w:rsid w:val="42FD048C"/>
    <w:rsid w:val="432B625C"/>
    <w:rsid w:val="433B62FA"/>
    <w:rsid w:val="43426F87"/>
    <w:rsid w:val="46105A78"/>
    <w:rsid w:val="48000720"/>
    <w:rsid w:val="49721DBB"/>
    <w:rsid w:val="4A0E310F"/>
    <w:rsid w:val="4AFD1F57"/>
    <w:rsid w:val="4B501A2D"/>
    <w:rsid w:val="4C565D83"/>
    <w:rsid w:val="4CAD5B18"/>
    <w:rsid w:val="516C6209"/>
    <w:rsid w:val="517639BB"/>
    <w:rsid w:val="535251AA"/>
    <w:rsid w:val="549A5A7A"/>
    <w:rsid w:val="56FD7F32"/>
    <w:rsid w:val="59DB62D9"/>
    <w:rsid w:val="5BE2419D"/>
    <w:rsid w:val="5C646231"/>
    <w:rsid w:val="604E6A0A"/>
    <w:rsid w:val="609A26F5"/>
    <w:rsid w:val="61FC78BC"/>
    <w:rsid w:val="62052DFA"/>
    <w:rsid w:val="64274C3E"/>
    <w:rsid w:val="66066C4D"/>
    <w:rsid w:val="6736715E"/>
    <w:rsid w:val="67BF6746"/>
    <w:rsid w:val="683A721E"/>
    <w:rsid w:val="688A543D"/>
    <w:rsid w:val="68BA5CE9"/>
    <w:rsid w:val="692A202C"/>
    <w:rsid w:val="69760C36"/>
    <w:rsid w:val="6B797D08"/>
    <w:rsid w:val="6B7F203F"/>
    <w:rsid w:val="6C360C93"/>
    <w:rsid w:val="6DBF37EC"/>
    <w:rsid w:val="6E471F02"/>
    <w:rsid w:val="70BD7855"/>
    <w:rsid w:val="716E7BB1"/>
    <w:rsid w:val="719075B7"/>
    <w:rsid w:val="71A20518"/>
    <w:rsid w:val="71B01156"/>
    <w:rsid w:val="73911D1F"/>
    <w:rsid w:val="75A620CB"/>
    <w:rsid w:val="76CC503A"/>
    <w:rsid w:val="776179CD"/>
    <w:rsid w:val="77DF0711"/>
    <w:rsid w:val="7A656D7F"/>
    <w:rsid w:val="7A75045A"/>
    <w:rsid w:val="7BEB393A"/>
    <w:rsid w:val="7F9F099F"/>
    <w:rsid w:val="7FD7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005正文"/>
    <w:basedOn w:val="1"/>
    <w:qFormat/>
    <w:uiPriority w:val="0"/>
    <w:pPr>
      <w:autoSpaceDE/>
      <w:autoSpaceDN/>
      <w:snapToGrid w:val="0"/>
      <w:spacing w:before="50" w:beforeLines="50" w:line="360" w:lineRule="auto"/>
      <w:ind w:firstLine="200" w:firstLineChars="200"/>
      <w:jc w:val="both"/>
    </w:pPr>
    <w:rPr>
      <w:rFonts w:ascii="Times New Roman" w:hAnsi="Times New Roman" w:cs="Times New Roman"/>
      <w:kern w:val="2"/>
      <w:sz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4062</Words>
  <Characters>4531</Characters>
  <Lines>0</Lines>
  <Paragraphs>0</Paragraphs>
  <TotalTime>13</TotalTime>
  <ScaleCrop>false</ScaleCrop>
  <LinksUpToDate>false</LinksUpToDate>
  <CharactersWithSpaces>4560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2022-03-08T01:15:00Z</dcterms:created>
  <dc:creator>邹岩</dc:creator>
  <cp:lastModifiedBy>邹岩</cp:lastModifiedBy>
  <dcterms:modified xsi:type="dcterms:W3CDTF">2022-04-24T08:42:35Z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40F3D6E8C6EA4C98B04EBB333FEB19DB</vt:lpwstr>
  </property>
  <property fmtid="{D5CDD505-2E9C-101B-9397-08002B2CF9AE}" pid="4" name="commondata">
    <vt:lpwstr>eyJoZGlkIjoiZWUyYWQ5MTRiODJkMzMyNTEyOWUyNjA4ZWY1NmI1OTUifQ==</vt:lpwstr>
  </property>
</Properties>
</file>