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360" w:lineRule="auto"/>
        <w:jc w:val="both"/>
        <w:rPr>
          <w:rFonts w:ascii="宋体" w:hAnsi="宋体" w:cs="宋体"/>
          <w:kern w:val="2"/>
          <w:sz w:val="21"/>
          <w:szCs w:val="21"/>
        </w:rPr>
      </w:pPr>
      <w:r>
        <w:rPr>
          <w:rFonts w:hint="eastAsia" w:ascii="宋体" w:hAnsi="宋体" w:cs="宋体"/>
          <w:kern w:val="2"/>
          <w:sz w:val="21"/>
          <w:szCs w:val="21"/>
        </w:rPr>
        <w:t>证券代码：603232               证券简称：格尔软件            公告编号：2022-059</w:t>
      </w:r>
    </w:p>
    <w:p>
      <w:pPr>
        <w:widowControl w:val="0"/>
        <w:autoSpaceDE w:val="0"/>
        <w:autoSpaceDN w:val="0"/>
        <w:adjustRightInd w:val="0"/>
        <w:spacing w:line="360" w:lineRule="auto"/>
        <w:rPr>
          <w:rFonts w:ascii="宋体" w:hAnsi="宋体" w:cs="宋体"/>
          <w:color w:val="000000"/>
          <w:sz w:val="21"/>
          <w:szCs w:val="21"/>
        </w:rPr>
      </w:pPr>
    </w:p>
    <w:p>
      <w:pPr>
        <w:widowControl w:val="0"/>
        <w:autoSpaceDE w:val="0"/>
        <w:autoSpaceDN w:val="0"/>
        <w:adjustRightInd w:val="0"/>
        <w:spacing w:line="360" w:lineRule="auto"/>
        <w:jc w:val="center"/>
        <w:rPr>
          <w:rFonts w:ascii="宋体" w:hAnsi="宋体" w:cs="宋体"/>
          <w:b/>
          <w:color w:val="FF0000"/>
          <w:sz w:val="36"/>
          <w:szCs w:val="36"/>
        </w:rPr>
      </w:pPr>
      <w:r>
        <w:rPr>
          <w:rFonts w:hint="eastAsia" w:ascii="宋体" w:hAnsi="宋体" w:cs="宋体"/>
          <w:b/>
          <w:color w:val="FF0000"/>
          <w:sz w:val="36"/>
          <w:szCs w:val="36"/>
        </w:rPr>
        <w:t>格尔软件股份有限公司</w:t>
      </w:r>
    </w:p>
    <w:p>
      <w:pPr>
        <w:widowControl w:val="0"/>
        <w:autoSpaceDE w:val="0"/>
        <w:autoSpaceDN w:val="0"/>
        <w:adjustRightInd w:val="0"/>
        <w:spacing w:line="360" w:lineRule="auto"/>
        <w:jc w:val="center"/>
        <w:rPr>
          <w:rFonts w:ascii="宋体" w:hAnsi="宋体" w:cs="宋体"/>
          <w:b/>
          <w:color w:val="FF0000"/>
          <w:sz w:val="36"/>
          <w:szCs w:val="36"/>
        </w:rPr>
      </w:pPr>
      <w:r>
        <w:rPr>
          <w:rFonts w:hint="eastAsia" w:ascii="宋体" w:hAnsi="宋体" w:cs="宋体"/>
          <w:b/>
          <w:color w:val="FF0000"/>
          <w:sz w:val="36"/>
          <w:szCs w:val="36"/>
        </w:rPr>
        <w:t>关于部分募集资金投资项目新增实施主体的公告</w:t>
      </w:r>
    </w:p>
    <w:p>
      <w:pPr>
        <w:widowControl w:val="0"/>
        <w:autoSpaceDE w:val="0"/>
        <w:autoSpaceDN w:val="0"/>
        <w:adjustRightInd w:val="0"/>
        <w:spacing w:line="360" w:lineRule="auto"/>
        <w:jc w:val="center"/>
        <w:rPr>
          <w:rFonts w:ascii="宋体" w:hAnsi="宋体" w:cs="宋体"/>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cs="宋体"/>
        </w:rPr>
      </w:pPr>
      <w:r>
        <w:rPr>
          <w:rFonts w:hint="eastAsia" w:ascii="宋体" w:hAnsi="宋体" w:cs="宋体"/>
        </w:rP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rFonts w:ascii="宋体" w:hAnsi="宋体" w:cs="宋体"/>
          <w:highlight w:val="yellow"/>
        </w:rPr>
      </w:pPr>
    </w:p>
    <w:p>
      <w:pPr>
        <w:adjustRightInd w:val="0"/>
        <w:snapToGrid w:val="0"/>
        <w:spacing w:line="360" w:lineRule="auto"/>
        <w:rPr>
          <w:rFonts w:ascii="宋体" w:hAnsi="宋体" w:cs="宋体"/>
          <w:b/>
        </w:rPr>
      </w:pPr>
      <w:r>
        <w:rPr>
          <w:rFonts w:hint="eastAsia" w:ascii="宋体" w:hAnsi="宋体" w:cs="宋体"/>
          <w:b/>
        </w:rPr>
        <w:t>重要内容提示：</w:t>
      </w:r>
    </w:p>
    <w:p>
      <w:pPr>
        <w:numPr>
          <w:ilvl w:val="0"/>
          <w:numId w:val="1"/>
        </w:numPr>
        <w:spacing w:line="360" w:lineRule="auto"/>
        <w:rPr>
          <w:rFonts w:ascii="宋体" w:hAnsi="宋体" w:cs="宋体"/>
        </w:rPr>
      </w:pPr>
      <w:r>
        <w:rPr>
          <w:rFonts w:hint="eastAsia" w:ascii="宋体" w:hAnsi="宋体" w:cs="宋体"/>
          <w:color w:val="000000"/>
          <w:lang w:bidi="ar"/>
        </w:rPr>
        <w:t>根据格尔软件股份有限公司（以下简称“公司”）募集资金投资项目“智联网安全技术研发与产业化项目”和“下一代数字信任产品研发与产业化项目”实施进展及业务发展情况需要，结合公司投资政策及公司长期战略发展规划，公司拟增加公司全资孙公司上海信元通科技有限公司（以下简称“信元通”）为前述募投项目的实施主体。本次新增募投项目实施主体不改变募集资金投资项目，不属于募集资金用途的变更，不影响募投项目的正常进行，不存在损害股东利益的情形。</w:t>
      </w:r>
    </w:p>
    <w:p>
      <w:pPr>
        <w:numPr>
          <w:ilvl w:val="0"/>
          <w:numId w:val="1"/>
        </w:numPr>
        <w:spacing w:line="360" w:lineRule="auto"/>
        <w:rPr>
          <w:rFonts w:ascii="宋体" w:hAnsi="宋体" w:cs="宋体"/>
        </w:rPr>
      </w:pPr>
      <w:r>
        <w:rPr>
          <w:rFonts w:hint="eastAsia" w:ascii="宋体" w:hAnsi="宋体" w:cs="宋体"/>
        </w:rPr>
        <w:t>本事项已经公司第八届董事会第五次会议及第八届监事会第五次会议审议通过，尚需提交公司股东大会审议。</w:t>
      </w:r>
    </w:p>
    <w:p>
      <w:pPr>
        <w:spacing w:line="360" w:lineRule="auto"/>
        <w:rPr>
          <w:rFonts w:ascii="宋体" w:hAnsi="宋体" w:cs="宋体"/>
        </w:rPr>
      </w:pPr>
    </w:p>
    <w:p>
      <w:pPr>
        <w:spacing w:before="156" w:beforeLines="50" w:after="156" w:afterLines="50" w:line="360" w:lineRule="auto"/>
        <w:ind w:firstLine="420"/>
        <w:rPr>
          <w:rFonts w:ascii="宋体" w:hAnsi="宋体" w:cs="宋体"/>
          <w:b/>
          <w:color w:val="000000"/>
        </w:rPr>
      </w:pPr>
      <w:r>
        <w:rPr>
          <w:rFonts w:hint="eastAsia" w:ascii="宋体" w:hAnsi="宋体" w:cs="宋体"/>
          <w:b/>
          <w:color w:val="000000"/>
        </w:rPr>
        <w:t>一、新增实施主体的募集资金投资项目概述</w:t>
      </w:r>
    </w:p>
    <w:p>
      <w:pPr>
        <w:spacing w:line="360" w:lineRule="auto"/>
        <w:ind w:firstLine="420"/>
        <w:rPr>
          <w:rFonts w:ascii="宋体" w:hAnsi="宋体" w:cs="宋体"/>
          <w:b/>
          <w:bCs/>
        </w:rPr>
      </w:pPr>
      <w:r>
        <w:rPr>
          <w:rFonts w:hint="eastAsia" w:ascii="宋体" w:hAnsi="宋体" w:cs="宋体"/>
          <w:b/>
          <w:bCs/>
        </w:rPr>
        <w:t>（一）募集资金的基本情况</w:t>
      </w:r>
    </w:p>
    <w:p>
      <w:pPr>
        <w:widowControl w:val="0"/>
        <w:snapToGrid w:val="0"/>
        <w:spacing w:line="360" w:lineRule="auto"/>
        <w:ind w:firstLine="420" w:firstLineChars="175"/>
        <w:rPr>
          <w:rFonts w:ascii="宋体" w:hAnsi="宋体" w:cs="宋体"/>
          <w:sz w:val="21"/>
          <w:szCs w:val="21"/>
        </w:rPr>
      </w:pPr>
      <w:r>
        <w:rPr>
          <w:rFonts w:hint="eastAsia" w:ascii="宋体" w:hAnsi="宋体" w:cs="宋体"/>
        </w:rPr>
        <w:t>经中国证券监督管理委员会《关于核准格尔软件股份有限公司非公开发行股票的批复》（证监许可[2020]1328号）核准，公司实际非公开发行人民币A股股票20,901,134股（每股面值1.00元人民币），每股发行价人民币30.85元。本次非公开发行募集资金总额为644,799,983.90元，扣除发行费用人民币8,844,116.58元(不含税)后，募集资金净额为635,955,867.32元。上会会计师事务所(特殊普通合伙)已于2020年8月25日对本次非公开发行的资金到位情况进行了审验，并出具了《验资报告》（上会师报字（2020）第6894号）。非公开发行募集资金到位后，公司和</w:t>
      </w:r>
      <w:r>
        <w:rPr>
          <w:rFonts w:hint="eastAsia" w:ascii="宋体" w:hAnsi="宋体" w:cs="宋体"/>
          <w:bCs/>
          <w:color w:val="000000"/>
          <w:kern w:val="2"/>
        </w:rPr>
        <w:t>中信证券股份有限公司（以下简称“保荐机构”）</w:t>
      </w:r>
      <w:r>
        <w:rPr>
          <w:rFonts w:hint="eastAsia" w:ascii="宋体" w:hAnsi="宋体" w:cs="宋体"/>
        </w:rPr>
        <w:t>与存放募集资金的商业银行签署了募集资金监管协议中国民生银行股份有限公司上海分行签署了《募集资金专户存储三方监管协议》。上述募集资金已全部存放于募集资金专户管理，使用计划如下：</w:t>
      </w:r>
    </w:p>
    <w:p>
      <w:pPr>
        <w:widowControl w:val="0"/>
        <w:snapToGrid w:val="0"/>
        <w:spacing w:line="360" w:lineRule="auto"/>
        <w:ind w:left="6300" w:firstLine="0"/>
        <w:rPr>
          <w:rFonts w:ascii="宋体" w:hAnsi="宋体" w:cs="宋体"/>
          <w:sz w:val="21"/>
          <w:szCs w:val="21"/>
        </w:rPr>
      </w:pPr>
      <w:r>
        <w:rPr>
          <w:rFonts w:hint="eastAsia" w:ascii="宋体" w:hAnsi="宋体" w:cs="宋体"/>
          <w:sz w:val="21"/>
          <w:szCs w:val="21"/>
        </w:rPr>
        <w:t>单位：人民币万元</w:t>
      </w:r>
    </w:p>
    <w:tbl>
      <w:tblPr>
        <w:tblStyle w:val="10"/>
        <w:tblW w:w="4952" w:type="pct"/>
        <w:tblInd w:w="0" w:type="dxa"/>
        <w:tblLayout w:type="autofit"/>
        <w:tblCellMar>
          <w:top w:w="0" w:type="dxa"/>
          <w:left w:w="108" w:type="dxa"/>
          <w:bottom w:w="0" w:type="dxa"/>
          <w:right w:w="108" w:type="dxa"/>
        </w:tblCellMar>
      </w:tblPr>
      <w:tblGrid>
        <w:gridCol w:w="741"/>
        <w:gridCol w:w="3050"/>
        <w:gridCol w:w="2324"/>
        <w:gridCol w:w="2325"/>
      </w:tblGrid>
      <w:tr>
        <w:tblPrEx>
          <w:tblCellMar>
            <w:top w:w="0" w:type="dxa"/>
            <w:left w:w="108" w:type="dxa"/>
            <w:bottom w:w="0" w:type="dxa"/>
            <w:right w:w="108" w:type="dxa"/>
          </w:tblCellMar>
        </w:tblPrEx>
        <w:trPr>
          <w:trHeight w:val="285" w:hRule="atLeast"/>
        </w:trPr>
        <w:tc>
          <w:tcPr>
            <w:tcW w:w="430"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ascii="宋体" w:hAnsi="宋体" w:cs="宋体"/>
                <w:b/>
                <w:color w:val="000000"/>
                <w:sz w:val="21"/>
                <w:szCs w:val="21"/>
              </w:rPr>
            </w:pPr>
            <w:r>
              <w:rPr>
                <w:rFonts w:hint="eastAsia" w:ascii="宋体" w:hAnsi="宋体" w:cs="宋体"/>
                <w:b/>
                <w:color w:val="000000"/>
                <w:sz w:val="21"/>
                <w:szCs w:val="21"/>
              </w:rPr>
              <w:t>序号</w:t>
            </w:r>
          </w:p>
        </w:tc>
        <w:tc>
          <w:tcPr>
            <w:tcW w:w="1810" w:type="pct"/>
            <w:tcBorders>
              <w:top w:val="single" w:color="auto" w:sz="4" w:space="0"/>
              <w:left w:val="nil"/>
              <w:bottom w:val="single" w:color="auto" w:sz="4" w:space="0"/>
              <w:right w:val="single" w:color="auto" w:sz="4" w:space="0"/>
            </w:tcBorders>
            <w:shd w:val="clear" w:color="auto" w:fill="auto"/>
            <w:vAlign w:val="center"/>
          </w:tcPr>
          <w:p>
            <w:pPr>
              <w:spacing w:line="360" w:lineRule="auto"/>
              <w:jc w:val="center"/>
              <w:rPr>
                <w:rFonts w:ascii="宋体" w:hAnsi="宋体" w:cs="宋体"/>
                <w:b/>
                <w:color w:val="000000"/>
                <w:sz w:val="21"/>
                <w:szCs w:val="21"/>
              </w:rPr>
            </w:pPr>
            <w:r>
              <w:rPr>
                <w:rFonts w:hint="eastAsia" w:ascii="宋体" w:hAnsi="宋体" w:cs="宋体"/>
                <w:b/>
                <w:color w:val="000000"/>
                <w:sz w:val="21"/>
                <w:szCs w:val="21"/>
              </w:rPr>
              <w:t>项目名称</w:t>
            </w:r>
          </w:p>
        </w:tc>
        <w:tc>
          <w:tcPr>
            <w:tcW w:w="1380" w:type="pct"/>
            <w:tcBorders>
              <w:top w:val="single" w:color="auto" w:sz="4" w:space="0"/>
              <w:left w:val="nil"/>
              <w:bottom w:val="single" w:color="auto" w:sz="4" w:space="0"/>
              <w:right w:val="single" w:color="auto" w:sz="4" w:space="0"/>
            </w:tcBorders>
            <w:shd w:val="clear" w:color="auto" w:fill="auto"/>
          </w:tcPr>
          <w:p>
            <w:pPr>
              <w:spacing w:line="360" w:lineRule="auto"/>
              <w:jc w:val="center"/>
              <w:rPr>
                <w:rFonts w:ascii="宋体" w:hAnsi="宋体" w:cs="宋体"/>
                <w:b/>
                <w:color w:val="000000"/>
                <w:sz w:val="21"/>
                <w:szCs w:val="21"/>
              </w:rPr>
            </w:pPr>
            <w:r>
              <w:rPr>
                <w:rFonts w:hint="eastAsia" w:ascii="宋体" w:hAnsi="宋体" w:cs="宋体"/>
                <w:b/>
                <w:color w:val="000000"/>
                <w:sz w:val="21"/>
                <w:szCs w:val="21"/>
              </w:rPr>
              <w:t>投资总额</w:t>
            </w:r>
          </w:p>
        </w:tc>
        <w:tc>
          <w:tcPr>
            <w:tcW w:w="1380"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ascii="宋体" w:hAnsi="宋体" w:cs="宋体"/>
                <w:b/>
                <w:color w:val="000000"/>
                <w:sz w:val="21"/>
                <w:szCs w:val="21"/>
              </w:rPr>
            </w:pPr>
            <w:r>
              <w:rPr>
                <w:rFonts w:hint="eastAsia" w:ascii="宋体" w:hAnsi="宋体" w:cs="宋体"/>
                <w:b/>
                <w:color w:val="000000"/>
                <w:sz w:val="21"/>
                <w:szCs w:val="21"/>
                <w:lang w:eastAsia="zh-CN"/>
              </w:rPr>
              <w:t>拟使用募集资金</w:t>
            </w:r>
          </w:p>
        </w:tc>
      </w:tr>
      <w:tr>
        <w:tblPrEx>
          <w:tblCellMar>
            <w:top w:w="0" w:type="dxa"/>
            <w:left w:w="108" w:type="dxa"/>
            <w:bottom w:w="0" w:type="dxa"/>
            <w:right w:w="108" w:type="dxa"/>
          </w:tblCellMar>
        </w:tblPrEx>
        <w:trPr>
          <w:trHeight w:val="580" w:hRule="atLeast"/>
        </w:trPr>
        <w:tc>
          <w:tcPr>
            <w:tcW w:w="43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rPr>
                <w:rFonts w:ascii="宋体" w:hAnsi="宋体" w:cs="宋体"/>
                <w:sz w:val="21"/>
                <w:szCs w:val="21"/>
              </w:rPr>
            </w:pPr>
            <w:r>
              <w:rPr>
                <w:rFonts w:hint="eastAsia" w:ascii="宋体" w:hAnsi="宋体" w:cs="宋体"/>
                <w:sz w:val="21"/>
                <w:szCs w:val="21"/>
              </w:rPr>
              <w:t>1</w:t>
            </w:r>
          </w:p>
        </w:tc>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智联网安全技术研发与产业化项目</w:t>
            </w:r>
          </w:p>
        </w:tc>
        <w:tc>
          <w:tcPr>
            <w:tcW w:w="138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jc w:val="center"/>
              <w:rPr>
                <w:rFonts w:ascii="宋体" w:hAnsi="宋体" w:cs="宋体"/>
                <w:sz w:val="21"/>
                <w:szCs w:val="21"/>
              </w:rPr>
            </w:pPr>
            <w:r>
              <w:rPr>
                <w:rFonts w:ascii="宋体" w:hAnsi="宋体" w:cs="宋体"/>
                <w:sz w:val="21"/>
                <w:szCs w:val="21"/>
              </w:rPr>
              <w:t>29,121.35</w:t>
            </w:r>
          </w:p>
        </w:tc>
        <w:tc>
          <w:tcPr>
            <w:tcW w:w="138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rPr>
                <w:rFonts w:hint="default" w:ascii="宋体" w:hAnsi="宋体" w:eastAsia="宋体" w:cs="宋体"/>
                <w:sz w:val="21"/>
                <w:szCs w:val="21"/>
                <w:lang w:val="en-US" w:eastAsia="zh-CN"/>
              </w:rPr>
            </w:pPr>
            <w:r>
              <w:rPr>
                <w:rFonts w:hint="eastAsia" w:ascii="宋体" w:hAnsi="宋体" w:cs="宋体"/>
                <w:sz w:val="21"/>
                <w:szCs w:val="21"/>
              </w:rPr>
              <w:t>20,</w:t>
            </w:r>
            <w:r>
              <w:rPr>
                <w:rFonts w:hint="eastAsia" w:ascii="宋体" w:hAnsi="宋体" w:cs="宋体"/>
                <w:sz w:val="21"/>
                <w:szCs w:val="21"/>
                <w:lang w:val="en-US" w:eastAsia="zh-CN"/>
              </w:rPr>
              <w:t>080.00</w:t>
            </w:r>
          </w:p>
        </w:tc>
      </w:tr>
      <w:tr>
        <w:tblPrEx>
          <w:tblCellMar>
            <w:top w:w="0" w:type="dxa"/>
            <w:left w:w="108" w:type="dxa"/>
            <w:bottom w:w="0" w:type="dxa"/>
            <w:right w:w="108" w:type="dxa"/>
          </w:tblCellMar>
        </w:tblPrEx>
        <w:trPr>
          <w:trHeight w:val="1001" w:hRule="atLeast"/>
        </w:trPr>
        <w:tc>
          <w:tcPr>
            <w:tcW w:w="43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rPr>
                <w:rFonts w:ascii="宋体" w:hAnsi="宋体" w:cs="宋体"/>
                <w:sz w:val="21"/>
                <w:szCs w:val="21"/>
              </w:rPr>
            </w:pPr>
            <w:r>
              <w:rPr>
                <w:rFonts w:hint="eastAsia" w:ascii="宋体" w:hAnsi="宋体" w:cs="宋体"/>
                <w:sz w:val="21"/>
                <w:szCs w:val="21"/>
              </w:rPr>
              <w:t>2</w:t>
            </w:r>
          </w:p>
        </w:tc>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下一代数字信任产品研发与产业化项目</w:t>
            </w:r>
          </w:p>
        </w:tc>
        <w:tc>
          <w:tcPr>
            <w:tcW w:w="138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jc w:val="center"/>
              <w:rPr>
                <w:rFonts w:ascii="宋体" w:hAnsi="宋体" w:cs="宋体"/>
                <w:sz w:val="21"/>
                <w:szCs w:val="21"/>
              </w:rPr>
            </w:pPr>
            <w:r>
              <w:rPr>
                <w:rFonts w:ascii="宋体" w:hAnsi="宋体" w:cs="宋体"/>
                <w:sz w:val="21"/>
                <w:szCs w:val="21"/>
              </w:rPr>
              <w:t>24,855.73</w:t>
            </w:r>
          </w:p>
        </w:tc>
        <w:tc>
          <w:tcPr>
            <w:tcW w:w="138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rPr>
                <w:rFonts w:hint="default" w:ascii="宋体" w:hAnsi="宋体" w:eastAsia="宋体" w:cs="宋体"/>
                <w:sz w:val="21"/>
                <w:szCs w:val="21"/>
                <w:lang w:val="en-US" w:eastAsia="zh-CN"/>
              </w:rPr>
            </w:pPr>
            <w:r>
              <w:rPr>
                <w:rFonts w:hint="eastAsia" w:ascii="宋体" w:hAnsi="宋体" w:cs="宋体"/>
                <w:sz w:val="21"/>
                <w:szCs w:val="21"/>
                <w:lang w:val="en-US" w:eastAsia="zh-CN"/>
              </w:rPr>
              <w:t>21,400.00</w:t>
            </w:r>
          </w:p>
        </w:tc>
      </w:tr>
      <w:tr>
        <w:tblPrEx>
          <w:tblCellMar>
            <w:top w:w="0" w:type="dxa"/>
            <w:left w:w="108" w:type="dxa"/>
            <w:bottom w:w="0" w:type="dxa"/>
            <w:right w:w="108" w:type="dxa"/>
          </w:tblCellMar>
        </w:tblPrEx>
        <w:trPr>
          <w:trHeight w:val="580" w:hRule="atLeast"/>
        </w:trPr>
        <w:tc>
          <w:tcPr>
            <w:tcW w:w="43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rPr>
                <w:rFonts w:ascii="宋体" w:hAnsi="宋体" w:cs="宋体"/>
                <w:sz w:val="21"/>
                <w:szCs w:val="21"/>
              </w:rPr>
            </w:pPr>
            <w:r>
              <w:rPr>
                <w:rFonts w:hint="eastAsia" w:ascii="宋体" w:hAnsi="宋体" w:cs="宋体"/>
                <w:sz w:val="21"/>
                <w:szCs w:val="21"/>
              </w:rPr>
              <w:t>3</w:t>
            </w:r>
          </w:p>
        </w:tc>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补充流动资金</w:t>
            </w:r>
          </w:p>
        </w:tc>
        <w:tc>
          <w:tcPr>
            <w:tcW w:w="138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jc w:val="center"/>
              <w:rPr>
                <w:rFonts w:ascii="宋体" w:hAnsi="宋体" w:cs="宋体"/>
                <w:sz w:val="21"/>
                <w:szCs w:val="21"/>
              </w:rPr>
            </w:pPr>
            <w:r>
              <w:rPr>
                <w:rFonts w:ascii="宋体" w:hAnsi="宋体" w:cs="宋体"/>
                <w:sz w:val="21"/>
                <w:szCs w:val="21"/>
              </w:rPr>
              <w:t>18,000.00</w:t>
            </w:r>
          </w:p>
        </w:tc>
        <w:tc>
          <w:tcPr>
            <w:tcW w:w="138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rPr>
                <w:rFonts w:ascii="宋体" w:hAnsi="宋体" w:cs="宋体"/>
                <w:sz w:val="21"/>
                <w:szCs w:val="21"/>
              </w:rPr>
            </w:pPr>
            <w:r>
              <w:rPr>
                <w:rFonts w:hint="eastAsia" w:ascii="宋体" w:hAnsi="宋体" w:cs="宋体"/>
                <w:sz w:val="21"/>
                <w:szCs w:val="21"/>
              </w:rPr>
              <w:t>18,000.00</w:t>
            </w:r>
          </w:p>
        </w:tc>
      </w:tr>
      <w:tr>
        <w:tblPrEx>
          <w:tblCellMar>
            <w:top w:w="0" w:type="dxa"/>
            <w:left w:w="108" w:type="dxa"/>
            <w:bottom w:w="0" w:type="dxa"/>
            <w:right w:w="108" w:type="dxa"/>
          </w:tblCellMar>
        </w:tblPrEx>
        <w:trPr>
          <w:trHeight w:val="580" w:hRule="atLeast"/>
        </w:trPr>
        <w:tc>
          <w:tcPr>
            <w:tcW w:w="43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rPr>
                <w:rFonts w:ascii="宋体" w:hAnsi="宋体" w:cs="宋体"/>
                <w:sz w:val="21"/>
                <w:szCs w:val="21"/>
              </w:rPr>
            </w:pPr>
            <w:r>
              <w:rPr>
                <w:rFonts w:hint="eastAsia" w:ascii="宋体" w:hAnsi="宋体" w:cs="宋体"/>
                <w:sz w:val="21"/>
                <w:szCs w:val="21"/>
              </w:rPr>
              <w:t>4</w:t>
            </w:r>
          </w:p>
        </w:tc>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合计</w:t>
            </w:r>
          </w:p>
        </w:tc>
        <w:tc>
          <w:tcPr>
            <w:tcW w:w="138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jc w:val="center"/>
              <w:rPr>
                <w:rFonts w:ascii="宋体" w:hAnsi="宋体" w:cs="宋体"/>
                <w:sz w:val="21"/>
                <w:szCs w:val="21"/>
              </w:rPr>
            </w:pPr>
            <w:r>
              <w:rPr>
                <w:rFonts w:ascii="宋体" w:hAnsi="宋体" w:cs="宋体"/>
                <w:sz w:val="21"/>
                <w:szCs w:val="21"/>
              </w:rPr>
              <w:t>71,977.08</w:t>
            </w:r>
          </w:p>
        </w:tc>
        <w:tc>
          <w:tcPr>
            <w:tcW w:w="138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ind w:firstLine="367" w:firstLineChars="175"/>
              <w:rPr>
                <w:rFonts w:hint="default" w:ascii="宋体" w:hAnsi="宋体" w:cs="宋体"/>
                <w:sz w:val="21"/>
                <w:szCs w:val="21"/>
                <w:lang w:val="en-US"/>
              </w:rPr>
            </w:pPr>
            <w:r>
              <w:rPr>
                <w:rFonts w:hint="eastAsia" w:ascii="宋体" w:hAnsi="宋体" w:cs="宋体"/>
                <w:sz w:val="21"/>
                <w:szCs w:val="21"/>
                <w:lang w:val="en-US" w:eastAsia="zh-CN"/>
              </w:rPr>
              <w:t>64,480.00</w:t>
            </w:r>
          </w:p>
        </w:tc>
      </w:tr>
    </w:tbl>
    <w:p>
      <w:pPr>
        <w:adjustRightInd w:val="0"/>
        <w:snapToGrid w:val="0"/>
        <w:spacing w:line="360" w:lineRule="auto"/>
        <w:ind w:firstLine="420" w:firstLineChars="200"/>
        <w:rPr>
          <w:rFonts w:ascii="宋体" w:hAnsi="宋体" w:cs="宋体"/>
          <w:sz w:val="21"/>
          <w:szCs w:val="21"/>
          <w:shd w:val="clear" w:color="auto" w:fill="FFFFFF"/>
        </w:rPr>
      </w:pPr>
      <w:r>
        <w:rPr>
          <w:rFonts w:hint="eastAsia" w:ascii="宋体" w:hAnsi="宋体" w:cs="宋体"/>
          <w:sz w:val="21"/>
          <w:szCs w:val="21"/>
          <w:shd w:val="clear" w:color="auto" w:fill="FFFFFF"/>
        </w:rPr>
        <w:t>注：存在个别数据加总后与相关汇总数据存在尾差，系数据计算时四舍五入造成。</w:t>
      </w:r>
    </w:p>
    <w:p>
      <w:pPr>
        <w:spacing w:line="360" w:lineRule="auto"/>
        <w:ind w:firstLine="420"/>
        <w:rPr>
          <w:rFonts w:ascii="宋体" w:hAnsi="宋体" w:cs="宋体"/>
          <w:b/>
          <w:bCs/>
        </w:rPr>
      </w:pPr>
      <w:r>
        <w:rPr>
          <w:rFonts w:hint="eastAsia" w:ascii="宋体" w:hAnsi="宋体" w:cs="宋体"/>
          <w:b/>
          <w:bCs/>
        </w:rPr>
        <w:t>（二）本次新增募投项目实施主体情况</w:t>
      </w:r>
    </w:p>
    <w:p>
      <w:pPr>
        <w:adjustRightInd w:val="0"/>
        <w:snapToGrid w:val="0"/>
        <w:spacing w:line="360" w:lineRule="auto"/>
        <w:ind w:firstLine="420"/>
        <w:rPr>
          <w:rFonts w:ascii="宋体" w:hAnsi="宋体" w:cs="宋体"/>
          <w:shd w:val="clear" w:color="auto" w:fill="FFFFFF"/>
        </w:rPr>
      </w:pPr>
      <w:r>
        <w:rPr>
          <w:rFonts w:hint="eastAsia" w:ascii="宋体" w:hAnsi="宋体" w:cs="宋体"/>
          <w:shd w:val="clear" w:color="auto" w:fill="FFFFFF"/>
        </w:rPr>
        <w:t>本次新增实施主体前，“</w:t>
      </w:r>
      <w:r>
        <w:rPr>
          <w:rFonts w:hint="eastAsia" w:ascii="宋体" w:hAnsi="宋体" w:cs="宋体"/>
        </w:rPr>
        <w:t>智联网安</w:t>
      </w:r>
      <w:bookmarkStart w:id="0" w:name="_GoBack"/>
      <w:bookmarkEnd w:id="0"/>
      <w:r>
        <w:rPr>
          <w:rFonts w:hint="eastAsia" w:ascii="宋体" w:hAnsi="宋体" w:cs="宋体"/>
        </w:rPr>
        <w:t>全技术研发与产业化项目</w:t>
      </w:r>
      <w:r>
        <w:rPr>
          <w:rFonts w:hint="eastAsia" w:ascii="宋体" w:hAnsi="宋体" w:cs="宋体"/>
          <w:shd w:val="clear" w:color="auto" w:fill="FFFFFF"/>
        </w:rPr>
        <w:t>”和“</w:t>
      </w:r>
      <w:r>
        <w:rPr>
          <w:rFonts w:hint="eastAsia" w:ascii="宋体" w:hAnsi="宋体" w:cs="宋体"/>
        </w:rPr>
        <w:t>下一代数字信任产品研发与产业化项目</w:t>
      </w:r>
      <w:r>
        <w:rPr>
          <w:rFonts w:hint="eastAsia" w:ascii="宋体" w:hAnsi="宋体" w:cs="宋体"/>
          <w:shd w:val="clear" w:color="auto" w:fill="FFFFFF"/>
        </w:rPr>
        <w:t>”的实施主体为公司全资子公司上海格尔安全科技有限公司，“补充流动资金”的实施主体为格尔软件股份有限公司。公司在原项目实施主体的基础上，增加全资孙公司信元通作为“</w:t>
      </w:r>
      <w:r>
        <w:rPr>
          <w:rFonts w:hint="eastAsia" w:ascii="宋体" w:hAnsi="宋体" w:cs="宋体"/>
        </w:rPr>
        <w:t>智联网安全技术研发与产业化项目</w:t>
      </w:r>
      <w:r>
        <w:rPr>
          <w:rFonts w:hint="eastAsia" w:ascii="宋体" w:hAnsi="宋体" w:cs="宋体"/>
          <w:shd w:val="clear" w:color="auto" w:fill="FFFFFF"/>
        </w:rPr>
        <w:t>”和“</w:t>
      </w:r>
      <w:r>
        <w:rPr>
          <w:rFonts w:hint="eastAsia" w:ascii="宋体" w:hAnsi="宋体" w:cs="宋体"/>
        </w:rPr>
        <w:t>下一代数字信任产品研发与产业化项目</w:t>
      </w:r>
      <w:r>
        <w:rPr>
          <w:rFonts w:hint="eastAsia" w:ascii="宋体" w:hAnsi="宋体" w:cs="宋体"/>
          <w:shd w:val="clear" w:color="auto" w:fill="FFFFFF"/>
        </w:rPr>
        <w:t>”的实施主体，通过增资等方式划转募投项目实施所需资金，情况如下：</w:t>
      </w:r>
    </w:p>
    <w:tbl>
      <w:tblPr>
        <w:tblStyle w:val="10"/>
        <w:tblW w:w="4967" w:type="pct"/>
        <w:tblInd w:w="0" w:type="dxa"/>
        <w:tblLayout w:type="fixed"/>
        <w:tblCellMar>
          <w:top w:w="0" w:type="dxa"/>
          <w:left w:w="108" w:type="dxa"/>
          <w:bottom w:w="0" w:type="dxa"/>
          <w:right w:w="108" w:type="dxa"/>
        </w:tblCellMar>
      </w:tblPr>
      <w:tblGrid>
        <w:gridCol w:w="3334"/>
        <w:gridCol w:w="2466"/>
        <w:gridCol w:w="2667"/>
      </w:tblGrid>
      <w:tr>
        <w:tblPrEx>
          <w:tblCellMar>
            <w:top w:w="0" w:type="dxa"/>
            <w:left w:w="108" w:type="dxa"/>
            <w:bottom w:w="0" w:type="dxa"/>
            <w:right w:w="108" w:type="dxa"/>
          </w:tblCellMar>
        </w:tblPrEx>
        <w:trPr>
          <w:trHeight w:val="285" w:hRule="atLeast"/>
        </w:trPr>
        <w:tc>
          <w:tcPr>
            <w:tcW w:w="1968"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ascii="宋体" w:hAnsi="宋体" w:cs="宋体"/>
                <w:b/>
                <w:color w:val="000000"/>
                <w:sz w:val="21"/>
                <w:szCs w:val="21"/>
              </w:rPr>
            </w:pPr>
            <w:r>
              <w:rPr>
                <w:rFonts w:hint="eastAsia" w:ascii="宋体" w:hAnsi="宋体" w:cs="宋体"/>
                <w:b/>
                <w:color w:val="000000"/>
                <w:sz w:val="21"/>
                <w:szCs w:val="21"/>
              </w:rPr>
              <w:t>募集资金投资项目名称</w:t>
            </w:r>
          </w:p>
        </w:tc>
        <w:tc>
          <w:tcPr>
            <w:tcW w:w="1456" w:type="pct"/>
            <w:tcBorders>
              <w:top w:val="single" w:color="auto" w:sz="4" w:space="0"/>
              <w:left w:val="nil"/>
              <w:bottom w:val="single" w:color="auto" w:sz="4" w:space="0"/>
              <w:right w:val="single" w:color="auto" w:sz="4" w:space="0"/>
            </w:tcBorders>
            <w:shd w:val="clear" w:color="auto" w:fill="auto"/>
            <w:vAlign w:val="center"/>
          </w:tcPr>
          <w:p>
            <w:pPr>
              <w:spacing w:line="360" w:lineRule="auto"/>
              <w:jc w:val="center"/>
              <w:rPr>
                <w:rFonts w:ascii="宋体" w:hAnsi="宋体" w:cs="宋体"/>
                <w:b/>
                <w:color w:val="000000"/>
                <w:sz w:val="21"/>
                <w:szCs w:val="21"/>
              </w:rPr>
            </w:pPr>
            <w:r>
              <w:rPr>
                <w:rFonts w:hint="eastAsia" w:ascii="宋体" w:hAnsi="宋体" w:cs="宋体"/>
                <w:b/>
                <w:color w:val="000000"/>
                <w:sz w:val="21"/>
                <w:szCs w:val="21"/>
              </w:rPr>
              <w:t>实施主体（新增前）</w:t>
            </w:r>
          </w:p>
        </w:tc>
        <w:tc>
          <w:tcPr>
            <w:tcW w:w="1575" w:type="pct"/>
            <w:tcBorders>
              <w:top w:val="single" w:color="auto" w:sz="4" w:space="0"/>
              <w:left w:val="nil"/>
              <w:bottom w:val="single" w:color="auto" w:sz="4" w:space="0"/>
              <w:right w:val="single" w:color="auto" w:sz="4" w:space="0"/>
            </w:tcBorders>
            <w:shd w:val="clear" w:color="auto" w:fill="auto"/>
            <w:vAlign w:val="center"/>
          </w:tcPr>
          <w:p>
            <w:pPr>
              <w:spacing w:line="360" w:lineRule="auto"/>
              <w:jc w:val="center"/>
              <w:rPr>
                <w:rFonts w:ascii="宋体" w:hAnsi="宋体" w:cs="宋体"/>
                <w:b/>
                <w:color w:val="000000"/>
                <w:sz w:val="21"/>
                <w:szCs w:val="21"/>
              </w:rPr>
            </w:pPr>
            <w:r>
              <w:rPr>
                <w:rFonts w:hint="eastAsia" w:ascii="宋体" w:hAnsi="宋体" w:cs="宋体"/>
                <w:b/>
                <w:color w:val="000000"/>
                <w:sz w:val="21"/>
                <w:szCs w:val="21"/>
              </w:rPr>
              <w:t>实施主体（新增后）</w:t>
            </w:r>
          </w:p>
        </w:tc>
      </w:tr>
      <w:tr>
        <w:tblPrEx>
          <w:tblCellMar>
            <w:top w:w="0" w:type="dxa"/>
            <w:left w:w="108" w:type="dxa"/>
            <w:bottom w:w="0" w:type="dxa"/>
            <w:right w:w="108" w:type="dxa"/>
          </w:tblCellMar>
        </w:tblPrEx>
        <w:trPr>
          <w:trHeight w:val="1205" w:hRule="atLeast"/>
        </w:trPr>
        <w:tc>
          <w:tcPr>
            <w:tcW w:w="196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智联网安全技术研发与产业化项目</w:t>
            </w:r>
          </w:p>
        </w:tc>
        <w:tc>
          <w:tcPr>
            <w:tcW w:w="14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上海格尔安全科技有限公司</w:t>
            </w:r>
          </w:p>
        </w:tc>
        <w:tc>
          <w:tcPr>
            <w:tcW w:w="157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上海格尔安全科技有限公司、上海信元通科技有限公司</w:t>
            </w:r>
          </w:p>
        </w:tc>
      </w:tr>
      <w:tr>
        <w:tblPrEx>
          <w:tblCellMar>
            <w:top w:w="0" w:type="dxa"/>
            <w:left w:w="108" w:type="dxa"/>
            <w:bottom w:w="0" w:type="dxa"/>
            <w:right w:w="108" w:type="dxa"/>
          </w:tblCellMar>
        </w:tblPrEx>
        <w:trPr>
          <w:trHeight w:val="1001" w:hRule="atLeast"/>
        </w:trPr>
        <w:tc>
          <w:tcPr>
            <w:tcW w:w="196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下一代数字信任产品研发与产业化项目</w:t>
            </w:r>
          </w:p>
        </w:tc>
        <w:tc>
          <w:tcPr>
            <w:tcW w:w="14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上海格尔安全科技有限公司</w:t>
            </w:r>
          </w:p>
        </w:tc>
        <w:tc>
          <w:tcPr>
            <w:tcW w:w="157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上海格尔安全科技有限公司、上海信元通科技有限公司</w:t>
            </w:r>
          </w:p>
        </w:tc>
      </w:tr>
      <w:tr>
        <w:tblPrEx>
          <w:tblCellMar>
            <w:top w:w="0" w:type="dxa"/>
            <w:left w:w="108" w:type="dxa"/>
            <w:bottom w:w="0" w:type="dxa"/>
            <w:right w:w="108" w:type="dxa"/>
          </w:tblCellMar>
        </w:tblPrEx>
        <w:trPr>
          <w:trHeight w:val="580" w:hRule="atLeast"/>
        </w:trPr>
        <w:tc>
          <w:tcPr>
            <w:tcW w:w="196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补充流动资金</w:t>
            </w:r>
          </w:p>
        </w:tc>
        <w:tc>
          <w:tcPr>
            <w:tcW w:w="14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格尔软件股份有限公司</w:t>
            </w:r>
          </w:p>
        </w:tc>
        <w:tc>
          <w:tcPr>
            <w:tcW w:w="157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60" w:lineRule="auto"/>
              <w:rPr>
                <w:rFonts w:ascii="宋体" w:hAnsi="宋体" w:cs="宋体"/>
                <w:sz w:val="21"/>
                <w:szCs w:val="21"/>
              </w:rPr>
            </w:pPr>
            <w:r>
              <w:rPr>
                <w:rFonts w:hint="eastAsia" w:ascii="宋体" w:hAnsi="宋体" w:cs="宋体"/>
                <w:sz w:val="21"/>
                <w:szCs w:val="21"/>
              </w:rPr>
              <w:t>格尔软件股份有限公司</w:t>
            </w:r>
          </w:p>
        </w:tc>
      </w:tr>
    </w:tbl>
    <w:p>
      <w:pPr>
        <w:adjustRightInd w:val="0"/>
        <w:snapToGrid w:val="0"/>
        <w:spacing w:line="360" w:lineRule="auto"/>
        <w:ind w:firstLine="420"/>
        <w:rPr>
          <w:rFonts w:ascii="宋体" w:hAnsi="宋体" w:cs="宋体"/>
          <w:shd w:val="clear" w:color="auto" w:fill="FFFFFF"/>
        </w:rPr>
      </w:pPr>
      <w:r>
        <w:rPr>
          <w:rFonts w:hint="eastAsia" w:ascii="宋体" w:hAnsi="宋体" w:cs="宋体"/>
          <w:shd w:val="clear" w:color="auto" w:fill="FFFFFF"/>
        </w:rPr>
        <w:t>公司本次新增募投项目实施主体不会导致募投项目的建设内容和投入金额发生变化。</w:t>
      </w:r>
    </w:p>
    <w:p>
      <w:pPr>
        <w:adjustRightInd w:val="0"/>
        <w:snapToGrid w:val="0"/>
        <w:spacing w:line="360" w:lineRule="auto"/>
        <w:ind w:firstLine="420"/>
        <w:rPr>
          <w:rFonts w:ascii="宋体" w:hAnsi="宋体" w:cs="宋体"/>
          <w:shd w:val="clear" w:color="auto" w:fill="FFFFFF"/>
        </w:rPr>
      </w:pPr>
      <w:r>
        <w:rPr>
          <w:rFonts w:hint="eastAsia" w:ascii="宋体" w:hAnsi="宋体" w:cs="宋体"/>
          <w:shd w:val="clear" w:color="auto" w:fill="FFFFFF"/>
        </w:rPr>
        <w:t>新增实施主体的情况：</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0"/>
        <w:gridCol w:w="62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0"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公司全称</w:t>
            </w:r>
          </w:p>
        </w:tc>
        <w:tc>
          <w:tcPr>
            <w:tcW w:w="6252"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上海信元通科技有限公司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70"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统一社会信用代码</w:t>
            </w:r>
          </w:p>
        </w:tc>
        <w:tc>
          <w:tcPr>
            <w:tcW w:w="6252"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91310230MABP9YLT28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0"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法定代表人</w:t>
            </w:r>
          </w:p>
        </w:tc>
        <w:tc>
          <w:tcPr>
            <w:tcW w:w="6252"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范峰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0"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注册资本</w:t>
            </w:r>
          </w:p>
        </w:tc>
        <w:tc>
          <w:tcPr>
            <w:tcW w:w="6252"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3,000万元人民币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0"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注册地址</w:t>
            </w:r>
          </w:p>
        </w:tc>
        <w:tc>
          <w:tcPr>
            <w:tcW w:w="6252"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上海市崇明区陈家镇层海路888号3号楼1层（上海智慧岛数据产业园）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0"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经营范围</w:t>
            </w:r>
          </w:p>
        </w:tc>
        <w:tc>
          <w:tcPr>
            <w:tcW w:w="6252"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一般项目：技术服务、技术开发、技术咨询、技术交流、技术转让、技术推广；软件开发；软件销售；住房租赁；非居住房地产租赁。（除依法须经批准的项目外，凭营业执照依法自主开展经营活动）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0"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成立日期</w:t>
            </w:r>
          </w:p>
        </w:tc>
        <w:tc>
          <w:tcPr>
            <w:tcW w:w="6252" w:type="dxa"/>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2022年5月23日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0" w:type="dxa"/>
            <w:tcBorders>
              <w:bottom w:val="single" w:color="auto" w:sz="4" w:space="0"/>
            </w:tcBorders>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股东构成</w:t>
            </w:r>
          </w:p>
        </w:tc>
        <w:tc>
          <w:tcPr>
            <w:tcW w:w="6252" w:type="dxa"/>
            <w:tcBorders>
              <w:bottom w:val="single" w:color="auto" w:sz="4" w:space="0"/>
            </w:tcBorders>
            <w:vAlign w:val="center"/>
          </w:tcPr>
          <w:p>
            <w:pPr>
              <w:widowControl w:val="0"/>
              <w:autoSpaceDE w:val="0"/>
              <w:autoSpaceDN w:val="0"/>
              <w:adjustRightInd w:val="0"/>
              <w:snapToGrid w:val="0"/>
              <w:spacing w:line="360" w:lineRule="auto"/>
              <w:jc w:val="center"/>
              <w:rPr>
                <w:rFonts w:ascii="宋体" w:hAnsi="宋体" w:cs="宋体"/>
                <w:sz w:val="21"/>
                <w:szCs w:val="21"/>
              </w:rPr>
            </w:pPr>
            <w:r>
              <w:rPr>
                <w:rFonts w:hint="eastAsia" w:ascii="宋体" w:hAnsi="宋体" w:cs="宋体"/>
                <w:sz w:val="21"/>
                <w:szCs w:val="21"/>
              </w:rPr>
              <w:t>公司全资子公司上海格尔安全科技有限公司持有100%股权</w:t>
            </w:r>
          </w:p>
        </w:tc>
      </w:tr>
    </w:tbl>
    <w:p>
      <w:pPr>
        <w:adjustRightInd w:val="0"/>
        <w:snapToGrid w:val="0"/>
        <w:spacing w:line="360" w:lineRule="auto"/>
        <w:ind w:firstLine="420"/>
        <w:rPr>
          <w:rFonts w:ascii="宋体" w:hAnsi="宋体" w:cs="宋体"/>
          <w:sz w:val="21"/>
          <w:szCs w:val="21"/>
          <w:shd w:val="clear" w:color="auto" w:fill="FFFFFF"/>
        </w:rPr>
      </w:pPr>
    </w:p>
    <w:p>
      <w:pPr>
        <w:spacing w:before="156" w:beforeLines="50" w:after="156" w:afterLines="50" w:line="360" w:lineRule="auto"/>
        <w:ind w:firstLine="420"/>
        <w:rPr>
          <w:rFonts w:ascii="宋体" w:hAnsi="宋体" w:cs="宋体"/>
          <w:b/>
          <w:color w:val="000000"/>
        </w:rPr>
      </w:pPr>
      <w:r>
        <w:rPr>
          <w:rFonts w:hint="eastAsia" w:ascii="宋体" w:hAnsi="宋体" w:cs="宋体"/>
          <w:b/>
          <w:color w:val="000000"/>
        </w:rPr>
        <w:t>二、新增募投项目实施主体的原因</w:t>
      </w:r>
    </w:p>
    <w:p>
      <w:pPr>
        <w:adjustRightInd w:val="0"/>
        <w:snapToGrid w:val="0"/>
        <w:spacing w:line="360" w:lineRule="auto"/>
        <w:ind w:firstLine="420"/>
        <w:rPr>
          <w:rFonts w:ascii="宋体" w:hAnsi="宋体" w:cs="宋体"/>
          <w:shd w:val="clear" w:color="auto" w:fill="FFFFFF"/>
        </w:rPr>
      </w:pPr>
      <w:r>
        <w:rPr>
          <w:rFonts w:hint="eastAsia" w:ascii="宋体" w:hAnsi="宋体" w:cs="宋体"/>
          <w:shd w:val="clear" w:color="auto" w:fill="FFFFFF"/>
        </w:rPr>
        <w:t>信元通为公司全资孙公司，根据募投项目的实际开展需要，公司增加信元通作为“</w:t>
      </w:r>
      <w:r>
        <w:rPr>
          <w:rFonts w:hint="eastAsia" w:ascii="宋体" w:hAnsi="宋体" w:cs="宋体"/>
        </w:rPr>
        <w:t>智联网安全技术研发与产业化项目</w:t>
      </w:r>
      <w:r>
        <w:rPr>
          <w:rFonts w:hint="eastAsia" w:ascii="宋体" w:hAnsi="宋体" w:cs="宋体"/>
          <w:shd w:val="clear" w:color="auto" w:fill="FFFFFF"/>
        </w:rPr>
        <w:t>”和“</w:t>
      </w:r>
      <w:r>
        <w:rPr>
          <w:rFonts w:hint="eastAsia" w:ascii="宋体" w:hAnsi="宋体" w:cs="宋体"/>
        </w:rPr>
        <w:t>下一代数字信任产品研发与产业化项目</w:t>
      </w:r>
      <w:r>
        <w:rPr>
          <w:rFonts w:hint="eastAsia" w:ascii="宋体" w:hAnsi="宋体" w:cs="宋体"/>
          <w:shd w:val="clear" w:color="auto" w:fill="FFFFFF"/>
        </w:rPr>
        <w:t>”的实施主体，有利于推进募投项目的顺利开展，保障募投项目的实施进度，提高募集资金的使用效率，优化资源配置，且未改变募集资金的用途，不会对募投项目的实施产生实质性的影响，不存在损害公司及股东合法权益的情形。</w:t>
      </w:r>
    </w:p>
    <w:p>
      <w:pPr>
        <w:adjustRightInd w:val="0"/>
        <w:snapToGrid w:val="0"/>
        <w:spacing w:line="360" w:lineRule="auto"/>
        <w:ind w:firstLine="420"/>
        <w:rPr>
          <w:rFonts w:ascii="宋体" w:hAnsi="宋体" w:cs="宋体"/>
          <w:shd w:val="clear" w:color="auto" w:fill="FFFFFF"/>
        </w:rPr>
      </w:pPr>
    </w:p>
    <w:p>
      <w:pPr>
        <w:spacing w:before="156" w:beforeLines="50" w:after="156" w:afterLines="50" w:line="360" w:lineRule="auto"/>
        <w:ind w:firstLine="420"/>
        <w:rPr>
          <w:rFonts w:ascii="宋体" w:hAnsi="宋体" w:cs="宋体"/>
          <w:b/>
          <w:color w:val="000000"/>
        </w:rPr>
      </w:pPr>
      <w:r>
        <w:rPr>
          <w:rFonts w:hint="eastAsia" w:ascii="宋体" w:hAnsi="宋体" w:cs="宋体"/>
          <w:b/>
          <w:color w:val="000000"/>
        </w:rPr>
        <w:t>三、新增募投项目实施主体后的募集资金管理</w:t>
      </w:r>
    </w:p>
    <w:p>
      <w:pPr>
        <w:adjustRightInd w:val="0"/>
        <w:snapToGrid w:val="0"/>
        <w:spacing w:line="360" w:lineRule="auto"/>
        <w:ind w:firstLine="420"/>
        <w:rPr>
          <w:rFonts w:ascii="宋体" w:hAnsi="宋体" w:cs="宋体"/>
          <w:shd w:val="clear" w:color="auto" w:fill="FFFFFF"/>
        </w:rPr>
      </w:pPr>
      <w:r>
        <w:rPr>
          <w:rFonts w:hint="eastAsia" w:ascii="宋体" w:hAnsi="宋体" w:cs="宋体"/>
          <w:shd w:val="clear" w:color="auto" w:fill="FFFFFF"/>
        </w:rPr>
        <w:t>为规范募集资金的管理和使用，根据《上市公司监管指引第2号—上市公司募集资金管理和使用的监管要求》《上海证券交易所上市公司自律监管指引第1号——规范运作》等有关规定，公司与上海格尔安全科技有限公司和上海信元通科技有限公司将重新与募集资金存放银行及保荐机构签署募集资金多方监管协议。</w:t>
      </w:r>
    </w:p>
    <w:p>
      <w:pPr>
        <w:adjustRightInd w:val="0"/>
        <w:snapToGrid w:val="0"/>
        <w:spacing w:line="360" w:lineRule="auto"/>
        <w:ind w:firstLine="420"/>
        <w:rPr>
          <w:rFonts w:ascii="宋体" w:hAnsi="宋体" w:cs="宋体"/>
          <w:shd w:val="clear" w:color="auto" w:fill="FFFFFF"/>
        </w:rPr>
      </w:pPr>
    </w:p>
    <w:p>
      <w:pPr>
        <w:numPr>
          <w:ilvl w:val="0"/>
          <w:numId w:val="2"/>
        </w:numPr>
        <w:spacing w:before="156" w:beforeLines="50" w:after="156" w:afterLines="50" w:line="360" w:lineRule="auto"/>
        <w:rPr>
          <w:rFonts w:ascii="宋体" w:hAnsi="宋体" w:cs="宋体"/>
          <w:b/>
          <w:color w:val="000000"/>
        </w:rPr>
      </w:pPr>
      <w:r>
        <w:rPr>
          <w:rFonts w:hint="eastAsia" w:ascii="宋体" w:hAnsi="宋体" w:cs="宋体"/>
          <w:b/>
          <w:color w:val="000000"/>
        </w:rPr>
        <w:t>新增募投项目实施主体对公司的影响</w:t>
      </w:r>
    </w:p>
    <w:p>
      <w:pPr>
        <w:adjustRightInd w:val="0"/>
        <w:snapToGrid w:val="0"/>
        <w:spacing w:line="360" w:lineRule="auto"/>
        <w:ind w:firstLine="420"/>
        <w:rPr>
          <w:rFonts w:ascii="宋体" w:hAnsi="宋体" w:cs="宋体"/>
          <w:shd w:val="clear" w:color="auto" w:fill="FFFFFF"/>
        </w:rPr>
      </w:pPr>
      <w:r>
        <w:rPr>
          <w:rFonts w:hint="eastAsia" w:ascii="宋体" w:hAnsi="宋体" w:cs="宋体"/>
          <w:shd w:val="clear" w:color="auto" w:fill="FFFFFF"/>
        </w:rPr>
        <w:t>本次新增公司全资孙公司作为募投项目实施主体，未改变募投项目的建设内容和募集资金的投入金额，不会对募投项目的实施产生实质影响。根据募投项目的实际开展需要，增加募投项目实施主体，有利于推进募投项目的顺利开展，保障公司募投项目的实施进度，符合公司募投项目的投资目的和公司主营业务的发展方向，符合公司及全体股东的利益。</w:t>
      </w:r>
    </w:p>
    <w:p>
      <w:pPr>
        <w:adjustRightInd w:val="0"/>
        <w:snapToGrid w:val="0"/>
        <w:spacing w:line="360" w:lineRule="auto"/>
        <w:ind w:firstLine="420"/>
        <w:rPr>
          <w:rFonts w:ascii="宋体" w:hAnsi="宋体" w:cs="宋体"/>
          <w:shd w:val="clear" w:color="auto" w:fill="FFFFFF"/>
        </w:rPr>
      </w:pPr>
    </w:p>
    <w:p>
      <w:pPr>
        <w:numPr>
          <w:ilvl w:val="0"/>
          <w:numId w:val="2"/>
        </w:numPr>
        <w:spacing w:before="156" w:beforeLines="50" w:after="156" w:afterLines="50" w:line="360" w:lineRule="auto"/>
        <w:rPr>
          <w:rFonts w:ascii="宋体" w:hAnsi="宋体" w:cs="宋体"/>
          <w:b/>
          <w:color w:val="000000"/>
        </w:rPr>
      </w:pPr>
      <w:r>
        <w:rPr>
          <w:rFonts w:hint="eastAsia" w:ascii="宋体" w:hAnsi="宋体" w:cs="宋体"/>
          <w:b/>
          <w:color w:val="000000"/>
        </w:rPr>
        <w:t>本次新增募投项目实施主体审议程序及相关意见</w:t>
      </w:r>
    </w:p>
    <w:p>
      <w:pPr>
        <w:adjustRightInd w:val="0"/>
        <w:snapToGrid w:val="0"/>
        <w:spacing w:line="360" w:lineRule="auto"/>
        <w:ind w:firstLine="420"/>
        <w:rPr>
          <w:rFonts w:ascii="宋体" w:hAnsi="宋体" w:cs="宋体"/>
          <w:shd w:val="clear" w:color="auto" w:fill="FFFFFF"/>
        </w:rPr>
      </w:pPr>
      <w:r>
        <w:rPr>
          <w:rFonts w:hint="eastAsia" w:ascii="宋体" w:hAnsi="宋体" w:cs="宋体"/>
          <w:shd w:val="clear" w:color="auto" w:fill="FFFFFF"/>
        </w:rPr>
        <w:t>（一）审议程序</w:t>
      </w:r>
    </w:p>
    <w:p>
      <w:pPr>
        <w:adjustRightInd w:val="0"/>
        <w:snapToGrid w:val="0"/>
        <w:spacing w:line="360" w:lineRule="auto"/>
        <w:ind w:firstLine="420"/>
        <w:rPr>
          <w:rFonts w:ascii="宋体" w:hAnsi="宋体" w:cs="宋体"/>
          <w:shd w:val="clear" w:color="auto" w:fill="FFFFFF"/>
        </w:rPr>
      </w:pPr>
      <w:r>
        <w:rPr>
          <w:rFonts w:hint="eastAsia" w:ascii="宋体" w:hAnsi="宋体" w:cs="宋体"/>
          <w:shd w:val="clear" w:color="auto" w:fill="FFFFFF"/>
        </w:rPr>
        <w:t>公司于2022年10月25日召开第八届董事会第五次会议及第八届监事会第五次会议，审议通过了《关于部分募投项目增加实施主体的议案》，同意公司根据募集资金投资项目的实际开展需要，新增公司全资孙公司信元通作为“</w:t>
      </w:r>
      <w:r>
        <w:rPr>
          <w:rFonts w:hint="eastAsia" w:ascii="宋体" w:hAnsi="宋体" w:cs="宋体"/>
        </w:rPr>
        <w:t>智联网安全技术研发与产业化项目</w:t>
      </w:r>
      <w:r>
        <w:rPr>
          <w:rFonts w:hint="eastAsia" w:ascii="宋体" w:hAnsi="宋体" w:cs="宋体"/>
          <w:shd w:val="clear" w:color="auto" w:fill="FFFFFF"/>
        </w:rPr>
        <w:t>”和“</w:t>
      </w:r>
      <w:r>
        <w:rPr>
          <w:rFonts w:hint="eastAsia" w:ascii="宋体" w:hAnsi="宋体" w:cs="宋体"/>
        </w:rPr>
        <w:t>下一代数字信任产品研发与产业化项目</w:t>
      </w:r>
      <w:r>
        <w:rPr>
          <w:rFonts w:hint="eastAsia" w:ascii="宋体" w:hAnsi="宋体" w:cs="宋体"/>
          <w:shd w:val="clear" w:color="auto" w:fill="FFFFFF"/>
        </w:rPr>
        <w:t>”的实施主体，募投项目其他内容均不发生变化。</w:t>
      </w:r>
    </w:p>
    <w:p>
      <w:pPr>
        <w:numPr>
          <w:ilvl w:val="0"/>
          <w:numId w:val="3"/>
        </w:numPr>
        <w:adjustRightInd w:val="0"/>
        <w:snapToGrid w:val="0"/>
        <w:spacing w:line="360" w:lineRule="auto"/>
        <w:rPr>
          <w:rFonts w:ascii="宋体" w:hAnsi="宋体" w:cs="宋体"/>
          <w:shd w:val="clear" w:color="auto" w:fill="FFFFFF"/>
        </w:rPr>
      </w:pPr>
      <w:r>
        <w:rPr>
          <w:rFonts w:hint="eastAsia" w:ascii="宋体" w:hAnsi="宋体" w:cs="宋体"/>
          <w:shd w:val="clear" w:color="auto" w:fill="FFFFFF"/>
        </w:rPr>
        <w:t>独立董事意见</w:t>
      </w:r>
    </w:p>
    <w:p>
      <w:pPr>
        <w:adjustRightInd w:val="0"/>
        <w:snapToGrid w:val="0"/>
        <w:spacing w:line="360" w:lineRule="auto"/>
        <w:ind w:firstLine="420"/>
        <w:rPr>
          <w:rFonts w:ascii="宋体" w:hAnsi="宋体" w:cs="宋体"/>
          <w:shd w:val="clear" w:color="auto" w:fill="FFFFFF"/>
        </w:rPr>
      </w:pPr>
      <w:r>
        <w:rPr>
          <w:rFonts w:hint="eastAsia" w:ascii="宋体" w:hAnsi="宋体" w:cs="宋体"/>
          <w:shd w:val="clear" w:color="auto" w:fill="FFFFFF"/>
        </w:rPr>
        <w:t>公司根据募投项目的实际开展需要，新增全资孙公司信元通作为募投项目实施主体，未改变募投项目的建设内容和募集资金的投入金额，不会对募投项目的实施产生不利影响，内容和决策程序均符合《上市公司监管指引第2号—上市公司募集资金管理和使用的监管要求》《上海证券交易所上市公司自律监管指引第1号——规范运作》等相关规定。新增全资孙公司作为募投项目实施主体有利于推进募投项目的顺利开展，符合公司和全体股东的利益。因此，我们同意公司对部分募集资金投资项目增加实施主体。</w:t>
      </w:r>
    </w:p>
    <w:p>
      <w:pPr>
        <w:numPr>
          <w:ilvl w:val="0"/>
          <w:numId w:val="3"/>
        </w:numPr>
        <w:adjustRightInd w:val="0"/>
        <w:snapToGrid w:val="0"/>
        <w:spacing w:line="360" w:lineRule="auto"/>
        <w:rPr>
          <w:rFonts w:ascii="宋体" w:hAnsi="宋体" w:cs="宋体"/>
          <w:shd w:val="clear" w:color="auto" w:fill="FFFFFF"/>
        </w:rPr>
      </w:pPr>
      <w:r>
        <w:rPr>
          <w:rFonts w:hint="eastAsia" w:ascii="宋体" w:hAnsi="宋体" w:cs="宋体"/>
          <w:shd w:val="clear" w:color="auto" w:fill="FFFFFF"/>
        </w:rPr>
        <w:t>监事会意见</w:t>
      </w:r>
    </w:p>
    <w:p>
      <w:pPr>
        <w:adjustRightInd w:val="0"/>
        <w:snapToGrid w:val="0"/>
        <w:spacing w:line="360" w:lineRule="auto"/>
        <w:ind w:firstLine="420"/>
        <w:rPr>
          <w:rFonts w:ascii="宋体" w:hAnsi="宋体" w:cs="宋体"/>
          <w:shd w:val="clear" w:color="auto" w:fill="FFFFFF"/>
        </w:rPr>
      </w:pPr>
      <w:r>
        <w:rPr>
          <w:rFonts w:hint="eastAsia" w:ascii="宋体" w:hAnsi="宋体" w:cs="宋体"/>
          <w:shd w:val="clear" w:color="auto" w:fill="FFFFFF"/>
        </w:rPr>
        <w:t>监事会经审议后认为：公司本次增加部分募集资金投资项目的实施主体，符合募投项目实际开展需要，不存在变相改变募集资金投向的情形，新增实施主体不会对募投项目的实施造成实质影响，不存在损害公司或股东利益的情形。综上，监事会同意公司本次部分募投项目增加实施主体的事项。</w:t>
      </w:r>
    </w:p>
    <w:p>
      <w:pPr>
        <w:numPr>
          <w:ilvl w:val="0"/>
          <w:numId w:val="3"/>
        </w:numPr>
        <w:adjustRightInd w:val="0"/>
        <w:snapToGrid w:val="0"/>
        <w:spacing w:line="360" w:lineRule="auto"/>
        <w:rPr>
          <w:rFonts w:ascii="宋体" w:hAnsi="宋体" w:cs="宋体"/>
          <w:shd w:val="clear" w:color="auto" w:fill="FFFFFF"/>
        </w:rPr>
      </w:pPr>
      <w:r>
        <w:rPr>
          <w:rFonts w:hint="eastAsia" w:ascii="宋体" w:hAnsi="宋体" w:cs="宋体"/>
          <w:shd w:val="clear" w:color="auto" w:fill="FFFFFF"/>
        </w:rPr>
        <w:t>保荐机构核查意见</w:t>
      </w:r>
    </w:p>
    <w:p>
      <w:pPr>
        <w:adjustRightInd w:val="0"/>
        <w:snapToGrid w:val="0"/>
        <w:spacing w:line="360" w:lineRule="auto"/>
        <w:ind w:firstLine="420"/>
        <w:rPr>
          <w:rFonts w:ascii="宋体" w:hAnsi="宋体" w:cs="宋体"/>
          <w:shd w:val="clear" w:color="auto" w:fill="FFFFFF"/>
        </w:rPr>
      </w:pPr>
      <w:r>
        <w:rPr>
          <w:rFonts w:hint="eastAsia" w:ascii="宋体" w:hAnsi="宋体" w:cs="宋体"/>
          <w:shd w:val="clear" w:color="auto" w:fill="FFFFFF"/>
        </w:rPr>
        <w:t>经核查，保荐机构认为：格尔软件本次部分募集资金投资项目新增实施主体的事项已经公司董事会和监事会审议通过，独立董事发表了同意意见，履行了必要的程序，符合《上海证券交易所股票上市规则》《上海证券交易所上市公司自律监管指引第1号——规范运作》等相关法律法规及规范性文件的规定，不存在损害公司或股东利益的情形。综上所述，保荐机构对公司本次部分募集资金投资项目新增实施主体事项无异议。</w:t>
      </w:r>
    </w:p>
    <w:p>
      <w:pPr>
        <w:adjustRightInd w:val="0"/>
        <w:snapToGrid w:val="0"/>
        <w:spacing w:line="360" w:lineRule="auto"/>
        <w:rPr>
          <w:rFonts w:ascii="宋体" w:hAnsi="宋体" w:cs="宋体"/>
          <w:shd w:val="clear" w:color="auto" w:fill="FFFFFF"/>
        </w:rPr>
      </w:pPr>
    </w:p>
    <w:p>
      <w:pPr>
        <w:numPr>
          <w:ilvl w:val="0"/>
          <w:numId w:val="2"/>
        </w:numPr>
        <w:spacing w:before="156" w:beforeLines="50" w:after="156" w:afterLines="50" w:line="360" w:lineRule="auto"/>
        <w:rPr>
          <w:rFonts w:ascii="宋体" w:hAnsi="宋体" w:cs="宋体"/>
          <w:b/>
          <w:color w:val="000000"/>
        </w:rPr>
      </w:pPr>
      <w:r>
        <w:rPr>
          <w:rFonts w:hint="eastAsia" w:ascii="宋体" w:hAnsi="宋体" w:cs="宋体"/>
          <w:b/>
          <w:color w:val="000000"/>
        </w:rPr>
        <w:t>上网公告附件</w:t>
      </w:r>
    </w:p>
    <w:p>
      <w:pPr>
        <w:adjustRightInd w:val="0"/>
        <w:snapToGrid w:val="0"/>
        <w:spacing w:line="360" w:lineRule="auto"/>
        <w:rPr>
          <w:rFonts w:ascii="宋体" w:hAnsi="宋体" w:cs="宋体"/>
          <w:shd w:val="clear" w:color="auto" w:fill="FFFFFF"/>
        </w:rPr>
      </w:pPr>
      <w:r>
        <w:rPr>
          <w:rFonts w:hint="eastAsia" w:ascii="宋体" w:hAnsi="宋体" w:cs="宋体"/>
          <w:shd w:val="clear" w:color="auto" w:fill="FFFFFF"/>
        </w:rPr>
        <w:t>《中信证券股份有限公司关于格尔软件股份有限公司部分募集资金投资项目新增实施主体的核查意见》</w:t>
      </w:r>
    </w:p>
    <w:p>
      <w:pPr>
        <w:snapToGrid w:val="0"/>
        <w:spacing w:line="360" w:lineRule="auto"/>
        <w:ind w:firstLine="460" w:firstLineChars="192"/>
        <w:jc w:val="both"/>
        <w:rPr>
          <w:rFonts w:ascii="宋体" w:hAnsi="宋体" w:cs="宋体"/>
          <w:color w:val="000000"/>
        </w:rPr>
      </w:pPr>
    </w:p>
    <w:p>
      <w:pPr>
        <w:snapToGrid w:val="0"/>
        <w:spacing w:line="360" w:lineRule="auto"/>
        <w:ind w:firstLine="460" w:firstLineChars="192"/>
        <w:jc w:val="both"/>
        <w:rPr>
          <w:rFonts w:ascii="宋体" w:hAnsi="宋体" w:cs="宋体"/>
          <w:color w:val="000000"/>
        </w:rPr>
      </w:pPr>
      <w:r>
        <w:rPr>
          <w:rFonts w:hint="eastAsia" w:ascii="宋体" w:hAnsi="宋体" w:cs="宋体"/>
          <w:color w:val="000000"/>
        </w:rPr>
        <w:t>特此公告。</w:t>
      </w:r>
    </w:p>
    <w:p>
      <w:pPr>
        <w:snapToGrid w:val="0"/>
        <w:spacing w:line="360" w:lineRule="auto"/>
        <w:ind w:firstLine="460" w:firstLineChars="192"/>
        <w:jc w:val="right"/>
        <w:rPr>
          <w:rFonts w:eastAsiaTheme="minorEastAsia"/>
          <w:color w:val="000000"/>
        </w:rPr>
      </w:pPr>
      <w:r>
        <w:rPr>
          <w:rFonts w:eastAsiaTheme="minorEastAsia"/>
          <w:color w:val="000000"/>
        </w:rPr>
        <w:t>格尔软件股份有限公司</w:t>
      </w:r>
      <w:r>
        <w:rPr>
          <w:rFonts w:hint="eastAsia" w:eastAsiaTheme="minorEastAsia"/>
          <w:color w:val="000000"/>
        </w:rPr>
        <w:t>董事会</w:t>
      </w:r>
    </w:p>
    <w:p>
      <w:pPr>
        <w:snapToGrid w:val="0"/>
        <w:spacing w:line="360" w:lineRule="auto"/>
        <w:ind w:firstLine="480" w:firstLineChars="200"/>
        <w:jc w:val="right"/>
      </w:pPr>
      <w:r>
        <w:rPr>
          <w:rFonts w:eastAsiaTheme="minorEastAsia"/>
        </w:rPr>
        <w:t>2022年</w:t>
      </w:r>
      <w:r>
        <w:rPr>
          <w:rFonts w:hint="eastAsia" w:eastAsiaTheme="minorEastAsia"/>
        </w:rPr>
        <w:t>10</w:t>
      </w:r>
      <w:r>
        <w:rPr>
          <w:rFonts w:eastAsiaTheme="minorEastAsia"/>
        </w:rPr>
        <w:t>月</w:t>
      </w:r>
      <w:r>
        <w:rPr>
          <w:rFonts w:hint="eastAsia" w:eastAsiaTheme="minorEastAsia"/>
          <w:highlight w:val="yellow"/>
        </w:rPr>
        <w:t>26</w:t>
      </w:r>
      <w:r>
        <w:rPr>
          <w:rFonts w:eastAsiaTheme="minorEastAsia"/>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852EA"/>
    <w:multiLevelType w:val="singleLevel"/>
    <w:tmpl w:val="061852EA"/>
    <w:lvl w:ilvl="0" w:tentative="0">
      <w:start w:val="2"/>
      <w:numFmt w:val="chineseCounting"/>
      <w:suff w:val="nothing"/>
      <w:lvlText w:val="（%1）"/>
      <w:lvlJc w:val="left"/>
      <w:pPr>
        <w:ind w:left="420"/>
      </w:pPr>
      <w:rPr>
        <w:rFonts w:hint="eastAsia"/>
      </w:rPr>
    </w:lvl>
  </w:abstractNum>
  <w:abstractNum w:abstractNumId="1">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2">
    <w:nsid w:val="3C00E845"/>
    <w:multiLevelType w:val="singleLevel"/>
    <w:tmpl w:val="3C00E845"/>
    <w:lvl w:ilvl="0" w:tentative="0">
      <w:start w:val="4"/>
      <w:numFmt w:val="chineseCounting"/>
      <w:suff w:val="nothing"/>
      <w:lvlText w:val="%1、"/>
      <w:lvlJc w:val="left"/>
      <w:pPr>
        <w:ind w:left="42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009C6E42"/>
    <w:rsid w:val="0001518A"/>
    <w:rsid w:val="00021C26"/>
    <w:rsid w:val="00022E62"/>
    <w:rsid w:val="00034C18"/>
    <w:rsid w:val="0006001C"/>
    <w:rsid w:val="00062682"/>
    <w:rsid w:val="000722A2"/>
    <w:rsid w:val="000805F0"/>
    <w:rsid w:val="000B2247"/>
    <w:rsid w:val="000B6613"/>
    <w:rsid w:val="000D159E"/>
    <w:rsid w:val="000D6DC1"/>
    <w:rsid w:val="000E2099"/>
    <w:rsid w:val="000E6472"/>
    <w:rsid w:val="000F28C0"/>
    <w:rsid w:val="00106FFA"/>
    <w:rsid w:val="00110697"/>
    <w:rsid w:val="00126977"/>
    <w:rsid w:val="0012771B"/>
    <w:rsid w:val="00131460"/>
    <w:rsid w:val="00133A94"/>
    <w:rsid w:val="001356CB"/>
    <w:rsid w:val="00163A3C"/>
    <w:rsid w:val="0017115E"/>
    <w:rsid w:val="00173872"/>
    <w:rsid w:val="00191EB6"/>
    <w:rsid w:val="001A13FD"/>
    <w:rsid w:val="001B313D"/>
    <w:rsid w:val="001C4072"/>
    <w:rsid w:val="001E14A7"/>
    <w:rsid w:val="001F1231"/>
    <w:rsid w:val="001F31B2"/>
    <w:rsid w:val="00201867"/>
    <w:rsid w:val="002115E2"/>
    <w:rsid w:val="00213E54"/>
    <w:rsid w:val="00214D08"/>
    <w:rsid w:val="00220129"/>
    <w:rsid w:val="00233B53"/>
    <w:rsid w:val="002447E5"/>
    <w:rsid w:val="00261677"/>
    <w:rsid w:val="002750E8"/>
    <w:rsid w:val="00284D3B"/>
    <w:rsid w:val="00290949"/>
    <w:rsid w:val="002C7394"/>
    <w:rsid w:val="002E0BC0"/>
    <w:rsid w:val="002F1D31"/>
    <w:rsid w:val="002F20A4"/>
    <w:rsid w:val="0030246F"/>
    <w:rsid w:val="003064A7"/>
    <w:rsid w:val="003168B3"/>
    <w:rsid w:val="00323A9D"/>
    <w:rsid w:val="00325A33"/>
    <w:rsid w:val="00332E22"/>
    <w:rsid w:val="00335674"/>
    <w:rsid w:val="003434F6"/>
    <w:rsid w:val="0037562B"/>
    <w:rsid w:val="003D0490"/>
    <w:rsid w:val="003E2EC3"/>
    <w:rsid w:val="003F4838"/>
    <w:rsid w:val="0043128F"/>
    <w:rsid w:val="00434C93"/>
    <w:rsid w:val="00441DB1"/>
    <w:rsid w:val="00456B3F"/>
    <w:rsid w:val="00457DAD"/>
    <w:rsid w:val="00462E44"/>
    <w:rsid w:val="00482B62"/>
    <w:rsid w:val="004A2F1B"/>
    <w:rsid w:val="004A51E2"/>
    <w:rsid w:val="004D3047"/>
    <w:rsid w:val="004E19B2"/>
    <w:rsid w:val="004F5440"/>
    <w:rsid w:val="00512621"/>
    <w:rsid w:val="005143EC"/>
    <w:rsid w:val="00536953"/>
    <w:rsid w:val="005411D1"/>
    <w:rsid w:val="00541CB7"/>
    <w:rsid w:val="0056507B"/>
    <w:rsid w:val="0057109C"/>
    <w:rsid w:val="00581AA0"/>
    <w:rsid w:val="00582E21"/>
    <w:rsid w:val="005843C8"/>
    <w:rsid w:val="0059046A"/>
    <w:rsid w:val="005B2138"/>
    <w:rsid w:val="005C37FF"/>
    <w:rsid w:val="005C5EB6"/>
    <w:rsid w:val="005C6518"/>
    <w:rsid w:val="00607864"/>
    <w:rsid w:val="00616A3F"/>
    <w:rsid w:val="0064491F"/>
    <w:rsid w:val="00666B84"/>
    <w:rsid w:val="0067142C"/>
    <w:rsid w:val="00674272"/>
    <w:rsid w:val="006919FF"/>
    <w:rsid w:val="006A269B"/>
    <w:rsid w:val="006B1EBD"/>
    <w:rsid w:val="006C6417"/>
    <w:rsid w:val="006C6B4D"/>
    <w:rsid w:val="006E72E7"/>
    <w:rsid w:val="00703D83"/>
    <w:rsid w:val="00732C0F"/>
    <w:rsid w:val="0075001C"/>
    <w:rsid w:val="0075122B"/>
    <w:rsid w:val="007527D5"/>
    <w:rsid w:val="00755D25"/>
    <w:rsid w:val="007618B0"/>
    <w:rsid w:val="007778CE"/>
    <w:rsid w:val="00781184"/>
    <w:rsid w:val="00782594"/>
    <w:rsid w:val="00791B8D"/>
    <w:rsid w:val="007D3A51"/>
    <w:rsid w:val="007E1209"/>
    <w:rsid w:val="007E26DA"/>
    <w:rsid w:val="007E30FE"/>
    <w:rsid w:val="007F4B01"/>
    <w:rsid w:val="007F69D0"/>
    <w:rsid w:val="00861A8E"/>
    <w:rsid w:val="008709AC"/>
    <w:rsid w:val="008716AE"/>
    <w:rsid w:val="00891777"/>
    <w:rsid w:val="008A4360"/>
    <w:rsid w:val="008B09DA"/>
    <w:rsid w:val="008C3BC7"/>
    <w:rsid w:val="008C42D1"/>
    <w:rsid w:val="008C707F"/>
    <w:rsid w:val="008D3158"/>
    <w:rsid w:val="008D7D5F"/>
    <w:rsid w:val="008E450B"/>
    <w:rsid w:val="008F4B5B"/>
    <w:rsid w:val="00923A69"/>
    <w:rsid w:val="00940A25"/>
    <w:rsid w:val="00961C0E"/>
    <w:rsid w:val="0096659B"/>
    <w:rsid w:val="00970B7D"/>
    <w:rsid w:val="009716E5"/>
    <w:rsid w:val="009A6108"/>
    <w:rsid w:val="009B3919"/>
    <w:rsid w:val="009C6E42"/>
    <w:rsid w:val="009D490D"/>
    <w:rsid w:val="00A047DF"/>
    <w:rsid w:val="00A1415E"/>
    <w:rsid w:val="00A41FFE"/>
    <w:rsid w:val="00A61F00"/>
    <w:rsid w:val="00A62962"/>
    <w:rsid w:val="00A71C97"/>
    <w:rsid w:val="00A72368"/>
    <w:rsid w:val="00A9390F"/>
    <w:rsid w:val="00A96597"/>
    <w:rsid w:val="00AC4A33"/>
    <w:rsid w:val="00AD7B8B"/>
    <w:rsid w:val="00B02BC2"/>
    <w:rsid w:val="00B10425"/>
    <w:rsid w:val="00B153C5"/>
    <w:rsid w:val="00B22C1A"/>
    <w:rsid w:val="00B27DBC"/>
    <w:rsid w:val="00B77B90"/>
    <w:rsid w:val="00B8509F"/>
    <w:rsid w:val="00B90A28"/>
    <w:rsid w:val="00B91097"/>
    <w:rsid w:val="00B9474F"/>
    <w:rsid w:val="00B94DF3"/>
    <w:rsid w:val="00B95149"/>
    <w:rsid w:val="00BC13B0"/>
    <w:rsid w:val="00BD2941"/>
    <w:rsid w:val="00BE539C"/>
    <w:rsid w:val="00BF62EF"/>
    <w:rsid w:val="00C00B3E"/>
    <w:rsid w:val="00C55A63"/>
    <w:rsid w:val="00C569F2"/>
    <w:rsid w:val="00C65383"/>
    <w:rsid w:val="00C84572"/>
    <w:rsid w:val="00C85161"/>
    <w:rsid w:val="00C90D3C"/>
    <w:rsid w:val="00C970BB"/>
    <w:rsid w:val="00CA0083"/>
    <w:rsid w:val="00CD17CF"/>
    <w:rsid w:val="00CE13E7"/>
    <w:rsid w:val="00D07CD5"/>
    <w:rsid w:val="00D07DCA"/>
    <w:rsid w:val="00D207A5"/>
    <w:rsid w:val="00D23222"/>
    <w:rsid w:val="00D23697"/>
    <w:rsid w:val="00D27792"/>
    <w:rsid w:val="00D30C51"/>
    <w:rsid w:val="00D370E0"/>
    <w:rsid w:val="00D45446"/>
    <w:rsid w:val="00D53CA9"/>
    <w:rsid w:val="00D64105"/>
    <w:rsid w:val="00D657AB"/>
    <w:rsid w:val="00D810EE"/>
    <w:rsid w:val="00D92124"/>
    <w:rsid w:val="00DA06E2"/>
    <w:rsid w:val="00DB096A"/>
    <w:rsid w:val="00DB75CF"/>
    <w:rsid w:val="00DC2022"/>
    <w:rsid w:val="00DC6AA1"/>
    <w:rsid w:val="00DE1453"/>
    <w:rsid w:val="00DE3EDD"/>
    <w:rsid w:val="00E1611E"/>
    <w:rsid w:val="00E21F93"/>
    <w:rsid w:val="00E33166"/>
    <w:rsid w:val="00E36290"/>
    <w:rsid w:val="00E44B3A"/>
    <w:rsid w:val="00E638CE"/>
    <w:rsid w:val="00E82A9E"/>
    <w:rsid w:val="00EA31D3"/>
    <w:rsid w:val="00EA7340"/>
    <w:rsid w:val="00EB25E7"/>
    <w:rsid w:val="00ED7676"/>
    <w:rsid w:val="00EF053F"/>
    <w:rsid w:val="00F0408C"/>
    <w:rsid w:val="00F10FE9"/>
    <w:rsid w:val="00F12600"/>
    <w:rsid w:val="00F22ADD"/>
    <w:rsid w:val="00F43499"/>
    <w:rsid w:val="00F47089"/>
    <w:rsid w:val="00F65091"/>
    <w:rsid w:val="00FB2AC6"/>
    <w:rsid w:val="00FB4734"/>
    <w:rsid w:val="00FB6F73"/>
    <w:rsid w:val="00FB79A2"/>
    <w:rsid w:val="00FC0663"/>
    <w:rsid w:val="00FD1530"/>
    <w:rsid w:val="00FD3001"/>
    <w:rsid w:val="00FE47EA"/>
    <w:rsid w:val="00FF2439"/>
    <w:rsid w:val="00FF49AD"/>
    <w:rsid w:val="011F4360"/>
    <w:rsid w:val="01E3316A"/>
    <w:rsid w:val="02214FC3"/>
    <w:rsid w:val="02B95212"/>
    <w:rsid w:val="04383D88"/>
    <w:rsid w:val="06C44988"/>
    <w:rsid w:val="073D3EE8"/>
    <w:rsid w:val="08D34E66"/>
    <w:rsid w:val="092822A5"/>
    <w:rsid w:val="0AC67B39"/>
    <w:rsid w:val="0B100CAC"/>
    <w:rsid w:val="0C1D2426"/>
    <w:rsid w:val="0C490DA4"/>
    <w:rsid w:val="0C6A5DF9"/>
    <w:rsid w:val="0CA3523B"/>
    <w:rsid w:val="0DC21D96"/>
    <w:rsid w:val="0DF14EC2"/>
    <w:rsid w:val="0E41082D"/>
    <w:rsid w:val="0ED830F1"/>
    <w:rsid w:val="0F851FF3"/>
    <w:rsid w:val="102B4305"/>
    <w:rsid w:val="10597E57"/>
    <w:rsid w:val="117F52E5"/>
    <w:rsid w:val="13143F34"/>
    <w:rsid w:val="18580A65"/>
    <w:rsid w:val="1AAE6AF0"/>
    <w:rsid w:val="1B037CDD"/>
    <w:rsid w:val="1D093BE7"/>
    <w:rsid w:val="1F20370F"/>
    <w:rsid w:val="21597A58"/>
    <w:rsid w:val="216A1B8D"/>
    <w:rsid w:val="21ED770F"/>
    <w:rsid w:val="224462EA"/>
    <w:rsid w:val="22FE2970"/>
    <w:rsid w:val="232D64B7"/>
    <w:rsid w:val="234447AB"/>
    <w:rsid w:val="23CF0795"/>
    <w:rsid w:val="24C108AD"/>
    <w:rsid w:val="25483E3A"/>
    <w:rsid w:val="25814332"/>
    <w:rsid w:val="26950971"/>
    <w:rsid w:val="26D86943"/>
    <w:rsid w:val="2859184C"/>
    <w:rsid w:val="28A90D4C"/>
    <w:rsid w:val="2A1022F5"/>
    <w:rsid w:val="2A1E425C"/>
    <w:rsid w:val="2BEA0F44"/>
    <w:rsid w:val="2C4F2AD7"/>
    <w:rsid w:val="2CC8097D"/>
    <w:rsid w:val="2E227416"/>
    <w:rsid w:val="2EF01BE2"/>
    <w:rsid w:val="2F8751FB"/>
    <w:rsid w:val="2FD327D9"/>
    <w:rsid w:val="2FD94771"/>
    <w:rsid w:val="30411E87"/>
    <w:rsid w:val="32654859"/>
    <w:rsid w:val="32BA5BD3"/>
    <w:rsid w:val="331A4B9F"/>
    <w:rsid w:val="33E653E8"/>
    <w:rsid w:val="37092B3E"/>
    <w:rsid w:val="38D26630"/>
    <w:rsid w:val="3B277FFC"/>
    <w:rsid w:val="3D356685"/>
    <w:rsid w:val="3E920F0F"/>
    <w:rsid w:val="3FB222DC"/>
    <w:rsid w:val="407E0AA8"/>
    <w:rsid w:val="416C38DF"/>
    <w:rsid w:val="41A12AA1"/>
    <w:rsid w:val="423A0886"/>
    <w:rsid w:val="42E12896"/>
    <w:rsid w:val="436B7FDA"/>
    <w:rsid w:val="44064FCD"/>
    <w:rsid w:val="44C7795C"/>
    <w:rsid w:val="45316EFE"/>
    <w:rsid w:val="4532027A"/>
    <w:rsid w:val="45B253A3"/>
    <w:rsid w:val="46092479"/>
    <w:rsid w:val="467C66C9"/>
    <w:rsid w:val="47FE7124"/>
    <w:rsid w:val="490876A7"/>
    <w:rsid w:val="496A4CD3"/>
    <w:rsid w:val="49B86908"/>
    <w:rsid w:val="49E12C87"/>
    <w:rsid w:val="4A172A4E"/>
    <w:rsid w:val="4B3D59C8"/>
    <w:rsid w:val="4BF70D33"/>
    <w:rsid w:val="4DA62092"/>
    <w:rsid w:val="4EF4496D"/>
    <w:rsid w:val="4F486310"/>
    <w:rsid w:val="507024A0"/>
    <w:rsid w:val="557030FD"/>
    <w:rsid w:val="56E22B76"/>
    <w:rsid w:val="56EF4352"/>
    <w:rsid w:val="58556BFC"/>
    <w:rsid w:val="5A070C42"/>
    <w:rsid w:val="5A150BDD"/>
    <w:rsid w:val="5A7E1718"/>
    <w:rsid w:val="5AF87FEB"/>
    <w:rsid w:val="5B4F7984"/>
    <w:rsid w:val="5C332A84"/>
    <w:rsid w:val="5C765C35"/>
    <w:rsid w:val="5CFC0A5F"/>
    <w:rsid w:val="5E8F65BA"/>
    <w:rsid w:val="5EBD29C7"/>
    <w:rsid w:val="607E7678"/>
    <w:rsid w:val="621857A8"/>
    <w:rsid w:val="633A5865"/>
    <w:rsid w:val="662034EA"/>
    <w:rsid w:val="663049B1"/>
    <w:rsid w:val="66720B4E"/>
    <w:rsid w:val="66F0112A"/>
    <w:rsid w:val="67596B94"/>
    <w:rsid w:val="67734057"/>
    <w:rsid w:val="684E0A93"/>
    <w:rsid w:val="69411A88"/>
    <w:rsid w:val="6A0D0B87"/>
    <w:rsid w:val="6AB54AA0"/>
    <w:rsid w:val="6EAC4C03"/>
    <w:rsid w:val="70285E66"/>
    <w:rsid w:val="70765533"/>
    <w:rsid w:val="713B55CA"/>
    <w:rsid w:val="722B71FD"/>
    <w:rsid w:val="73B86637"/>
    <w:rsid w:val="74D35AD8"/>
    <w:rsid w:val="75D352C7"/>
    <w:rsid w:val="76F7441A"/>
    <w:rsid w:val="773430B1"/>
    <w:rsid w:val="7742482B"/>
    <w:rsid w:val="77781FC6"/>
    <w:rsid w:val="78975E90"/>
    <w:rsid w:val="7BC552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22"/>
    <w:semiHidden/>
    <w:unhideWhenUsed/>
    <w:qFormat/>
    <w:uiPriority w:val="99"/>
    <w:rPr>
      <w:rFonts w:ascii="宋体"/>
      <w:sz w:val="18"/>
      <w:szCs w:val="18"/>
    </w:rPr>
  </w:style>
  <w:style w:type="paragraph" w:styleId="3">
    <w:name w:val="annotation text"/>
    <w:basedOn w:val="1"/>
    <w:link w:val="24"/>
    <w:semiHidden/>
    <w:unhideWhenUsed/>
    <w:qFormat/>
    <w:uiPriority w:val="99"/>
  </w:style>
  <w:style w:type="paragraph" w:styleId="4">
    <w:name w:val="Date"/>
    <w:basedOn w:val="1"/>
    <w:next w:val="1"/>
    <w:link w:val="19"/>
    <w:semiHidden/>
    <w:unhideWhenUsed/>
    <w:qFormat/>
    <w:uiPriority w:val="99"/>
    <w:pPr>
      <w:ind w:left="100" w:leftChars="2500"/>
    </w:pPr>
  </w:style>
  <w:style w:type="paragraph" w:styleId="5">
    <w:name w:val="Balloon Text"/>
    <w:basedOn w:val="1"/>
    <w:link w:val="27"/>
    <w:semiHidden/>
    <w:unhideWhenUsed/>
    <w:qFormat/>
    <w:uiPriority w:val="99"/>
    <w:rPr>
      <w:sz w:val="18"/>
      <w:szCs w:val="18"/>
    </w:rPr>
  </w:style>
  <w:style w:type="paragraph" w:styleId="6">
    <w:name w:val="footer"/>
    <w:basedOn w:val="1"/>
    <w:link w:val="21"/>
    <w:unhideWhenUsed/>
    <w:qFormat/>
    <w:uiPriority w:val="99"/>
    <w:pPr>
      <w:tabs>
        <w:tab w:val="center" w:pos="4153"/>
        <w:tab w:val="right" w:pos="8306"/>
      </w:tabs>
      <w:snapToGrid w:val="0"/>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pPr>
  </w:style>
  <w:style w:type="paragraph" w:styleId="9">
    <w:name w:val="annotation subject"/>
    <w:basedOn w:val="3"/>
    <w:next w:val="3"/>
    <w:link w:val="25"/>
    <w:semiHidden/>
    <w:unhideWhenUsed/>
    <w:qFormat/>
    <w:uiPriority w:val="99"/>
    <w:rPr>
      <w:b/>
      <w:bCs/>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qFormat/>
    <w:uiPriority w:val="0"/>
    <w:rPr>
      <w:color w:val="0000FF"/>
      <w:u w:val="single"/>
    </w:rPr>
  </w:style>
  <w:style w:type="character" w:styleId="15">
    <w:name w:val="annotation reference"/>
    <w:basedOn w:val="12"/>
    <w:semiHidden/>
    <w:unhideWhenUsed/>
    <w:qFormat/>
    <w:uiPriority w:val="99"/>
    <w:rPr>
      <w:sz w:val="21"/>
      <w:szCs w:val="21"/>
    </w:rPr>
  </w:style>
  <w:style w:type="paragraph" w:customStyle="1" w:styleId="16">
    <w:name w:val="Default"/>
    <w:link w:val="17"/>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17">
    <w:name w:val="Default Char"/>
    <w:link w:val="16"/>
    <w:qFormat/>
    <w:uiPriority w:val="0"/>
    <w:rPr>
      <w:rFonts w:ascii="楷体_GB2312" w:hAnsi="Times New Roman" w:eastAsia="楷体_GB2312" w:cs="Times New Roman"/>
      <w:color w:val="000000"/>
      <w:kern w:val="0"/>
      <w:sz w:val="24"/>
      <w:szCs w:val="24"/>
    </w:rPr>
  </w:style>
  <w:style w:type="paragraph" w:styleId="18">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19">
    <w:name w:val="日期 字符"/>
    <w:basedOn w:val="12"/>
    <w:link w:val="4"/>
    <w:semiHidden/>
    <w:qFormat/>
    <w:uiPriority w:val="99"/>
    <w:rPr>
      <w:rFonts w:ascii="Times New Roman" w:hAnsi="Times New Roman" w:eastAsia="宋体" w:cs="Times New Roman"/>
      <w:kern w:val="0"/>
      <w:sz w:val="24"/>
      <w:szCs w:val="24"/>
    </w:rPr>
  </w:style>
  <w:style w:type="character" w:customStyle="1" w:styleId="20">
    <w:name w:val="页眉 字符"/>
    <w:basedOn w:val="12"/>
    <w:link w:val="7"/>
    <w:qFormat/>
    <w:uiPriority w:val="99"/>
    <w:rPr>
      <w:rFonts w:ascii="Times New Roman" w:hAnsi="Times New Roman" w:eastAsia="宋体" w:cs="Times New Roman"/>
      <w:kern w:val="0"/>
      <w:sz w:val="18"/>
      <w:szCs w:val="18"/>
    </w:rPr>
  </w:style>
  <w:style w:type="character" w:customStyle="1" w:styleId="21">
    <w:name w:val="页脚 字符"/>
    <w:basedOn w:val="12"/>
    <w:link w:val="6"/>
    <w:qFormat/>
    <w:uiPriority w:val="99"/>
    <w:rPr>
      <w:rFonts w:ascii="Times New Roman" w:hAnsi="Times New Roman" w:eastAsia="宋体" w:cs="Times New Roman"/>
      <w:kern w:val="0"/>
      <w:sz w:val="18"/>
      <w:szCs w:val="18"/>
    </w:rPr>
  </w:style>
  <w:style w:type="character" w:customStyle="1" w:styleId="22">
    <w:name w:val="文档结构图 字符"/>
    <w:basedOn w:val="12"/>
    <w:link w:val="2"/>
    <w:semiHidden/>
    <w:qFormat/>
    <w:uiPriority w:val="99"/>
    <w:rPr>
      <w:rFonts w:ascii="宋体" w:hAnsi="Times New Roman" w:eastAsia="宋体" w:cs="Times New Roman"/>
      <w:kern w:val="0"/>
      <w:sz w:val="18"/>
      <w:szCs w:val="18"/>
    </w:rPr>
  </w:style>
  <w:style w:type="paragraph" w:customStyle="1" w:styleId="23">
    <w:name w:val="修订1"/>
    <w:hidden/>
    <w:semiHidden/>
    <w:qFormat/>
    <w:uiPriority w:val="99"/>
    <w:rPr>
      <w:rFonts w:ascii="Times New Roman" w:hAnsi="Times New Roman" w:eastAsia="宋体" w:cs="Times New Roman"/>
      <w:sz w:val="24"/>
      <w:szCs w:val="24"/>
      <w:lang w:val="en-US" w:eastAsia="zh-CN" w:bidi="ar-SA"/>
    </w:rPr>
  </w:style>
  <w:style w:type="character" w:customStyle="1" w:styleId="24">
    <w:name w:val="批注文字 字符"/>
    <w:basedOn w:val="12"/>
    <w:link w:val="3"/>
    <w:semiHidden/>
    <w:qFormat/>
    <w:uiPriority w:val="99"/>
    <w:rPr>
      <w:rFonts w:ascii="Times New Roman" w:hAnsi="Times New Roman" w:eastAsia="宋体" w:cs="Times New Roman"/>
      <w:sz w:val="24"/>
      <w:szCs w:val="24"/>
    </w:rPr>
  </w:style>
  <w:style w:type="character" w:customStyle="1" w:styleId="25">
    <w:name w:val="批注主题 字符"/>
    <w:basedOn w:val="24"/>
    <w:link w:val="9"/>
    <w:semiHidden/>
    <w:qFormat/>
    <w:uiPriority w:val="99"/>
    <w:rPr>
      <w:rFonts w:ascii="Times New Roman" w:hAnsi="Times New Roman" w:eastAsia="宋体" w:cs="Times New Roman"/>
      <w:b/>
      <w:bCs/>
      <w:sz w:val="24"/>
      <w:szCs w:val="24"/>
    </w:rPr>
  </w:style>
  <w:style w:type="paragraph" w:customStyle="1" w:styleId="26">
    <w:name w:val="修订2"/>
    <w:hidden/>
    <w:semiHidden/>
    <w:qFormat/>
    <w:uiPriority w:val="99"/>
    <w:rPr>
      <w:rFonts w:ascii="Times New Roman" w:hAnsi="Times New Roman" w:eastAsia="宋体" w:cs="Times New Roman"/>
      <w:sz w:val="24"/>
      <w:szCs w:val="24"/>
      <w:lang w:val="en-US" w:eastAsia="zh-CN" w:bidi="ar-SA"/>
    </w:rPr>
  </w:style>
  <w:style w:type="character" w:customStyle="1" w:styleId="27">
    <w:name w:val="批注框文本 字符"/>
    <w:basedOn w:val="12"/>
    <w:link w:val="5"/>
    <w:semiHidden/>
    <w:qFormat/>
    <w:uiPriority w:val="99"/>
    <w:rPr>
      <w:sz w:val="18"/>
      <w:szCs w:val="18"/>
    </w:rPr>
  </w:style>
  <w:style w:type="paragraph" w:customStyle="1" w:styleId="28">
    <w:name w:val="Revision"/>
    <w:hidden/>
    <w:semiHidden/>
    <w:qFormat/>
    <w:uiPriority w:val="99"/>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2D8B6-FC97-4C89-8F2E-100ABEB18B35}">
  <ds:schemaRefs/>
</ds:datastoreItem>
</file>

<file path=docProps/app.xml><?xml version="1.0" encoding="utf-8"?>
<Properties xmlns="http://schemas.openxmlformats.org/officeDocument/2006/extended-properties" xmlns:vt="http://schemas.openxmlformats.org/officeDocument/2006/docPropsVTypes">
  <Template>Normal</Template>
  <Pages>5</Pages>
  <Words>2812</Words>
  <Characters>3000</Characters>
  <Lines>22</Lines>
  <Paragraphs>6</Paragraphs>
  <TotalTime>82</TotalTime>
  <ScaleCrop>false</ScaleCrop>
  <LinksUpToDate>false</LinksUpToDate>
  <CharactersWithSpaces>3033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2022-10-08T06:59:00Z</dcterms:created>
  <dc:creator>admin</dc:creator>
  <cp:lastModifiedBy>suuuu</cp:lastModifiedBy>
  <cp:lastPrinted>2019-06-12T08:48:00Z</cp:lastPrinted>
  <dcterms:modified xsi:type="dcterms:W3CDTF">2022-10-25T06:37:42Z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3ACBCB54227B4A1F89F91E0F1519FE38</vt:lpwstr>
  </property>
</Properties>
</file>