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宋体" w:eastAsia="宋体"/>
          <w:sz w:val="21"/>
          <w:szCs w:val="21"/>
          <w:lang w:val="en-US" w:eastAsia="zh-CN"/>
        </w:rPr>
      </w:pPr>
      <w:r>
        <w:rPr>
          <w:rFonts w:hint="eastAsia" w:ascii="宋体" w:hAnsi="宋体"/>
          <w:sz w:val="21"/>
          <w:szCs w:val="21"/>
        </w:rPr>
        <w:t>证券代码：</w:t>
      </w:r>
      <w:r>
        <w:rPr>
          <w:rFonts w:ascii="宋体" w:hAnsi="宋体"/>
          <w:sz w:val="21"/>
          <w:szCs w:val="21"/>
        </w:rPr>
        <w:t>60</w:t>
      </w:r>
      <w:r>
        <w:rPr>
          <w:rFonts w:hint="eastAsia" w:ascii="宋体" w:hAnsi="宋体"/>
          <w:sz w:val="21"/>
          <w:szCs w:val="21"/>
        </w:rPr>
        <w:t>3232</w:t>
      </w:r>
      <w:r>
        <w:rPr>
          <w:rFonts w:ascii="宋体" w:hAnsi="宋体"/>
          <w:sz w:val="21"/>
          <w:szCs w:val="21"/>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rPr>
        <w:t>证券简称：格尔软件</w:t>
      </w:r>
      <w:r>
        <w:rPr>
          <w:rFonts w:ascii="宋体" w:hAnsi="宋体"/>
          <w:sz w:val="21"/>
          <w:szCs w:val="21"/>
        </w:rPr>
        <w:t xml:space="preserve">    </w:t>
      </w:r>
      <w:r>
        <w:rPr>
          <w:rFonts w:hint="eastAsia" w:ascii="宋体" w:hAnsi="宋体"/>
          <w:sz w:val="21"/>
          <w:szCs w:val="21"/>
        </w:rPr>
        <w:t xml:space="preserve">        公告编号：</w:t>
      </w:r>
      <w:r>
        <w:rPr>
          <w:sz w:val="21"/>
          <w:szCs w:val="21"/>
        </w:rPr>
        <w:t>202</w:t>
      </w:r>
      <w:r>
        <w:rPr>
          <w:rFonts w:hint="eastAsia"/>
          <w:sz w:val="21"/>
          <w:szCs w:val="21"/>
        </w:rPr>
        <w:t>3-0</w:t>
      </w:r>
      <w:r>
        <w:rPr>
          <w:rFonts w:hint="eastAsia"/>
          <w:sz w:val="21"/>
          <w:szCs w:val="21"/>
          <w:lang w:val="en-US" w:eastAsia="zh-CN"/>
        </w:rPr>
        <w:t>05</w:t>
      </w:r>
    </w:p>
    <w:p>
      <w:pPr>
        <w:widowControl w:val="0"/>
        <w:autoSpaceDE w:val="0"/>
        <w:autoSpaceDN w:val="0"/>
        <w:adjustRightInd w:val="0"/>
        <w:spacing w:line="360" w:lineRule="auto"/>
        <w:rPr>
          <w:rFonts w:ascii="宋体" w:hAnsi="宋体" w:cs="宋体-WinCharSetFFFF-H"/>
          <w:color w:val="000000"/>
          <w:sz w:val="21"/>
          <w:szCs w:val="21"/>
        </w:rPr>
      </w:pPr>
    </w:p>
    <w:p>
      <w:pPr>
        <w:widowControl w:val="0"/>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格尔软件股份有限公司</w:t>
      </w:r>
    </w:p>
    <w:p>
      <w:pPr>
        <w:widowControl w:val="0"/>
        <w:autoSpaceDE w:val="0"/>
        <w:autoSpaceDN w:val="0"/>
        <w:adjustRightInd w:val="0"/>
        <w:spacing w:line="360" w:lineRule="auto"/>
        <w:jc w:val="center"/>
        <w:rPr>
          <w:rFonts w:ascii="黑体" w:hAnsi="宋体" w:eastAsia="黑体" w:cs="黑体-WinCharSetFFFF-H"/>
          <w:b/>
          <w:color w:val="FF0000"/>
          <w:sz w:val="36"/>
          <w:szCs w:val="36"/>
        </w:rPr>
      </w:pPr>
      <w:r>
        <w:rPr>
          <w:rFonts w:hint="eastAsia" w:ascii="黑体" w:hAnsi="宋体" w:eastAsia="黑体" w:cs="黑体-WinCharSetFFFF-H"/>
          <w:b/>
          <w:color w:val="FF0000"/>
          <w:sz w:val="36"/>
          <w:szCs w:val="36"/>
        </w:rPr>
        <w:t>2022年年度业绩预告</w:t>
      </w:r>
    </w:p>
    <w:p>
      <w:pPr>
        <w:widowControl w:val="0"/>
        <w:autoSpaceDE w:val="0"/>
        <w:autoSpaceDN w:val="0"/>
        <w:adjustRightInd w:val="0"/>
        <w:spacing w:line="360" w:lineRule="auto"/>
        <w:jc w:val="center"/>
        <w:rPr>
          <w:rFonts w:ascii="宋体" w:hAnsi="宋体" w:cs="宋体-WinCharSetFFFF-H"/>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rPr>
      </w:pPr>
      <w:r>
        <w:rPr>
          <w:rFonts w:hint="eastAsia" w:ascii="宋体" w:hAnsi="宋体"/>
        </w:rPr>
        <w:t xml:space="preserve">    本公司董事会及全体董事保证本公告内容不存在任何虚假记载、误导性陈述或者重大遗漏，并对其内容的真实性、准确性和完整性承担法律责任。  </w:t>
      </w:r>
    </w:p>
    <w:p>
      <w:pPr>
        <w:widowControl w:val="0"/>
        <w:autoSpaceDE w:val="0"/>
        <w:autoSpaceDN w:val="0"/>
        <w:adjustRightInd w:val="0"/>
        <w:spacing w:line="360" w:lineRule="auto"/>
        <w:rPr>
          <w:b/>
          <w:color w:val="000000"/>
        </w:rPr>
      </w:pPr>
    </w:p>
    <w:p>
      <w:pPr>
        <w:widowControl w:val="0"/>
        <w:autoSpaceDE w:val="0"/>
        <w:autoSpaceDN w:val="0"/>
        <w:adjustRightInd w:val="0"/>
        <w:spacing w:line="360" w:lineRule="auto"/>
        <w:ind w:firstLine="482" w:firstLineChars="200"/>
        <w:rPr>
          <w:b/>
          <w:color w:val="000000"/>
        </w:rPr>
      </w:pPr>
      <w:r>
        <w:rPr>
          <w:rFonts w:hint="eastAsia"/>
          <w:b/>
          <w:color w:val="000000"/>
        </w:rPr>
        <w:t>重要内容提示：</w:t>
      </w:r>
    </w:p>
    <w:p>
      <w:pPr>
        <w:widowControl w:val="0"/>
        <w:numPr>
          <w:ilvl w:val="0"/>
          <w:numId w:val="1"/>
        </w:numPr>
        <w:autoSpaceDE w:val="0"/>
        <w:autoSpaceDN w:val="0"/>
        <w:adjustRightInd w:val="0"/>
        <w:spacing w:line="360" w:lineRule="auto"/>
        <w:ind w:left="0" w:firstLine="480" w:firstLineChars="200"/>
        <w:rPr>
          <w:color w:val="000000"/>
        </w:rPr>
      </w:pPr>
      <w:r>
        <w:rPr>
          <w:rFonts w:hint="eastAsia"/>
          <w:color w:val="000000"/>
        </w:rPr>
        <w:t>业绩预告的具体适用情形：净利润为负值。</w:t>
      </w:r>
    </w:p>
    <w:p>
      <w:pPr>
        <w:widowControl w:val="0"/>
        <w:numPr>
          <w:ilvl w:val="0"/>
          <w:numId w:val="1"/>
        </w:numPr>
        <w:autoSpaceDE w:val="0"/>
        <w:autoSpaceDN w:val="0"/>
        <w:adjustRightInd w:val="0"/>
        <w:spacing w:line="360" w:lineRule="auto"/>
        <w:ind w:left="0" w:firstLine="480" w:firstLineChars="200"/>
        <w:rPr>
          <w:color w:val="000000"/>
          <w:highlight w:val="none"/>
        </w:rPr>
      </w:pPr>
      <w:r>
        <w:rPr>
          <w:rFonts w:hint="eastAsia"/>
          <w:color w:val="000000"/>
        </w:rPr>
        <w:t>业绩预告相关的主要财务数据情况：经财务部门初步测算，预计格尔软件股份有限公司（以</w:t>
      </w:r>
      <w:r>
        <w:rPr>
          <w:rFonts w:hint="eastAsia"/>
          <w:color w:val="000000"/>
          <w:highlight w:val="none"/>
        </w:rPr>
        <w:t>下简称“公司”）2022年年度实现归属于母公司所有者的净利润约为</w:t>
      </w:r>
      <w:r>
        <w:rPr>
          <w:rFonts w:hint="eastAsia"/>
          <w:color w:val="000000"/>
          <w:highlight w:val="none"/>
        </w:rPr>
        <w:t>-</w:t>
      </w:r>
      <w:r>
        <w:rPr>
          <w:rFonts w:hint="eastAsia"/>
          <w:color w:val="000000"/>
          <w:highlight w:val="none"/>
          <w:lang w:val="en-US" w:eastAsia="zh-CN"/>
        </w:rPr>
        <w:t>1,200</w:t>
      </w:r>
      <w:r>
        <w:rPr>
          <w:rFonts w:hint="eastAsia"/>
          <w:color w:val="000000"/>
          <w:highlight w:val="none"/>
        </w:rPr>
        <w:t>万元</w:t>
      </w:r>
      <w:r>
        <w:rPr>
          <w:rFonts w:hint="eastAsia"/>
          <w:color w:val="000000"/>
          <w:highlight w:val="none"/>
          <w:lang w:val="en-US" w:eastAsia="zh-CN"/>
        </w:rPr>
        <w:t>至-800万元</w:t>
      </w:r>
      <w:r>
        <w:rPr>
          <w:rFonts w:hint="eastAsia"/>
          <w:color w:val="000000"/>
          <w:highlight w:val="none"/>
        </w:rPr>
        <w:t>。预计2022年年度实现归属于母公司所有者的扣除非经常性损益后的净利润约为</w:t>
      </w:r>
      <w:r>
        <w:rPr>
          <w:rFonts w:hint="eastAsia"/>
          <w:color w:val="000000"/>
          <w:highlight w:val="none"/>
        </w:rPr>
        <w:t>-</w:t>
      </w:r>
      <w:r>
        <w:rPr>
          <w:rFonts w:hint="eastAsia"/>
          <w:color w:val="000000"/>
          <w:highlight w:val="none"/>
          <w:lang w:val="en-US" w:eastAsia="zh-CN"/>
        </w:rPr>
        <w:t>8</w:t>
      </w:r>
      <w:r>
        <w:rPr>
          <w:rFonts w:hint="eastAsia"/>
          <w:color w:val="000000"/>
          <w:highlight w:val="none"/>
          <w:lang w:val="en-US" w:eastAsia="zh-CN"/>
        </w:rPr>
        <w:t>,000</w:t>
      </w:r>
      <w:r>
        <w:rPr>
          <w:rFonts w:hint="eastAsia"/>
          <w:color w:val="000000"/>
          <w:highlight w:val="none"/>
        </w:rPr>
        <w:t>万元</w:t>
      </w:r>
      <w:r>
        <w:rPr>
          <w:rFonts w:hint="eastAsia"/>
          <w:color w:val="000000"/>
          <w:highlight w:val="none"/>
          <w:lang w:val="en-US" w:eastAsia="zh-CN"/>
        </w:rPr>
        <w:t>至-</w:t>
      </w:r>
      <w:r>
        <w:rPr>
          <w:rFonts w:hint="eastAsia"/>
          <w:color w:val="000000"/>
          <w:highlight w:val="none"/>
          <w:lang w:val="en-US" w:eastAsia="zh-CN"/>
        </w:rPr>
        <w:t>7</w:t>
      </w:r>
      <w:r>
        <w:rPr>
          <w:rFonts w:hint="eastAsia"/>
          <w:color w:val="000000"/>
          <w:highlight w:val="none"/>
          <w:lang w:val="en-US" w:eastAsia="zh-CN"/>
        </w:rPr>
        <w:t>,000万元</w:t>
      </w:r>
      <w:r>
        <w:rPr>
          <w:rFonts w:hint="eastAsia"/>
          <w:color w:val="000000"/>
          <w:highlight w:val="none"/>
        </w:rPr>
        <w:t>。</w:t>
      </w:r>
    </w:p>
    <w:p>
      <w:pPr>
        <w:widowControl w:val="0"/>
        <w:numPr>
          <w:ilvl w:val="255"/>
          <w:numId w:val="0"/>
        </w:numPr>
        <w:autoSpaceDE w:val="0"/>
        <w:autoSpaceDN w:val="0"/>
        <w:adjustRightInd w:val="0"/>
        <w:spacing w:line="360" w:lineRule="auto"/>
        <w:rPr>
          <w:color w:val="000000"/>
          <w:highlight w:val="none"/>
        </w:rPr>
      </w:pPr>
    </w:p>
    <w:p>
      <w:pPr>
        <w:adjustRightInd w:val="0"/>
        <w:snapToGrid w:val="0"/>
        <w:spacing w:line="360" w:lineRule="auto"/>
        <w:ind w:firstLine="482" w:firstLineChars="200"/>
        <w:rPr>
          <w:b/>
          <w:color w:val="000000"/>
          <w:highlight w:val="none"/>
        </w:rPr>
      </w:pPr>
      <w:r>
        <w:rPr>
          <w:b/>
          <w:color w:val="000000"/>
          <w:highlight w:val="none"/>
        </w:rPr>
        <w:t>一、本期业绩预告情况</w:t>
      </w:r>
    </w:p>
    <w:p>
      <w:pPr>
        <w:adjustRightInd w:val="0"/>
        <w:snapToGrid w:val="0"/>
        <w:spacing w:line="360" w:lineRule="auto"/>
        <w:ind w:firstLine="480" w:firstLineChars="200"/>
        <w:rPr>
          <w:color w:val="000000"/>
          <w:highlight w:val="none"/>
        </w:rPr>
      </w:pPr>
      <w:r>
        <w:rPr>
          <w:rFonts w:hint="eastAsia"/>
          <w:color w:val="000000"/>
          <w:highlight w:val="none"/>
        </w:rPr>
        <w:t>（一）业绩预告期间</w:t>
      </w:r>
    </w:p>
    <w:p>
      <w:pPr>
        <w:snapToGrid w:val="0"/>
        <w:spacing w:line="360" w:lineRule="auto"/>
        <w:ind w:firstLine="480" w:firstLineChars="200"/>
        <w:rPr>
          <w:color w:val="000000"/>
          <w:highlight w:val="none"/>
        </w:rPr>
      </w:pPr>
      <w:r>
        <w:rPr>
          <w:rFonts w:hint="eastAsia"/>
          <w:color w:val="000000"/>
          <w:highlight w:val="none"/>
        </w:rPr>
        <w:t>2022年1月1日至2022年12月31日。</w:t>
      </w:r>
    </w:p>
    <w:p>
      <w:pPr>
        <w:adjustRightInd w:val="0"/>
        <w:snapToGrid w:val="0"/>
        <w:spacing w:line="360" w:lineRule="auto"/>
        <w:ind w:firstLine="480" w:firstLineChars="200"/>
        <w:rPr>
          <w:color w:val="000000"/>
          <w:highlight w:val="none"/>
        </w:rPr>
      </w:pPr>
      <w:r>
        <w:rPr>
          <w:rFonts w:hint="eastAsia"/>
          <w:color w:val="000000"/>
          <w:highlight w:val="none"/>
        </w:rPr>
        <w:t>（二）业绩预告情况</w:t>
      </w:r>
    </w:p>
    <w:p>
      <w:pPr>
        <w:snapToGrid w:val="0"/>
        <w:spacing w:line="360" w:lineRule="auto"/>
        <w:ind w:firstLine="480" w:firstLineChars="200"/>
        <w:rPr>
          <w:color w:val="000000"/>
          <w:highlight w:val="none"/>
        </w:rPr>
      </w:pPr>
      <w:r>
        <w:rPr>
          <w:rFonts w:hint="eastAsia"/>
          <w:color w:val="000000"/>
          <w:highlight w:val="none"/>
        </w:rPr>
        <w:t>经财务部门初步测算，预计公司</w:t>
      </w:r>
      <w:r>
        <w:rPr>
          <w:color w:val="000000"/>
          <w:highlight w:val="none"/>
        </w:rPr>
        <w:t>2022</w:t>
      </w:r>
      <w:r>
        <w:rPr>
          <w:rFonts w:hint="eastAsia"/>
          <w:color w:val="000000"/>
          <w:highlight w:val="none"/>
        </w:rPr>
        <w:t>年年度实现归属于母公司所有者的净利润约</w:t>
      </w:r>
      <w:r>
        <w:rPr>
          <w:rFonts w:hint="eastAsia"/>
          <w:color w:val="000000"/>
          <w:highlight w:val="none"/>
          <w:lang w:val="en-US" w:eastAsia="zh-CN"/>
        </w:rPr>
        <w:t>为</w:t>
      </w:r>
      <w:r>
        <w:rPr>
          <w:rFonts w:hint="eastAsia"/>
          <w:color w:val="000000"/>
          <w:highlight w:val="none"/>
        </w:rPr>
        <w:t>-</w:t>
      </w:r>
      <w:r>
        <w:rPr>
          <w:rFonts w:hint="eastAsia"/>
          <w:color w:val="000000"/>
          <w:highlight w:val="none"/>
          <w:lang w:val="en-US" w:eastAsia="zh-CN"/>
        </w:rPr>
        <w:t>1,200</w:t>
      </w:r>
      <w:r>
        <w:rPr>
          <w:rFonts w:hint="eastAsia"/>
          <w:color w:val="000000"/>
          <w:highlight w:val="none"/>
        </w:rPr>
        <w:t>万元</w:t>
      </w:r>
      <w:r>
        <w:rPr>
          <w:rFonts w:hint="eastAsia"/>
          <w:color w:val="000000"/>
          <w:highlight w:val="none"/>
          <w:lang w:val="en-US" w:eastAsia="zh-CN"/>
        </w:rPr>
        <w:t>至-800</w:t>
      </w:r>
      <w:r>
        <w:rPr>
          <w:rFonts w:hint="eastAsia"/>
          <w:color w:val="000000"/>
          <w:highlight w:val="none"/>
        </w:rPr>
        <w:t>万元，与上年同期（法定披露数据）相比，</w:t>
      </w:r>
      <w:r>
        <w:rPr>
          <w:rFonts w:hint="eastAsia" w:eastAsiaTheme="minorEastAsia"/>
          <w:color w:val="000000"/>
          <w:highlight w:val="none"/>
        </w:rPr>
        <w:t>将出现亏损。</w:t>
      </w:r>
    </w:p>
    <w:p>
      <w:pPr>
        <w:snapToGrid w:val="0"/>
        <w:spacing w:line="360" w:lineRule="auto"/>
        <w:ind w:firstLine="480" w:firstLineChars="200"/>
        <w:rPr>
          <w:color w:val="000000"/>
          <w:highlight w:val="none"/>
        </w:rPr>
      </w:pPr>
      <w:r>
        <w:rPr>
          <w:rFonts w:hint="eastAsia"/>
          <w:color w:val="000000"/>
          <w:highlight w:val="none"/>
        </w:rPr>
        <w:t>预计公司</w:t>
      </w:r>
      <w:r>
        <w:rPr>
          <w:color w:val="000000"/>
          <w:highlight w:val="none"/>
        </w:rPr>
        <w:t>2022</w:t>
      </w:r>
      <w:r>
        <w:rPr>
          <w:rFonts w:hint="eastAsia"/>
          <w:color w:val="000000"/>
          <w:highlight w:val="none"/>
        </w:rPr>
        <w:t>年年度实现归属于母公司所有者的扣除非经常性损益后的净利润约为</w:t>
      </w:r>
      <w:r>
        <w:rPr>
          <w:rFonts w:hint="eastAsia"/>
          <w:color w:val="000000"/>
          <w:highlight w:val="none"/>
        </w:rPr>
        <w:t>-</w:t>
      </w:r>
      <w:r>
        <w:rPr>
          <w:rFonts w:hint="eastAsia"/>
          <w:color w:val="000000"/>
          <w:highlight w:val="none"/>
          <w:lang w:val="en-US" w:eastAsia="zh-CN"/>
        </w:rPr>
        <w:t>8</w:t>
      </w:r>
      <w:r>
        <w:rPr>
          <w:rFonts w:hint="eastAsia"/>
          <w:color w:val="000000"/>
          <w:highlight w:val="none"/>
          <w:lang w:val="en-US" w:eastAsia="zh-CN"/>
        </w:rPr>
        <w:t>,000</w:t>
      </w:r>
      <w:r>
        <w:rPr>
          <w:rFonts w:hint="eastAsia"/>
          <w:color w:val="000000"/>
          <w:highlight w:val="none"/>
        </w:rPr>
        <w:t>万元</w:t>
      </w:r>
      <w:r>
        <w:rPr>
          <w:rFonts w:hint="eastAsia"/>
          <w:color w:val="000000"/>
          <w:highlight w:val="none"/>
          <w:lang w:val="en-US" w:eastAsia="zh-CN"/>
        </w:rPr>
        <w:t>至-</w:t>
      </w:r>
      <w:r>
        <w:rPr>
          <w:rFonts w:hint="eastAsia"/>
          <w:color w:val="000000"/>
          <w:highlight w:val="none"/>
          <w:lang w:val="en-US" w:eastAsia="zh-CN"/>
        </w:rPr>
        <w:t>7</w:t>
      </w:r>
      <w:bookmarkStart w:id="0" w:name="_GoBack"/>
      <w:bookmarkEnd w:id="0"/>
      <w:r>
        <w:rPr>
          <w:rFonts w:hint="eastAsia"/>
          <w:color w:val="000000"/>
          <w:highlight w:val="none"/>
          <w:lang w:val="en-US" w:eastAsia="zh-CN"/>
        </w:rPr>
        <w:t>,000万元</w:t>
      </w:r>
      <w:r>
        <w:rPr>
          <w:rFonts w:hint="eastAsia"/>
          <w:color w:val="000000"/>
          <w:highlight w:val="none"/>
        </w:rPr>
        <w:t>。</w:t>
      </w:r>
    </w:p>
    <w:p>
      <w:pPr>
        <w:snapToGrid w:val="0"/>
        <w:spacing w:line="360" w:lineRule="auto"/>
        <w:ind w:firstLine="480" w:firstLineChars="200"/>
        <w:rPr>
          <w:rFonts w:hint="eastAsia"/>
          <w:color w:val="000000"/>
        </w:rPr>
      </w:pPr>
      <w:r>
        <w:rPr>
          <w:rFonts w:hint="eastAsia"/>
          <w:color w:val="000000"/>
        </w:rPr>
        <w:t>（三）本期业绩预告为公司根据经营情况的初步预测，未经注册会计师审计。</w:t>
      </w:r>
    </w:p>
    <w:p>
      <w:pPr>
        <w:adjustRightInd w:val="0"/>
        <w:snapToGrid w:val="0"/>
        <w:spacing w:line="360" w:lineRule="auto"/>
        <w:ind w:firstLine="482" w:firstLineChars="200"/>
        <w:rPr>
          <w:b/>
          <w:color w:val="000000"/>
        </w:rPr>
      </w:pPr>
      <w:r>
        <w:rPr>
          <w:b/>
          <w:color w:val="000000"/>
        </w:rPr>
        <w:t>二、上年同期经营业绩和财务状况</w:t>
      </w:r>
    </w:p>
    <w:p>
      <w:pPr>
        <w:snapToGrid w:val="0"/>
        <w:spacing w:line="360" w:lineRule="auto"/>
        <w:ind w:firstLine="480" w:firstLineChars="200"/>
        <w:rPr>
          <w:color w:val="000000"/>
        </w:rPr>
      </w:pPr>
      <w:r>
        <w:rPr>
          <w:rFonts w:hint="eastAsia"/>
          <w:color w:val="000000"/>
        </w:rPr>
        <w:t>（一）归属于母公司所有者的净利润：79,708,336.41元。归属于母公司所有者的扣除非经常性损益的净利润：33,258,456.50元。</w:t>
      </w:r>
    </w:p>
    <w:p>
      <w:pPr>
        <w:snapToGrid w:val="0"/>
        <w:spacing w:line="360" w:lineRule="auto"/>
        <w:ind w:firstLine="480" w:firstLineChars="200"/>
        <w:rPr>
          <w:color w:val="000000"/>
        </w:rPr>
      </w:pPr>
      <w:r>
        <w:rPr>
          <w:rFonts w:hint="eastAsia"/>
          <w:color w:val="000000"/>
        </w:rPr>
        <w:t>（二）每股收益：0.34元。</w:t>
      </w:r>
    </w:p>
    <w:p>
      <w:pPr>
        <w:adjustRightInd w:val="0"/>
        <w:snapToGrid w:val="0"/>
        <w:spacing w:line="360" w:lineRule="auto"/>
        <w:ind w:firstLine="482" w:firstLineChars="200"/>
        <w:rPr>
          <w:b/>
          <w:color w:val="000000"/>
        </w:rPr>
      </w:pPr>
      <w:r>
        <w:rPr>
          <w:b/>
          <w:color w:val="000000"/>
        </w:rPr>
        <w:t>三、本期业绩预亏的主要原因</w:t>
      </w:r>
    </w:p>
    <w:p>
      <w:pPr>
        <w:snapToGrid w:val="0"/>
        <w:spacing w:line="360" w:lineRule="auto"/>
        <w:ind w:firstLine="480" w:firstLineChars="200"/>
        <w:rPr>
          <w:rFonts w:hint="eastAsia"/>
          <w:color w:val="000000"/>
          <w:highlight w:val="none"/>
        </w:rPr>
      </w:pPr>
      <w:r>
        <w:rPr>
          <w:rFonts w:hint="eastAsia"/>
          <w:color w:val="000000"/>
          <w:highlight w:val="none"/>
        </w:rPr>
        <w:t>1. 2022年前三季度，公司在上海、北京、郑州等多地的办公场所因疫情封控等原因，导致公司密码业务开展受到较大影响，毛利率较低的通用类产品收入比重上升，导致整体毛利率下滑较大；</w:t>
      </w:r>
    </w:p>
    <w:p>
      <w:pPr>
        <w:snapToGrid w:val="0"/>
        <w:spacing w:line="360" w:lineRule="auto"/>
        <w:ind w:firstLine="480" w:firstLineChars="200"/>
        <w:rPr>
          <w:rFonts w:hint="eastAsia"/>
          <w:color w:val="000000"/>
          <w:highlight w:val="none"/>
        </w:rPr>
      </w:pPr>
      <w:r>
        <w:rPr>
          <w:rFonts w:hint="eastAsia"/>
          <w:color w:val="000000"/>
          <w:highlight w:val="none"/>
        </w:rPr>
        <w:t xml:space="preserve">2. </w:t>
      </w:r>
      <w:r>
        <w:rPr>
          <w:rFonts w:hint="eastAsia"/>
          <w:color w:val="000000"/>
          <w:highlight w:val="none"/>
          <w:lang w:val="en-US" w:eastAsia="zh-CN"/>
        </w:rPr>
        <w:t>2022年第四季度因疫情防控要求及防疫政策调整，公司及相关客户在招投标、采购、发货运输、安装调试、运行维护、验收及回款等诸多环节受到严重影响，对公司第四季度及2022年全年业绩产生了较大影响；</w:t>
      </w:r>
    </w:p>
    <w:p>
      <w:pPr>
        <w:snapToGrid w:val="0"/>
        <w:spacing w:line="360" w:lineRule="auto"/>
        <w:ind w:firstLine="480" w:firstLineChars="200"/>
        <w:rPr>
          <w:rFonts w:hint="eastAsia" w:eastAsia="宋体"/>
          <w:color w:val="000000"/>
          <w:highlight w:val="none"/>
          <w:lang w:val="en-US" w:eastAsia="zh-CN"/>
        </w:rPr>
      </w:pPr>
      <w:r>
        <w:rPr>
          <w:rFonts w:hint="eastAsia"/>
          <w:color w:val="000000"/>
          <w:highlight w:val="none"/>
        </w:rPr>
        <w:t>3. 公司近三年来为拓展业务引入不少管理、技术、销售等方面的人才，为公司未来市场拓展、管理优化和技术升级打下了基础，但同时也导致人员成本和费用的增加</w:t>
      </w:r>
      <w:r>
        <w:rPr>
          <w:rFonts w:hint="eastAsia"/>
          <w:color w:val="000000"/>
          <w:highlight w:val="none"/>
          <w:lang w:eastAsia="zh-CN"/>
        </w:rPr>
        <w:t>。</w:t>
      </w:r>
    </w:p>
    <w:p>
      <w:pPr>
        <w:adjustRightInd w:val="0"/>
        <w:snapToGrid w:val="0"/>
        <w:spacing w:line="360" w:lineRule="auto"/>
        <w:ind w:firstLine="482" w:firstLineChars="200"/>
        <w:rPr>
          <w:b/>
          <w:color w:val="000000"/>
        </w:rPr>
      </w:pPr>
      <w:r>
        <w:rPr>
          <w:rFonts w:hint="eastAsia"/>
          <w:b/>
          <w:color w:val="000000"/>
        </w:rPr>
        <w:t>四、风险提示</w:t>
      </w:r>
    </w:p>
    <w:p>
      <w:pPr>
        <w:snapToGrid w:val="0"/>
        <w:spacing w:line="360" w:lineRule="auto"/>
        <w:ind w:firstLine="480" w:firstLineChars="200"/>
        <w:rPr>
          <w:color w:val="000000"/>
        </w:rPr>
      </w:pPr>
      <w:r>
        <w:rPr>
          <w:rFonts w:hint="eastAsia"/>
          <w:color w:val="000000"/>
        </w:rPr>
        <w:t>本次业绩预告是公司财务部门基于自身专业判断进行的初步核算，尚未经注册会计师审计。公司已就业绩预告情况与年审会计师事务所进行预沟通，公司不存在影响本次业绩预告内容准确性的重大不确定因素。</w:t>
      </w:r>
    </w:p>
    <w:p>
      <w:pPr>
        <w:adjustRightInd w:val="0"/>
        <w:snapToGrid w:val="0"/>
        <w:spacing w:line="360" w:lineRule="auto"/>
        <w:ind w:firstLine="482" w:firstLineChars="200"/>
        <w:rPr>
          <w:b/>
          <w:color w:val="000000"/>
        </w:rPr>
      </w:pPr>
      <w:r>
        <w:rPr>
          <w:rFonts w:hint="eastAsia"/>
          <w:b/>
          <w:color w:val="000000"/>
        </w:rPr>
        <w:t>五、其他说明事项</w:t>
      </w:r>
    </w:p>
    <w:p>
      <w:pPr>
        <w:snapToGrid w:val="0"/>
        <w:spacing w:line="360" w:lineRule="auto"/>
        <w:ind w:firstLine="480" w:firstLineChars="200"/>
        <w:rPr>
          <w:color w:val="000000"/>
        </w:rPr>
      </w:pPr>
      <w:r>
        <w:rPr>
          <w:rFonts w:hint="eastAsia"/>
          <w:color w:val="000000"/>
        </w:rPr>
        <w:t>以上预告数据仅为初步核算数据，具体准确的财务数据以公司正式披露的</w:t>
      </w:r>
      <w:r>
        <w:rPr>
          <w:rFonts w:hint="eastAsia"/>
          <w:color w:val="000000"/>
          <w:lang w:val="en-US" w:eastAsia="zh-CN"/>
        </w:rPr>
        <w:t>经审计后的</w:t>
      </w:r>
      <w:r>
        <w:rPr>
          <w:rFonts w:hint="eastAsia"/>
          <w:color w:val="000000"/>
        </w:rPr>
        <w:t>2022年年度报告为准，敬请广大投资者注意投资风险。</w:t>
      </w:r>
    </w:p>
    <w:p>
      <w:pPr>
        <w:snapToGrid w:val="0"/>
        <w:spacing w:line="360" w:lineRule="auto"/>
        <w:ind w:firstLine="480" w:firstLineChars="200"/>
        <w:rPr>
          <w:color w:val="000000"/>
        </w:rPr>
      </w:pPr>
    </w:p>
    <w:p>
      <w:pPr>
        <w:snapToGrid w:val="0"/>
        <w:spacing w:line="360" w:lineRule="auto"/>
        <w:ind w:firstLine="480" w:firstLineChars="200"/>
        <w:rPr>
          <w:color w:val="000000"/>
        </w:rPr>
      </w:pPr>
      <w:r>
        <w:rPr>
          <w:rFonts w:hint="eastAsia"/>
          <w:color w:val="000000"/>
        </w:rPr>
        <w:t>特此公告。</w:t>
      </w:r>
    </w:p>
    <w:p>
      <w:pPr>
        <w:snapToGrid w:val="0"/>
        <w:spacing w:line="360" w:lineRule="auto"/>
        <w:ind w:firstLine="460" w:firstLineChars="192"/>
        <w:jc w:val="right"/>
        <w:rPr>
          <w:color w:val="000000"/>
        </w:rPr>
      </w:pPr>
      <w:r>
        <w:rPr>
          <w:rFonts w:hint="eastAsia"/>
          <w:color w:val="000000"/>
        </w:rPr>
        <w:t>格尔软件股份有限公司董事会</w:t>
      </w:r>
    </w:p>
    <w:p>
      <w:pPr>
        <w:snapToGrid w:val="0"/>
        <w:spacing w:line="360" w:lineRule="auto"/>
        <w:ind w:firstLine="480" w:firstLineChars="200"/>
        <w:jc w:val="right"/>
      </w:pPr>
      <w:r>
        <w:rPr>
          <w:rFonts w:hint="eastAsia"/>
        </w:rPr>
        <w:t>2023年1月31日</w:t>
      </w:r>
    </w:p>
    <w:p>
      <w:pPr>
        <w:spacing w:line="360" w:lineRule="auto"/>
        <w:ind w:firstLine="420"/>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宋体-WinCharSetFFFF-H">
    <w:altName w:val="宋体"/>
    <w:panose1 w:val="00000000000000000000"/>
    <w:charset w:val="86"/>
    <w:family w:val="auto"/>
    <w:pitch w:val="default"/>
    <w:sig w:usb0="00000000" w:usb1="00000000" w:usb2="00000010" w:usb3="00000000" w:csb0="00040000" w:csb1="00000000"/>
  </w:font>
  <w:font w:name="黑体-WinCharSetFFFF-H">
    <w:altName w:val="黑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722BCA"/>
    <w:multiLevelType w:val="multilevel"/>
    <w:tmpl w:val="68722BC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VhNzY4OTUyNTg4NjNmYjFmNTU1MDJjM2Q5ODM1YzAifQ=="/>
  </w:docVars>
  <w:rsids>
    <w:rsidRoot w:val="009C6E42"/>
    <w:rsid w:val="00002459"/>
    <w:rsid w:val="0001518A"/>
    <w:rsid w:val="00034C18"/>
    <w:rsid w:val="0006001C"/>
    <w:rsid w:val="00062682"/>
    <w:rsid w:val="000805F0"/>
    <w:rsid w:val="000B2247"/>
    <w:rsid w:val="000B6613"/>
    <w:rsid w:val="000D6DC1"/>
    <w:rsid w:val="000E2099"/>
    <w:rsid w:val="000E3A8F"/>
    <w:rsid w:val="000E6472"/>
    <w:rsid w:val="000E727E"/>
    <w:rsid w:val="000F28C0"/>
    <w:rsid w:val="00103FB2"/>
    <w:rsid w:val="00110697"/>
    <w:rsid w:val="00126977"/>
    <w:rsid w:val="0012771B"/>
    <w:rsid w:val="00131460"/>
    <w:rsid w:val="00133A94"/>
    <w:rsid w:val="001356CB"/>
    <w:rsid w:val="00163A3C"/>
    <w:rsid w:val="0017115E"/>
    <w:rsid w:val="00173872"/>
    <w:rsid w:val="00177B5D"/>
    <w:rsid w:val="00191EB6"/>
    <w:rsid w:val="001935D1"/>
    <w:rsid w:val="001A13FD"/>
    <w:rsid w:val="001B313D"/>
    <w:rsid w:val="001E14A7"/>
    <w:rsid w:val="001F1231"/>
    <w:rsid w:val="001F31B2"/>
    <w:rsid w:val="00201867"/>
    <w:rsid w:val="002115E2"/>
    <w:rsid w:val="00213E54"/>
    <w:rsid w:val="00214D08"/>
    <w:rsid w:val="00220129"/>
    <w:rsid w:val="00233B53"/>
    <w:rsid w:val="002447E5"/>
    <w:rsid w:val="0025422B"/>
    <w:rsid w:val="00261677"/>
    <w:rsid w:val="002750E8"/>
    <w:rsid w:val="00284D3B"/>
    <w:rsid w:val="00290949"/>
    <w:rsid w:val="002C7394"/>
    <w:rsid w:val="002E0BC0"/>
    <w:rsid w:val="002F1D31"/>
    <w:rsid w:val="002F20A4"/>
    <w:rsid w:val="0030246F"/>
    <w:rsid w:val="003064A7"/>
    <w:rsid w:val="003168B3"/>
    <w:rsid w:val="00323A9D"/>
    <w:rsid w:val="00325A33"/>
    <w:rsid w:val="00335674"/>
    <w:rsid w:val="003434F6"/>
    <w:rsid w:val="0037562B"/>
    <w:rsid w:val="003906BD"/>
    <w:rsid w:val="003E2EC3"/>
    <w:rsid w:val="003F4838"/>
    <w:rsid w:val="00411BE1"/>
    <w:rsid w:val="0043128F"/>
    <w:rsid w:val="00434C93"/>
    <w:rsid w:val="00441DB1"/>
    <w:rsid w:val="00456B3F"/>
    <w:rsid w:val="00462E44"/>
    <w:rsid w:val="00482B62"/>
    <w:rsid w:val="004A2F1B"/>
    <w:rsid w:val="004A51E2"/>
    <w:rsid w:val="004F5440"/>
    <w:rsid w:val="00512621"/>
    <w:rsid w:val="005143EC"/>
    <w:rsid w:val="00515436"/>
    <w:rsid w:val="00535DAE"/>
    <w:rsid w:val="00536953"/>
    <w:rsid w:val="005411D1"/>
    <w:rsid w:val="00541CB7"/>
    <w:rsid w:val="0056507B"/>
    <w:rsid w:val="0057109C"/>
    <w:rsid w:val="00581AA0"/>
    <w:rsid w:val="00582E21"/>
    <w:rsid w:val="005843C8"/>
    <w:rsid w:val="0059046A"/>
    <w:rsid w:val="005B2138"/>
    <w:rsid w:val="005C37FF"/>
    <w:rsid w:val="005C6518"/>
    <w:rsid w:val="00607864"/>
    <w:rsid w:val="00616A3F"/>
    <w:rsid w:val="0064491F"/>
    <w:rsid w:val="00654FF1"/>
    <w:rsid w:val="0067142C"/>
    <w:rsid w:val="00672DA0"/>
    <w:rsid w:val="00674272"/>
    <w:rsid w:val="006919FF"/>
    <w:rsid w:val="006A269B"/>
    <w:rsid w:val="006B1EBD"/>
    <w:rsid w:val="006C6417"/>
    <w:rsid w:val="006C6B4D"/>
    <w:rsid w:val="006C6E1C"/>
    <w:rsid w:val="006E72E7"/>
    <w:rsid w:val="00703D83"/>
    <w:rsid w:val="00732C0F"/>
    <w:rsid w:val="0075001C"/>
    <w:rsid w:val="0075122B"/>
    <w:rsid w:val="00755D25"/>
    <w:rsid w:val="00781184"/>
    <w:rsid w:val="00782594"/>
    <w:rsid w:val="00791B8D"/>
    <w:rsid w:val="00797BF7"/>
    <w:rsid w:val="007D3A51"/>
    <w:rsid w:val="007E1209"/>
    <w:rsid w:val="007E26DA"/>
    <w:rsid w:val="007F4B01"/>
    <w:rsid w:val="007F69D0"/>
    <w:rsid w:val="00861A8E"/>
    <w:rsid w:val="008709AC"/>
    <w:rsid w:val="008716AE"/>
    <w:rsid w:val="00891777"/>
    <w:rsid w:val="008A4360"/>
    <w:rsid w:val="008B09DA"/>
    <w:rsid w:val="008C42D1"/>
    <w:rsid w:val="008D3158"/>
    <w:rsid w:val="008D7D5F"/>
    <w:rsid w:val="008E450B"/>
    <w:rsid w:val="008F4B5B"/>
    <w:rsid w:val="009075A5"/>
    <w:rsid w:val="00911423"/>
    <w:rsid w:val="00923A69"/>
    <w:rsid w:val="00940A25"/>
    <w:rsid w:val="00961C0E"/>
    <w:rsid w:val="0096659B"/>
    <w:rsid w:val="00970B7D"/>
    <w:rsid w:val="009716E5"/>
    <w:rsid w:val="009802E9"/>
    <w:rsid w:val="009A6108"/>
    <w:rsid w:val="009B3919"/>
    <w:rsid w:val="009C6E42"/>
    <w:rsid w:val="009D3900"/>
    <w:rsid w:val="009D490D"/>
    <w:rsid w:val="009D6D85"/>
    <w:rsid w:val="00A047DF"/>
    <w:rsid w:val="00A07A43"/>
    <w:rsid w:val="00A1415E"/>
    <w:rsid w:val="00A41FFE"/>
    <w:rsid w:val="00A61F00"/>
    <w:rsid w:val="00A62962"/>
    <w:rsid w:val="00A71C97"/>
    <w:rsid w:val="00A72368"/>
    <w:rsid w:val="00A9390F"/>
    <w:rsid w:val="00A96597"/>
    <w:rsid w:val="00AC4A33"/>
    <w:rsid w:val="00AC6CB2"/>
    <w:rsid w:val="00AD7B8B"/>
    <w:rsid w:val="00B02BC2"/>
    <w:rsid w:val="00B153C5"/>
    <w:rsid w:val="00B22C1A"/>
    <w:rsid w:val="00B27DBC"/>
    <w:rsid w:val="00B31B66"/>
    <w:rsid w:val="00B77B90"/>
    <w:rsid w:val="00B8509F"/>
    <w:rsid w:val="00B90A28"/>
    <w:rsid w:val="00B91097"/>
    <w:rsid w:val="00B9334E"/>
    <w:rsid w:val="00B9474F"/>
    <w:rsid w:val="00B94DF3"/>
    <w:rsid w:val="00B95149"/>
    <w:rsid w:val="00BC13B0"/>
    <w:rsid w:val="00BD2941"/>
    <w:rsid w:val="00BE539C"/>
    <w:rsid w:val="00BF612F"/>
    <w:rsid w:val="00BF62EF"/>
    <w:rsid w:val="00C00B3E"/>
    <w:rsid w:val="00C262A1"/>
    <w:rsid w:val="00C55A63"/>
    <w:rsid w:val="00C569F2"/>
    <w:rsid w:val="00C65383"/>
    <w:rsid w:val="00C85161"/>
    <w:rsid w:val="00C90D3C"/>
    <w:rsid w:val="00C970BB"/>
    <w:rsid w:val="00CA0083"/>
    <w:rsid w:val="00CD17CF"/>
    <w:rsid w:val="00CE13E7"/>
    <w:rsid w:val="00CE5DAF"/>
    <w:rsid w:val="00CF7068"/>
    <w:rsid w:val="00D07CD5"/>
    <w:rsid w:val="00D07DCA"/>
    <w:rsid w:val="00D207A5"/>
    <w:rsid w:val="00D23697"/>
    <w:rsid w:val="00D27792"/>
    <w:rsid w:val="00D30C51"/>
    <w:rsid w:val="00D370E0"/>
    <w:rsid w:val="00D45446"/>
    <w:rsid w:val="00D64105"/>
    <w:rsid w:val="00D657AB"/>
    <w:rsid w:val="00D810EE"/>
    <w:rsid w:val="00D92124"/>
    <w:rsid w:val="00DA06E2"/>
    <w:rsid w:val="00DB096A"/>
    <w:rsid w:val="00DB75CF"/>
    <w:rsid w:val="00DC2022"/>
    <w:rsid w:val="00DC6AA1"/>
    <w:rsid w:val="00DE1453"/>
    <w:rsid w:val="00DE3EDD"/>
    <w:rsid w:val="00E1611E"/>
    <w:rsid w:val="00E21F93"/>
    <w:rsid w:val="00E33166"/>
    <w:rsid w:val="00E36290"/>
    <w:rsid w:val="00E36F81"/>
    <w:rsid w:val="00E3742F"/>
    <w:rsid w:val="00E44B3A"/>
    <w:rsid w:val="00E5542D"/>
    <w:rsid w:val="00E638CE"/>
    <w:rsid w:val="00E82A9E"/>
    <w:rsid w:val="00EA31D3"/>
    <w:rsid w:val="00EA7340"/>
    <w:rsid w:val="00EB25E7"/>
    <w:rsid w:val="00ED7676"/>
    <w:rsid w:val="00EF053F"/>
    <w:rsid w:val="00F0408C"/>
    <w:rsid w:val="00F10FE9"/>
    <w:rsid w:val="00F22ADD"/>
    <w:rsid w:val="00F43499"/>
    <w:rsid w:val="00F65091"/>
    <w:rsid w:val="00F73041"/>
    <w:rsid w:val="00F83497"/>
    <w:rsid w:val="00FB2AC6"/>
    <w:rsid w:val="00FB4734"/>
    <w:rsid w:val="00FB6F73"/>
    <w:rsid w:val="00FC0663"/>
    <w:rsid w:val="00FD1530"/>
    <w:rsid w:val="00FD3001"/>
    <w:rsid w:val="00FE47EA"/>
    <w:rsid w:val="00FF2439"/>
    <w:rsid w:val="00FF49AD"/>
    <w:rsid w:val="01E3316A"/>
    <w:rsid w:val="02214FC3"/>
    <w:rsid w:val="02B95212"/>
    <w:rsid w:val="04383D88"/>
    <w:rsid w:val="06C44988"/>
    <w:rsid w:val="073D3EE8"/>
    <w:rsid w:val="092822A5"/>
    <w:rsid w:val="095742E5"/>
    <w:rsid w:val="0995305F"/>
    <w:rsid w:val="09A3752A"/>
    <w:rsid w:val="0AC67B39"/>
    <w:rsid w:val="0B100CAC"/>
    <w:rsid w:val="0C1D2426"/>
    <w:rsid w:val="0C490DA4"/>
    <w:rsid w:val="0CA3523B"/>
    <w:rsid w:val="0DC21D96"/>
    <w:rsid w:val="0E41082D"/>
    <w:rsid w:val="0ED830F1"/>
    <w:rsid w:val="0F851FF3"/>
    <w:rsid w:val="10597E57"/>
    <w:rsid w:val="10B877E0"/>
    <w:rsid w:val="10C5152A"/>
    <w:rsid w:val="10D11B24"/>
    <w:rsid w:val="117F52E5"/>
    <w:rsid w:val="13143F34"/>
    <w:rsid w:val="14A14FAE"/>
    <w:rsid w:val="1A8011A8"/>
    <w:rsid w:val="1B037CDD"/>
    <w:rsid w:val="1D093BE7"/>
    <w:rsid w:val="1E450493"/>
    <w:rsid w:val="21597A58"/>
    <w:rsid w:val="216A1B8D"/>
    <w:rsid w:val="21ED770F"/>
    <w:rsid w:val="224462EA"/>
    <w:rsid w:val="22FE2970"/>
    <w:rsid w:val="232D64B7"/>
    <w:rsid w:val="234447AB"/>
    <w:rsid w:val="23B37118"/>
    <w:rsid w:val="23CF0795"/>
    <w:rsid w:val="24C108AD"/>
    <w:rsid w:val="25483E3A"/>
    <w:rsid w:val="2859184C"/>
    <w:rsid w:val="28A90D4C"/>
    <w:rsid w:val="2A1022F5"/>
    <w:rsid w:val="2BEA0F44"/>
    <w:rsid w:val="2C4F2AD7"/>
    <w:rsid w:val="2CC8097D"/>
    <w:rsid w:val="2E227416"/>
    <w:rsid w:val="2EF01BE2"/>
    <w:rsid w:val="2F8751FB"/>
    <w:rsid w:val="2FD327D9"/>
    <w:rsid w:val="2FD94771"/>
    <w:rsid w:val="32654859"/>
    <w:rsid w:val="32BA5BD3"/>
    <w:rsid w:val="331A4B9F"/>
    <w:rsid w:val="335C510C"/>
    <w:rsid w:val="33E653E8"/>
    <w:rsid w:val="346911EC"/>
    <w:rsid w:val="37092B3E"/>
    <w:rsid w:val="38D26630"/>
    <w:rsid w:val="3B277FFC"/>
    <w:rsid w:val="3D30289B"/>
    <w:rsid w:val="3D356685"/>
    <w:rsid w:val="3E920F0F"/>
    <w:rsid w:val="3EA82F10"/>
    <w:rsid w:val="3FB222DC"/>
    <w:rsid w:val="407E0AA8"/>
    <w:rsid w:val="40AC16CA"/>
    <w:rsid w:val="416C38DF"/>
    <w:rsid w:val="436B7FDA"/>
    <w:rsid w:val="44064FCD"/>
    <w:rsid w:val="44C7795C"/>
    <w:rsid w:val="45B253A3"/>
    <w:rsid w:val="46092479"/>
    <w:rsid w:val="467C66C9"/>
    <w:rsid w:val="47FE7124"/>
    <w:rsid w:val="490876A7"/>
    <w:rsid w:val="496A4CD3"/>
    <w:rsid w:val="49B86908"/>
    <w:rsid w:val="49E12C87"/>
    <w:rsid w:val="4B3D59C8"/>
    <w:rsid w:val="4BF70D33"/>
    <w:rsid w:val="4D33014E"/>
    <w:rsid w:val="4DA62092"/>
    <w:rsid w:val="4EF4496D"/>
    <w:rsid w:val="4F486310"/>
    <w:rsid w:val="4F59180F"/>
    <w:rsid w:val="507024A0"/>
    <w:rsid w:val="557030FD"/>
    <w:rsid w:val="56E22B76"/>
    <w:rsid w:val="56EF4352"/>
    <w:rsid w:val="58556BFC"/>
    <w:rsid w:val="5A070C42"/>
    <w:rsid w:val="5A150BDD"/>
    <w:rsid w:val="5A7E1718"/>
    <w:rsid w:val="5AF87FEB"/>
    <w:rsid w:val="5B4F7984"/>
    <w:rsid w:val="5C332A84"/>
    <w:rsid w:val="5C720AFF"/>
    <w:rsid w:val="5CFC0A5F"/>
    <w:rsid w:val="5E8F65BA"/>
    <w:rsid w:val="607E7678"/>
    <w:rsid w:val="60F75A7E"/>
    <w:rsid w:val="662034EA"/>
    <w:rsid w:val="663049B1"/>
    <w:rsid w:val="663775A4"/>
    <w:rsid w:val="66720B4E"/>
    <w:rsid w:val="67596B94"/>
    <w:rsid w:val="684E0A93"/>
    <w:rsid w:val="69411A88"/>
    <w:rsid w:val="6A0D0B87"/>
    <w:rsid w:val="6AB54AA0"/>
    <w:rsid w:val="6D034921"/>
    <w:rsid w:val="6EAC4C03"/>
    <w:rsid w:val="6F572204"/>
    <w:rsid w:val="70285E66"/>
    <w:rsid w:val="70765533"/>
    <w:rsid w:val="713B55CA"/>
    <w:rsid w:val="71A05D5C"/>
    <w:rsid w:val="722B71FD"/>
    <w:rsid w:val="73B86637"/>
    <w:rsid w:val="75D352C7"/>
    <w:rsid w:val="773430B1"/>
    <w:rsid w:val="7742482B"/>
    <w:rsid w:val="77781FC6"/>
    <w:rsid w:val="79E36E5F"/>
    <w:rsid w:val="7AF15440"/>
    <w:rsid w:val="7B2843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21"/>
    <w:semiHidden/>
    <w:unhideWhenUsed/>
    <w:qFormat/>
    <w:uiPriority w:val="99"/>
    <w:rPr>
      <w:rFonts w:ascii="宋体"/>
      <w:sz w:val="18"/>
      <w:szCs w:val="18"/>
    </w:rPr>
  </w:style>
  <w:style w:type="paragraph" w:styleId="3">
    <w:name w:val="annotation text"/>
    <w:basedOn w:val="1"/>
    <w:link w:val="23"/>
    <w:unhideWhenUsed/>
    <w:qFormat/>
    <w:uiPriority w:val="0"/>
  </w:style>
  <w:style w:type="paragraph" w:styleId="4">
    <w:name w:val="Date"/>
    <w:basedOn w:val="1"/>
    <w:next w:val="1"/>
    <w:link w:val="18"/>
    <w:semiHidden/>
    <w:unhideWhenUsed/>
    <w:qFormat/>
    <w:uiPriority w:val="99"/>
    <w:pPr>
      <w:ind w:left="100" w:leftChars="2500"/>
    </w:pPr>
  </w:style>
  <w:style w:type="paragraph" w:styleId="5">
    <w:name w:val="footer"/>
    <w:basedOn w:val="1"/>
    <w:link w:val="20"/>
    <w:unhideWhenUsed/>
    <w:qFormat/>
    <w:uiPriority w:val="99"/>
    <w:pPr>
      <w:tabs>
        <w:tab w:val="center" w:pos="4153"/>
        <w:tab w:val="right" w:pos="8306"/>
      </w:tabs>
      <w:snapToGrid w:val="0"/>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pPr>
  </w:style>
  <w:style w:type="paragraph" w:styleId="8">
    <w:name w:val="annotation subject"/>
    <w:basedOn w:val="3"/>
    <w:next w:val="3"/>
    <w:link w:val="24"/>
    <w:semiHidden/>
    <w:unhideWhenUsed/>
    <w:qFormat/>
    <w:uiPriority w:val="99"/>
    <w:rPr>
      <w:b/>
      <w:bCs/>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Hyperlink"/>
    <w:basedOn w:val="11"/>
    <w:qFormat/>
    <w:uiPriority w:val="0"/>
    <w:rPr>
      <w:color w:val="0000FF"/>
      <w:u w:val="single"/>
    </w:rPr>
  </w:style>
  <w:style w:type="character" w:styleId="14">
    <w:name w:val="annotation reference"/>
    <w:basedOn w:val="11"/>
    <w:unhideWhenUsed/>
    <w:qFormat/>
    <w:uiPriority w:val="0"/>
    <w:rPr>
      <w:sz w:val="21"/>
      <w:szCs w:val="21"/>
    </w:rPr>
  </w:style>
  <w:style w:type="paragraph" w:customStyle="1" w:styleId="15">
    <w:name w:val="Default"/>
    <w:link w:val="16"/>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character" w:customStyle="1" w:styleId="16">
    <w:name w:val="Default Char"/>
    <w:link w:val="15"/>
    <w:qFormat/>
    <w:uiPriority w:val="0"/>
    <w:rPr>
      <w:rFonts w:ascii="楷体_GB2312" w:hAnsi="Times New Roman" w:eastAsia="楷体_GB2312" w:cs="Times New Roman"/>
      <w:color w:val="000000"/>
      <w:kern w:val="0"/>
      <w:sz w:val="24"/>
      <w:szCs w:val="24"/>
    </w:rPr>
  </w:style>
  <w:style w:type="paragraph" w:styleId="17">
    <w:name w:val="List Paragraph"/>
    <w:basedOn w:val="1"/>
    <w:qFormat/>
    <w:uiPriority w:val="34"/>
    <w:pPr>
      <w:widowControl w:val="0"/>
      <w:ind w:firstLine="420" w:firstLineChars="200"/>
      <w:jc w:val="both"/>
    </w:pPr>
    <w:rPr>
      <w:rFonts w:ascii="Calibri" w:hAnsi="Calibri"/>
      <w:kern w:val="2"/>
      <w:sz w:val="21"/>
      <w:szCs w:val="22"/>
    </w:rPr>
  </w:style>
  <w:style w:type="character" w:customStyle="1" w:styleId="18">
    <w:name w:val="日期 字符"/>
    <w:basedOn w:val="11"/>
    <w:link w:val="4"/>
    <w:semiHidden/>
    <w:qFormat/>
    <w:uiPriority w:val="99"/>
    <w:rPr>
      <w:rFonts w:ascii="Times New Roman" w:hAnsi="Times New Roman" w:eastAsia="宋体" w:cs="Times New Roman"/>
      <w:kern w:val="0"/>
      <w:sz w:val="24"/>
      <w:szCs w:val="24"/>
    </w:rPr>
  </w:style>
  <w:style w:type="character" w:customStyle="1" w:styleId="19">
    <w:name w:val="页眉 字符"/>
    <w:basedOn w:val="11"/>
    <w:link w:val="6"/>
    <w:qFormat/>
    <w:uiPriority w:val="99"/>
    <w:rPr>
      <w:rFonts w:ascii="Times New Roman" w:hAnsi="Times New Roman" w:eastAsia="宋体" w:cs="Times New Roman"/>
      <w:kern w:val="0"/>
      <w:sz w:val="18"/>
      <w:szCs w:val="18"/>
    </w:rPr>
  </w:style>
  <w:style w:type="character" w:customStyle="1" w:styleId="20">
    <w:name w:val="页脚 字符"/>
    <w:basedOn w:val="11"/>
    <w:link w:val="5"/>
    <w:qFormat/>
    <w:uiPriority w:val="99"/>
    <w:rPr>
      <w:rFonts w:ascii="Times New Roman" w:hAnsi="Times New Roman" w:eastAsia="宋体" w:cs="Times New Roman"/>
      <w:kern w:val="0"/>
      <w:sz w:val="18"/>
      <w:szCs w:val="18"/>
    </w:rPr>
  </w:style>
  <w:style w:type="character" w:customStyle="1" w:styleId="21">
    <w:name w:val="文档结构图 字符"/>
    <w:basedOn w:val="11"/>
    <w:link w:val="2"/>
    <w:semiHidden/>
    <w:qFormat/>
    <w:uiPriority w:val="99"/>
    <w:rPr>
      <w:rFonts w:ascii="宋体" w:hAnsi="Times New Roman" w:eastAsia="宋体" w:cs="Times New Roman"/>
      <w:kern w:val="0"/>
      <w:sz w:val="18"/>
      <w:szCs w:val="18"/>
    </w:rPr>
  </w:style>
  <w:style w:type="paragraph" w:customStyle="1" w:styleId="22">
    <w:name w:val="修订1"/>
    <w:hidden/>
    <w:semiHidden/>
    <w:qFormat/>
    <w:uiPriority w:val="99"/>
    <w:rPr>
      <w:rFonts w:ascii="Times New Roman" w:hAnsi="Times New Roman" w:eastAsia="宋体" w:cs="Times New Roman"/>
      <w:sz w:val="24"/>
      <w:szCs w:val="24"/>
      <w:lang w:val="en-US" w:eastAsia="zh-CN" w:bidi="ar-SA"/>
    </w:rPr>
  </w:style>
  <w:style w:type="character" w:customStyle="1" w:styleId="23">
    <w:name w:val="批注文字 字符"/>
    <w:basedOn w:val="11"/>
    <w:link w:val="3"/>
    <w:qFormat/>
    <w:uiPriority w:val="0"/>
    <w:rPr>
      <w:sz w:val="24"/>
      <w:szCs w:val="24"/>
    </w:rPr>
  </w:style>
  <w:style w:type="character" w:customStyle="1" w:styleId="24">
    <w:name w:val="批注主题 字符"/>
    <w:basedOn w:val="23"/>
    <w:link w:val="8"/>
    <w:semiHidden/>
    <w:qFormat/>
    <w:uiPriority w:val="99"/>
    <w:rPr>
      <w:b/>
      <w:bCs/>
      <w:sz w:val="24"/>
      <w:szCs w:val="24"/>
    </w:rPr>
  </w:style>
  <w:style w:type="paragraph" w:customStyle="1" w:styleId="25">
    <w:name w:val="Revision"/>
    <w:hidden/>
    <w:semiHidden/>
    <w:qFormat/>
    <w:uiPriority w:val="99"/>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53291-24DE-4514-BADA-DD9B372B6E1B}">
  <ds:schemaRefs/>
</ds:datastoreItem>
</file>

<file path=docProps/app.xml><?xml version="1.0" encoding="utf-8"?>
<Properties xmlns="http://schemas.openxmlformats.org/officeDocument/2006/extended-properties" xmlns:vt="http://schemas.openxmlformats.org/officeDocument/2006/docPropsVTypes">
  <Template>Normal</Template>
  <Pages>2</Pages>
  <Words>1014</Words>
  <Characters>1135</Characters>
  <Lines>6</Lines>
  <Paragraphs>1</Paragraphs>
  <TotalTime>88</TotalTime>
  <ScaleCrop>false</ScaleCrop>
  <LinksUpToDate>false</LinksUpToDate>
  <CharactersWithSpaces>1171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2023-01-13T09:59:00Z</dcterms:created>
  <dc:creator>admin</dc:creator>
  <cp:lastModifiedBy>杨易</cp:lastModifiedBy>
  <cp:lastPrinted>2019-06-12T08:48:00Z</cp:lastPrinted>
  <dcterms:modified xsi:type="dcterms:W3CDTF">2023-01-30T09:09:19Z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C09B364AC28F4A2CB5347C03FE749DC8</vt:lpwstr>
  </property>
</Properties>
</file>