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证券代码：603232  </w:t>
      </w:r>
      <w:r>
        <w:rPr>
          <w:rFonts w:ascii="宋体" w:hAnsi="宋体"/>
          <w:sz w:val="24"/>
          <w:szCs w:val="24"/>
        </w:rPr>
        <w:t xml:space="preserve">       </w:t>
      </w:r>
      <w:r>
        <w:rPr>
          <w:rFonts w:hint="eastAsia" w:ascii="宋体" w:hAnsi="宋体"/>
          <w:sz w:val="24"/>
          <w:szCs w:val="24"/>
        </w:rPr>
        <w:t xml:space="preserve">证券简称：格尔软件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>公告编号：2</w:t>
      </w:r>
      <w:r>
        <w:rPr>
          <w:rFonts w:ascii="宋体" w:hAnsi="宋体"/>
          <w:sz w:val="24"/>
          <w:szCs w:val="24"/>
        </w:rPr>
        <w:t>022-</w:t>
      </w:r>
      <w:r>
        <w:rPr>
          <w:rFonts w:hint="eastAsia" w:ascii="宋体" w:hAnsi="宋体"/>
          <w:sz w:val="24"/>
          <w:szCs w:val="24"/>
        </w:rPr>
        <w:t>061</w:t>
      </w:r>
    </w:p>
    <w:p>
      <w:pPr>
        <w:adjustRightInd w:val="0"/>
        <w:snapToGrid w:val="0"/>
        <w:spacing w:line="360" w:lineRule="auto"/>
        <w:rPr>
          <w:rFonts w:ascii="仿宋_GB2312" w:eastAsia="仿宋_GB2312"/>
          <w:sz w:val="30"/>
          <w:szCs w:val="30"/>
        </w:rPr>
      </w:pP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/>
          <w:b/>
          <w:color w:val="FF0000"/>
          <w:sz w:val="36"/>
          <w:szCs w:val="36"/>
        </w:rPr>
      </w:pPr>
      <w:r>
        <w:rPr>
          <w:rFonts w:hint="eastAsia" w:ascii="黑体" w:hAnsi="黑体" w:eastAsia="黑体"/>
          <w:b/>
          <w:color w:val="FF0000"/>
          <w:sz w:val="36"/>
          <w:szCs w:val="36"/>
        </w:rPr>
        <w:t>格尔软件股份有限公司</w:t>
      </w: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/>
          <w:b/>
          <w:color w:val="FF0000"/>
          <w:sz w:val="36"/>
          <w:szCs w:val="36"/>
        </w:rPr>
      </w:pPr>
      <w:r>
        <w:rPr>
          <w:rFonts w:hint="eastAsia" w:ascii="黑体" w:hAnsi="黑体" w:eastAsia="黑体"/>
          <w:b/>
          <w:color w:val="FF0000"/>
          <w:sz w:val="36"/>
          <w:szCs w:val="36"/>
        </w:rPr>
        <w:t>股票交易风险提示公告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本公司董事会及全体董事保证本公告内容不存在任何虚假记载、误导性陈述或者重大遗漏，并对其内容的真实性、准确性和完整性承担法律责任。</w:t>
      </w:r>
    </w:p>
    <w:p>
      <w:pPr>
        <w:numPr>
          <w:ilvl w:val="255"/>
          <w:numId w:val="0"/>
        </w:numPr>
        <w:adjustRightInd w:val="0"/>
        <w:snapToGrid w:val="0"/>
        <w:spacing w:line="360" w:lineRule="auto"/>
        <w:ind w:left="420" w:leftChars="200"/>
        <w:rPr>
          <w:rFonts w:ascii="宋体" w:hAnsi="宋体"/>
          <w:sz w:val="24"/>
          <w:szCs w:val="24"/>
        </w:rPr>
      </w:pPr>
    </w:p>
    <w:p>
      <w:pPr>
        <w:numPr>
          <w:ilvl w:val="255"/>
          <w:numId w:val="0"/>
        </w:num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/>
          <w:sz w:val="24"/>
          <w:szCs w:val="24"/>
        </w:rPr>
        <w:t>格尔软件股份有限公司（以下简称“公司”或“本公司”）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股票于202</w:t>
      </w:r>
      <w:r>
        <w:rPr>
          <w:rFonts w:hint="eastAsia" w:ascii="宋体" w:hAnsi="宋体" w:cs="宋体"/>
          <w:kern w:val="0"/>
          <w:sz w:val="24"/>
          <w:szCs w:val="24"/>
        </w:rPr>
        <w:t>2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年</w:t>
      </w:r>
      <w:r>
        <w:rPr>
          <w:rFonts w:hint="eastAsia" w:ascii="宋体" w:hAnsi="宋体" w:cs="宋体"/>
          <w:kern w:val="0"/>
          <w:sz w:val="24"/>
          <w:szCs w:val="24"/>
        </w:rPr>
        <w:t>10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月</w:t>
      </w:r>
      <w:r>
        <w:rPr>
          <w:rFonts w:hint="eastAsia" w:ascii="宋体" w:hAnsi="宋体" w:cs="宋体"/>
          <w:kern w:val="0"/>
          <w:sz w:val="24"/>
          <w:szCs w:val="24"/>
        </w:rPr>
        <w:t>27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日、</w:t>
      </w:r>
      <w:r>
        <w:rPr>
          <w:rFonts w:hint="eastAsia" w:ascii="宋体" w:hAnsi="宋体" w:cs="宋体"/>
          <w:kern w:val="0"/>
          <w:sz w:val="24"/>
          <w:szCs w:val="24"/>
        </w:rPr>
        <w:t>10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月</w:t>
      </w:r>
      <w:r>
        <w:rPr>
          <w:rFonts w:hint="eastAsia" w:ascii="宋体" w:hAnsi="宋体" w:cs="宋体"/>
          <w:kern w:val="0"/>
          <w:sz w:val="24"/>
          <w:szCs w:val="24"/>
        </w:rPr>
        <w:t>28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日连续两个交易日内日收盘价格涨幅偏离值累计超过20%。根据《上海证券交易所交易规则》的有关规定，属于股票交易异常波动情形。公司于202</w:t>
      </w:r>
      <w:r>
        <w:rPr>
          <w:rFonts w:hint="eastAsia" w:ascii="宋体" w:hAnsi="宋体" w:cs="宋体"/>
          <w:kern w:val="0"/>
          <w:sz w:val="24"/>
          <w:szCs w:val="24"/>
        </w:rPr>
        <w:t>2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年</w:t>
      </w:r>
      <w:r>
        <w:rPr>
          <w:rFonts w:hint="eastAsia" w:ascii="宋体" w:hAnsi="宋体" w:cs="宋体"/>
          <w:kern w:val="0"/>
          <w:sz w:val="24"/>
          <w:szCs w:val="24"/>
        </w:rPr>
        <w:t>10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月</w:t>
      </w:r>
      <w:r>
        <w:rPr>
          <w:rFonts w:hint="eastAsia" w:ascii="宋体" w:hAnsi="宋体" w:cs="宋体"/>
          <w:kern w:val="0"/>
          <w:sz w:val="24"/>
          <w:szCs w:val="24"/>
        </w:rPr>
        <w:t>29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日披露了《格尔软件股份有限公司股票交易异常波动公告》（公告编号：2022-060）。20</w:t>
      </w:r>
      <w:r>
        <w:rPr>
          <w:rFonts w:hint="eastAsia" w:ascii="宋体" w:hAnsi="宋体" w:cs="宋体"/>
          <w:kern w:val="0"/>
          <w:sz w:val="24"/>
          <w:szCs w:val="24"/>
        </w:rPr>
        <w:t>22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年</w:t>
      </w:r>
      <w:r>
        <w:rPr>
          <w:rFonts w:hint="eastAsia" w:ascii="宋体" w:hAnsi="宋体" w:cs="宋体"/>
          <w:kern w:val="0"/>
          <w:sz w:val="24"/>
          <w:szCs w:val="24"/>
        </w:rPr>
        <w:t>10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月</w:t>
      </w:r>
      <w:r>
        <w:rPr>
          <w:rFonts w:hint="eastAsia" w:ascii="宋体" w:hAnsi="宋体" w:cs="宋体"/>
          <w:kern w:val="0"/>
          <w:sz w:val="24"/>
          <w:szCs w:val="24"/>
        </w:rPr>
        <w:t>31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日，公司股票再次涨停。鉴于近期公司股票价格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波动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较大，公司现对有关事项和风险说明如下，敬请广大投资者理性决策，注意投资风险。</w:t>
      </w:r>
    </w:p>
    <w:p>
      <w:pPr>
        <w:adjustRightInd w:val="0"/>
        <w:snapToGrid w:val="0"/>
        <w:spacing w:line="360" w:lineRule="auto"/>
        <w:ind w:firstLine="600"/>
        <w:rPr>
          <w:rFonts w:ascii="宋体" w:hAnsi="宋体"/>
          <w:sz w:val="24"/>
          <w:szCs w:val="24"/>
        </w:rPr>
      </w:pPr>
    </w:p>
    <w:p>
      <w:pPr>
        <w:adjustRightInd w:val="0"/>
        <w:snapToGrid w:val="0"/>
        <w:spacing w:line="360" w:lineRule="auto"/>
        <w:ind w:firstLine="482" w:firstLineChars="200"/>
        <w:rPr>
          <w:rFonts w:ascii="宋体" w:hAnsi="宋体" w:cs="宋体"/>
          <w:b/>
          <w:kern w:val="0"/>
          <w:sz w:val="24"/>
          <w:szCs w:val="24"/>
          <w:lang w:val="zh-CN"/>
        </w:rPr>
      </w:pPr>
      <w:r>
        <w:rPr>
          <w:rFonts w:hint="eastAsia" w:ascii="宋体" w:hAnsi="宋体" w:cs="宋体"/>
          <w:b/>
          <w:kern w:val="0"/>
          <w:sz w:val="24"/>
          <w:szCs w:val="24"/>
          <w:lang w:val="zh-CN"/>
        </w:rPr>
        <w:t>一、二级市场交易风险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cs="宋体"/>
          <w:kern w:val="0"/>
          <w:sz w:val="24"/>
          <w:szCs w:val="24"/>
          <w:lang w:val="zh-CN"/>
        </w:rPr>
        <w:t>在公司股票连续2个交易日内日收盘价格涨幅偏离值累计超过20%并发布股票交易异常波动公告后，</w:t>
      </w:r>
      <w:r>
        <w:rPr>
          <w:rFonts w:hint="eastAsia" w:ascii="宋体" w:hAnsi="宋体" w:cs="宋体"/>
          <w:kern w:val="0"/>
          <w:sz w:val="24"/>
          <w:szCs w:val="24"/>
        </w:rPr>
        <w:t>10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月</w:t>
      </w:r>
      <w:r>
        <w:rPr>
          <w:rFonts w:hint="eastAsia" w:ascii="宋体" w:hAnsi="宋体" w:cs="宋体"/>
          <w:kern w:val="0"/>
          <w:sz w:val="24"/>
          <w:szCs w:val="24"/>
        </w:rPr>
        <w:t>31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日公司股票再次涨停，股价剔除大盘和板块整体因素后的实际波动幅度较大。截至202</w:t>
      </w:r>
      <w:r>
        <w:rPr>
          <w:rFonts w:hint="eastAsia" w:ascii="宋体" w:hAnsi="宋体" w:cs="宋体"/>
          <w:kern w:val="0"/>
          <w:sz w:val="24"/>
          <w:szCs w:val="24"/>
        </w:rPr>
        <w:t>2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年</w:t>
      </w:r>
      <w:r>
        <w:rPr>
          <w:rFonts w:hint="eastAsia" w:ascii="宋体" w:hAnsi="宋体" w:cs="宋体"/>
          <w:kern w:val="0"/>
          <w:sz w:val="24"/>
          <w:szCs w:val="24"/>
        </w:rPr>
        <w:t>10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月</w:t>
      </w:r>
      <w:r>
        <w:rPr>
          <w:rFonts w:hint="eastAsia" w:ascii="宋体" w:hAnsi="宋体" w:cs="宋体"/>
          <w:kern w:val="0"/>
          <w:sz w:val="24"/>
          <w:szCs w:val="24"/>
        </w:rPr>
        <w:t>31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日收盘，公司股票价格为1</w:t>
      </w:r>
      <w:r>
        <w:rPr>
          <w:rFonts w:hint="eastAsia" w:ascii="宋体" w:hAnsi="宋体" w:cs="宋体"/>
          <w:kern w:val="0"/>
          <w:sz w:val="24"/>
          <w:szCs w:val="24"/>
        </w:rPr>
        <w:t>6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.7</w:t>
      </w:r>
      <w:r>
        <w:rPr>
          <w:rFonts w:hint="eastAsia" w:ascii="宋体" w:hAnsi="宋体" w:cs="宋体"/>
          <w:kern w:val="0"/>
          <w:sz w:val="24"/>
          <w:szCs w:val="24"/>
        </w:rPr>
        <w:t>8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元/股，滚动市盈率（T</w:t>
      </w:r>
      <w:r>
        <w:rPr>
          <w:rFonts w:ascii="宋体" w:hAnsi="宋体" w:cs="宋体"/>
          <w:kern w:val="0"/>
          <w:sz w:val="24"/>
          <w:szCs w:val="24"/>
          <w:lang w:val="zh-CN"/>
        </w:rPr>
        <w:t>TM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）为</w:t>
      </w:r>
      <w:r>
        <w:rPr>
          <w:rFonts w:ascii="宋体" w:hAnsi="宋体" w:cs="宋体"/>
          <w:kern w:val="0"/>
          <w:sz w:val="24"/>
          <w:szCs w:val="24"/>
          <w:lang w:val="zh-CN"/>
        </w:rPr>
        <w:t>74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.8</w:t>
      </w:r>
      <w:r>
        <w:rPr>
          <w:rFonts w:ascii="宋体" w:hAnsi="宋体" w:cs="宋体"/>
          <w:kern w:val="0"/>
          <w:sz w:val="24"/>
          <w:szCs w:val="24"/>
          <w:lang w:val="zh-CN"/>
        </w:rPr>
        <w:t>8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，根据中证指数有限公司网站发布的数据，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公司所属的行业分类“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计算机”（中证行业分类）为54.54，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公司市盈率</w:t>
      </w:r>
      <w:r>
        <w:rPr>
          <w:rFonts w:hint="eastAsia" w:ascii="宋体" w:hAnsi="宋体" w:cs="宋体"/>
          <w:kern w:val="0"/>
          <w:sz w:val="24"/>
          <w:szCs w:val="24"/>
        </w:rPr>
        <w:t>高于行业平均水平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。公司特别提醒广大投资者，注意二级市场交易风险，理性决策，审慎投资。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  <w:lang w:val="zh-CN"/>
        </w:rPr>
      </w:pPr>
    </w:p>
    <w:p>
      <w:pPr>
        <w:adjustRightInd w:val="0"/>
        <w:snapToGrid w:val="0"/>
        <w:spacing w:line="360" w:lineRule="auto"/>
        <w:ind w:firstLine="482" w:firstLineChars="200"/>
        <w:rPr>
          <w:rFonts w:hint="default" w:ascii="宋体" w:hAnsi="宋体" w:eastAsia="宋体" w:cs="宋体"/>
          <w:b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  <w:lang w:val="zh-CN"/>
        </w:rPr>
        <w:t>二、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2022年三季度报告业绩亏损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 w:cs="宋体"/>
          <w:kern w:val="0"/>
          <w:sz w:val="24"/>
          <w:szCs w:val="24"/>
          <w:lang w:val="zh-CN"/>
        </w:rPr>
        <w:t>经公司自查，公司基本面没有发生重大变化，目前生产经营活动一切正常，市场环境、行业政策没有发生重大调整、生产成本和销售等情况没有出现大幅波动、内部生产经营秩序正常。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根据公司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2022年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三</w:t>
      </w:r>
      <w:r>
        <w:rPr>
          <w:rFonts w:hint="eastAsia" w:ascii="宋体" w:hAnsi="宋体" w:cs="宋体"/>
          <w:kern w:val="0"/>
          <w:sz w:val="24"/>
          <w:szCs w:val="24"/>
          <w:lang w:val="zh-CN"/>
        </w:rPr>
        <w:t>季度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报告显示，归属于母公司股东的净利润为-5,063万元，归属于</w:t>
      </w:r>
      <w:bookmarkStart w:id="4" w:name="_GoBack"/>
      <w:bookmarkEnd w:id="4"/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母公司股东的扣除非经常性损益的净利润为-7,967万元。</w:t>
      </w:r>
      <w:r>
        <w:rPr>
          <w:rFonts w:hint="eastAsia" w:ascii="宋体" w:hAnsi="宋体" w:cs="宋体"/>
          <w:kern w:val="0"/>
          <w:sz w:val="24"/>
          <w:szCs w:val="24"/>
        </w:rPr>
        <w:t>敬请广大投资者理性投资，注意投资风险。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  <w:lang w:val="zh-CN"/>
        </w:rPr>
      </w:pPr>
    </w:p>
    <w:p>
      <w:pPr>
        <w:adjustRightInd w:val="0"/>
        <w:snapToGrid w:val="0"/>
        <w:spacing w:line="360" w:lineRule="auto"/>
        <w:ind w:firstLine="482" w:firstLineChars="200"/>
        <w:rPr>
          <w:rFonts w:ascii="宋体" w:hAnsi="宋体" w:cs="宋体"/>
          <w:b/>
          <w:kern w:val="0"/>
          <w:sz w:val="24"/>
          <w:szCs w:val="24"/>
          <w:lang w:val="zh-CN"/>
        </w:rPr>
      </w:pPr>
      <w:r>
        <w:rPr>
          <w:rFonts w:hint="eastAsia" w:ascii="宋体" w:hAnsi="宋体" w:cs="宋体"/>
          <w:b/>
          <w:kern w:val="0"/>
          <w:sz w:val="24"/>
          <w:szCs w:val="24"/>
          <w:lang w:val="zh-CN"/>
        </w:rPr>
        <w:t>三、董事会声明及相关方承诺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  <w:lang w:val="zh-CN"/>
        </w:rPr>
      </w:pPr>
      <w:r>
        <w:rPr>
          <w:rFonts w:hint="eastAsia" w:ascii="宋体" w:hAnsi="宋体"/>
          <w:sz w:val="24"/>
          <w:szCs w:val="24"/>
        </w:rPr>
        <w:t>本公司董事会确认，不存在其他根据《上海证券交易所股票上市规则》等有关规定应披露而未披露的事项或与该等事项有关的筹划、商谈、意向、协议等，董事会也未获悉根据《上海证券交易所股票上市规则》等有关规定应披露而未披露的、对本公司股票及其衍生品种交易价格可能产生较大影响的信息；公司前期披露的信息不存在需要更正、补充之处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  <w:lang w:val="zh-CN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特此公告。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</w:p>
    <w:p>
      <w:pPr>
        <w:tabs>
          <w:tab w:val="left" w:pos="1080"/>
        </w:tabs>
        <w:adjustRightInd w:val="0"/>
        <w:snapToGrid w:val="0"/>
        <w:spacing w:line="560" w:lineRule="exact"/>
        <w:jc w:val="righ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格尔软件股份有限公司董事会</w:t>
      </w:r>
    </w:p>
    <w:p>
      <w:pPr>
        <w:adjustRightInd w:val="0"/>
        <w:snapToGrid w:val="0"/>
        <w:spacing w:line="560" w:lineRule="exact"/>
        <w:jc w:val="right"/>
        <w:rPr>
          <w:rFonts w:ascii="仿宋_GB2312" w:hAnsi="宋体" w:eastAsia="仿宋_GB2312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</w:t>
      </w:r>
      <w:r>
        <w:rPr>
          <w:rFonts w:ascii="宋体" w:hAnsi="宋体"/>
          <w:sz w:val="24"/>
          <w:szCs w:val="24"/>
        </w:rPr>
        <w:t>022</w:t>
      </w:r>
      <w:r>
        <w:rPr>
          <w:rFonts w:hint="eastAsia" w:ascii="宋体" w:hAnsi="宋体"/>
          <w:sz w:val="24"/>
          <w:szCs w:val="24"/>
        </w:rPr>
        <w:t>年11月1日</w:t>
      </w:r>
    </w:p>
    <w:p>
      <w:pPr>
        <w:spacing w:line="560" w:lineRule="exact"/>
      </w:pPr>
      <w:bookmarkStart w:id="0" w:name="_Toc329775046"/>
      <w:bookmarkEnd w:id="0"/>
      <w:bookmarkStart w:id="1" w:name="_Toc329786096"/>
      <w:bookmarkEnd w:id="1"/>
      <w:bookmarkStart w:id="2" w:name="_Toc340839634"/>
      <w:bookmarkEnd w:id="2"/>
      <w:bookmarkStart w:id="3" w:name="_Toc330904149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VhNzY4OTUyNTg4NjNmYjFmNTU1MDJjM2Q5ODM1YzAifQ=="/>
  </w:docVars>
  <w:rsids>
    <w:rsidRoot w:val="00F6170B"/>
    <w:rsid w:val="00015FF8"/>
    <w:rsid w:val="0002099A"/>
    <w:rsid w:val="00022811"/>
    <w:rsid w:val="0004027D"/>
    <w:rsid w:val="0004287C"/>
    <w:rsid w:val="000432CE"/>
    <w:rsid w:val="00047BF5"/>
    <w:rsid w:val="00050B4C"/>
    <w:rsid w:val="00057EF6"/>
    <w:rsid w:val="000665CB"/>
    <w:rsid w:val="00071DFE"/>
    <w:rsid w:val="00076BE7"/>
    <w:rsid w:val="000868AC"/>
    <w:rsid w:val="00086BE9"/>
    <w:rsid w:val="000B51B2"/>
    <w:rsid w:val="000C73B8"/>
    <w:rsid w:val="000D0CAB"/>
    <w:rsid w:val="000D64C7"/>
    <w:rsid w:val="000E2592"/>
    <w:rsid w:val="000E7F87"/>
    <w:rsid w:val="000F1FF3"/>
    <w:rsid w:val="000F2598"/>
    <w:rsid w:val="000F406D"/>
    <w:rsid w:val="000F6787"/>
    <w:rsid w:val="001005DD"/>
    <w:rsid w:val="00107583"/>
    <w:rsid w:val="00113421"/>
    <w:rsid w:val="00125515"/>
    <w:rsid w:val="00130F6D"/>
    <w:rsid w:val="00133FDB"/>
    <w:rsid w:val="001356DD"/>
    <w:rsid w:val="00145B86"/>
    <w:rsid w:val="00157813"/>
    <w:rsid w:val="0016367B"/>
    <w:rsid w:val="001652B2"/>
    <w:rsid w:val="00165CD9"/>
    <w:rsid w:val="001743DE"/>
    <w:rsid w:val="00175D85"/>
    <w:rsid w:val="00181765"/>
    <w:rsid w:val="001866B6"/>
    <w:rsid w:val="001901B6"/>
    <w:rsid w:val="001A1FB0"/>
    <w:rsid w:val="001B5830"/>
    <w:rsid w:val="001C211E"/>
    <w:rsid w:val="001D6444"/>
    <w:rsid w:val="001E46E0"/>
    <w:rsid w:val="001F1AE0"/>
    <w:rsid w:val="0020436E"/>
    <w:rsid w:val="00207363"/>
    <w:rsid w:val="00224606"/>
    <w:rsid w:val="002334D8"/>
    <w:rsid w:val="00235ED8"/>
    <w:rsid w:val="0025363B"/>
    <w:rsid w:val="002547E2"/>
    <w:rsid w:val="00267FA9"/>
    <w:rsid w:val="0028282E"/>
    <w:rsid w:val="00291621"/>
    <w:rsid w:val="00292FAE"/>
    <w:rsid w:val="002934D0"/>
    <w:rsid w:val="00297159"/>
    <w:rsid w:val="00300668"/>
    <w:rsid w:val="0031787F"/>
    <w:rsid w:val="00324C5E"/>
    <w:rsid w:val="00325780"/>
    <w:rsid w:val="00331794"/>
    <w:rsid w:val="00333CEE"/>
    <w:rsid w:val="00335982"/>
    <w:rsid w:val="0033722C"/>
    <w:rsid w:val="0034284A"/>
    <w:rsid w:val="003460D8"/>
    <w:rsid w:val="003502D6"/>
    <w:rsid w:val="00356A58"/>
    <w:rsid w:val="003672B1"/>
    <w:rsid w:val="00372290"/>
    <w:rsid w:val="00381946"/>
    <w:rsid w:val="003823D6"/>
    <w:rsid w:val="00384763"/>
    <w:rsid w:val="003936C8"/>
    <w:rsid w:val="003942F6"/>
    <w:rsid w:val="003A3E9B"/>
    <w:rsid w:val="003C22F0"/>
    <w:rsid w:val="003D5D9A"/>
    <w:rsid w:val="003E266A"/>
    <w:rsid w:val="003E3835"/>
    <w:rsid w:val="003E7729"/>
    <w:rsid w:val="003E776C"/>
    <w:rsid w:val="003E7F9C"/>
    <w:rsid w:val="003F0478"/>
    <w:rsid w:val="0040691E"/>
    <w:rsid w:val="00410ADE"/>
    <w:rsid w:val="00425A0B"/>
    <w:rsid w:val="004272A2"/>
    <w:rsid w:val="00444831"/>
    <w:rsid w:val="0045509F"/>
    <w:rsid w:val="00456441"/>
    <w:rsid w:val="0047516A"/>
    <w:rsid w:val="00475478"/>
    <w:rsid w:val="00480888"/>
    <w:rsid w:val="004852DC"/>
    <w:rsid w:val="00497789"/>
    <w:rsid w:val="004A64CC"/>
    <w:rsid w:val="004C7A93"/>
    <w:rsid w:val="004D00D1"/>
    <w:rsid w:val="004D1DE1"/>
    <w:rsid w:val="004D754A"/>
    <w:rsid w:val="004E41C5"/>
    <w:rsid w:val="004F19D6"/>
    <w:rsid w:val="004F7100"/>
    <w:rsid w:val="004F77C6"/>
    <w:rsid w:val="00501722"/>
    <w:rsid w:val="005036F1"/>
    <w:rsid w:val="00520E88"/>
    <w:rsid w:val="005371F3"/>
    <w:rsid w:val="00542B69"/>
    <w:rsid w:val="00544AB4"/>
    <w:rsid w:val="00551144"/>
    <w:rsid w:val="00552183"/>
    <w:rsid w:val="00556041"/>
    <w:rsid w:val="00560F0F"/>
    <w:rsid w:val="0056739E"/>
    <w:rsid w:val="005820F1"/>
    <w:rsid w:val="0058239E"/>
    <w:rsid w:val="005857D1"/>
    <w:rsid w:val="0059611C"/>
    <w:rsid w:val="0059781B"/>
    <w:rsid w:val="005A0AA8"/>
    <w:rsid w:val="005A6ED0"/>
    <w:rsid w:val="005C192E"/>
    <w:rsid w:val="005D7D3D"/>
    <w:rsid w:val="00607AA8"/>
    <w:rsid w:val="00611CAA"/>
    <w:rsid w:val="0062375B"/>
    <w:rsid w:val="0062711B"/>
    <w:rsid w:val="00630769"/>
    <w:rsid w:val="006324B9"/>
    <w:rsid w:val="00635940"/>
    <w:rsid w:val="0063797D"/>
    <w:rsid w:val="00646113"/>
    <w:rsid w:val="00667DA9"/>
    <w:rsid w:val="0067281D"/>
    <w:rsid w:val="0067473A"/>
    <w:rsid w:val="00676878"/>
    <w:rsid w:val="00691E88"/>
    <w:rsid w:val="00692741"/>
    <w:rsid w:val="00693860"/>
    <w:rsid w:val="006946BF"/>
    <w:rsid w:val="006B0A87"/>
    <w:rsid w:val="006B4118"/>
    <w:rsid w:val="006B6692"/>
    <w:rsid w:val="006C0387"/>
    <w:rsid w:val="006E4A2C"/>
    <w:rsid w:val="006F5F7B"/>
    <w:rsid w:val="00735F8C"/>
    <w:rsid w:val="00736B47"/>
    <w:rsid w:val="00740D0D"/>
    <w:rsid w:val="00742B8D"/>
    <w:rsid w:val="00746531"/>
    <w:rsid w:val="0074718E"/>
    <w:rsid w:val="007522D1"/>
    <w:rsid w:val="00753A7C"/>
    <w:rsid w:val="00756885"/>
    <w:rsid w:val="00757420"/>
    <w:rsid w:val="007605D1"/>
    <w:rsid w:val="00767DF8"/>
    <w:rsid w:val="00780F08"/>
    <w:rsid w:val="00781042"/>
    <w:rsid w:val="0078534C"/>
    <w:rsid w:val="00790C6A"/>
    <w:rsid w:val="00792576"/>
    <w:rsid w:val="007A1EC5"/>
    <w:rsid w:val="007A22A5"/>
    <w:rsid w:val="007A2453"/>
    <w:rsid w:val="007B6150"/>
    <w:rsid w:val="007C3305"/>
    <w:rsid w:val="007C3941"/>
    <w:rsid w:val="007D34E6"/>
    <w:rsid w:val="007D68D6"/>
    <w:rsid w:val="007F7340"/>
    <w:rsid w:val="00810684"/>
    <w:rsid w:val="00811665"/>
    <w:rsid w:val="00811FAE"/>
    <w:rsid w:val="00815175"/>
    <w:rsid w:val="008179C0"/>
    <w:rsid w:val="00821A7A"/>
    <w:rsid w:val="00823EAE"/>
    <w:rsid w:val="00842F2D"/>
    <w:rsid w:val="00853582"/>
    <w:rsid w:val="008630D9"/>
    <w:rsid w:val="00864FE3"/>
    <w:rsid w:val="00874649"/>
    <w:rsid w:val="0087505C"/>
    <w:rsid w:val="00875E91"/>
    <w:rsid w:val="00886DA0"/>
    <w:rsid w:val="00886F1D"/>
    <w:rsid w:val="008A0B5E"/>
    <w:rsid w:val="008B14D9"/>
    <w:rsid w:val="008B6ECA"/>
    <w:rsid w:val="008B6FF4"/>
    <w:rsid w:val="008D4CFF"/>
    <w:rsid w:val="008E3328"/>
    <w:rsid w:val="008E737C"/>
    <w:rsid w:val="008F1EBC"/>
    <w:rsid w:val="008F27E6"/>
    <w:rsid w:val="009005C6"/>
    <w:rsid w:val="00904CB5"/>
    <w:rsid w:val="00911BD7"/>
    <w:rsid w:val="0091620A"/>
    <w:rsid w:val="00925C9C"/>
    <w:rsid w:val="00933272"/>
    <w:rsid w:val="00935C1E"/>
    <w:rsid w:val="00950D99"/>
    <w:rsid w:val="00957DEC"/>
    <w:rsid w:val="00960DE4"/>
    <w:rsid w:val="00966AB8"/>
    <w:rsid w:val="00967505"/>
    <w:rsid w:val="00985EBB"/>
    <w:rsid w:val="00994E8F"/>
    <w:rsid w:val="009A28C0"/>
    <w:rsid w:val="009B12A8"/>
    <w:rsid w:val="009D1629"/>
    <w:rsid w:val="009F133E"/>
    <w:rsid w:val="00A03BED"/>
    <w:rsid w:val="00A0586C"/>
    <w:rsid w:val="00A10F74"/>
    <w:rsid w:val="00A23527"/>
    <w:rsid w:val="00A240DE"/>
    <w:rsid w:val="00A41375"/>
    <w:rsid w:val="00A5091F"/>
    <w:rsid w:val="00A55426"/>
    <w:rsid w:val="00A6022D"/>
    <w:rsid w:val="00A71EAF"/>
    <w:rsid w:val="00A72090"/>
    <w:rsid w:val="00A72847"/>
    <w:rsid w:val="00A774DA"/>
    <w:rsid w:val="00A80453"/>
    <w:rsid w:val="00A80602"/>
    <w:rsid w:val="00A84005"/>
    <w:rsid w:val="00A928E3"/>
    <w:rsid w:val="00AA63DF"/>
    <w:rsid w:val="00AD13BF"/>
    <w:rsid w:val="00AD5029"/>
    <w:rsid w:val="00AF46B9"/>
    <w:rsid w:val="00B04087"/>
    <w:rsid w:val="00B04A31"/>
    <w:rsid w:val="00B06474"/>
    <w:rsid w:val="00B10E38"/>
    <w:rsid w:val="00B17348"/>
    <w:rsid w:val="00B17E9B"/>
    <w:rsid w:val="00B24022"/>
    <w:rsid w:val="00B261CE"/>
    <w:rsid w:val="00B36F7A"/>
    <w:rsid w:val="00B476D3"/>
    <w:rsid w:val="00B556F7"/>
    <w:rsid w:val="00B63208"/>
    <w:rsid w:val="00B664A6"/>
    <w:rsid w:val="00B7294C"/>
    <w:rsid w:val="00B75065"/>
    <w:rsid w:val="00B7799B"/>
    <w:rsid w:val="00B80E71"/>
    <w:rsid w:val="00B811D3"/>
    <w:rsid w:val="00B83132"/>
    <w:rsid w:val="00B87769"/>
    <w:rsid w:val="00BB21EA"/>
    <w:rsid w:val="00BC0840"/>
    <w:rsid w:val="00BD382A"/>
    <w:rsid w:val="00BD57A8"/>
    <w:rsid w:val="00BE150F"/>
    <w:rsid w:val="00C034DD"/>
    <w:rsid w:val="00C12FE1"/>
    <w:rsid w:val="00C25C82"/>
    <w:rsid w:val="00C41640"/>
    <w:rsid w:val="00C455DA"/>
    <w:rsid w:val="00C46C01"/>
    <w:rsid w:val="00C52FCF"/>
    <w:rsid w:val="00C60260"/>
    <w:rsid w:val="00CA6DEE"/>
    <w:rsid w:val="00CB3954"/>
    <w:rsid w:val="00CB3D7B"/>
    <w:rsid w:val="00CB4A54"/>
    <w:rsid w:val="00CC02BA"/>
    <w:rsid w:val="00CD08F3"/>
    <w:rsid w:val="00CD25C3"/>
    <w:rsid w:val="00CD27B9"/>
    <w:rsid w:val="00CD4B16"/>
    <w:rsid w:val="00CE1D8B"/>
    <w:rsid w:val="00CF4673"/>
    <w:rsid w:val="00D04B8F"/>
    <w:rsid w:val="00D1083B"/>
    <w:rsid w:val="00D11F51"/>
    <w:rsid w:val="00D17B36"/>
    <w:rsid w:val="00D301F7"/>
    <w:rsid w:val="00D34CB8"/>
    <w:rsid w:val="00D36C1D"/>
    <w:rsid w:val="00D410CA"/>
    <w:rsid w:val="00D5129B"/>
    <w:rsid w:val="00D52287"/>
    <w:rsid w:val="00D70E5F"/>
    <w:rsid w:val="00D7146C"/>
    <w:rsid w:val="00D71855"/>
    <w:rsid w:val="00D7393B"/>
    <w:rsid w:val="00D944E5"/>
    <w:rsid w:val="00DA1123"/>
    <w:rsid w:val="00DA2D5A"/>
    <w:rsid w:val="00DB4A66"/>
    <w:rsid w:val="00DC1494"/>
    <w:rsid w:val="00DD1942"/>
    <w:rsid w:val="00DD6798"/>
    <w:rsid w:val="00DD7C4E"/>
    <w:rsid w:val="00DF6C5F"/>
    <w:rsid w:val="00E12C7B"/>
    <w:rsid w:val="00E20663"/>
    <w:rsid w:val="00E2263E"/>
    <w:rsid w:val="00E24435"/>
    <w:rsid w:val="00E27617"/>
    <w:rsid w:val="00E32841"/>
    <w:rsid w:val="00E34ADB"/>
    <w:rsid w:val="00E437C7"/>
    <w:rsid w:val="00E52EEC"/>
    <w:rsid w:val="00E56208"/>
    <w:rsid w:val="00E57AD4"/>
    <w:rsid w:val="00E6120B"/>
    <w:rsid w:val="00E647F8"/>
    <w:rsid w:val="00E7492D"/>
    <w:rsid w:val="00E75554"/>
    <w:rsid w:val="00E96397"/>
    <w:rsid w:val="00EA3D9D"/>
    <w:rsid w:val="00EA6688"/>
    <w:rsid w:val="00EB71CE"/>
    <w:rsid w:val="00EC0D63"/>
    <w:rsid w:val="00EC11CE"/>
    <w:rsid w:val="00EC7904"/>
    <w:rsid w:val="00ED0D7C"/>
    <w:rsid w:val="00ED0EFD"/>
    <w:rsid w:val="00ED1E02"/>
    <w:rsid w:val="00ED6496"/>
    <w:rsid w:val="00EE3857"/>
    <w:rsid w:val="00EF2E32"/>
    <w:rsid w:val="00F00832"/>
    <w:rsid w:val="00F014D5"/>
    <w:rsid w:val="00F018A1"/>
    <w:rsid w:val="00F020BD"/>
    <w:rsid w:val="00F108B5"/>
    <w:rsid w:val="00F50039"/>
    <w:rsid w:val="00F50068"/>
    <w:rsid w:val="00F51106"/>
    <w:rsid w:val="00F555CF"/>
    <w:rsid w:val="00F6072B"/>
    <w:rsid w:val="00F6170B"/>
    <w:rsid w:val="00F6229F"/>
    <w:rsid w:val="00F674CB"/>
    <w:rsid w:val="00F73081"/>
    <w:rsid w:val="00F80151"/>
    <w:rsid w:val="00F818E5"/>
    <w:rsid w:val="00F825CA"/>
    <w:rsid w:val="00F8530F"/>
    <w:rsid w:val="00FA61A7"/>
    <w:rsid w:val="00FA7F08"/>
    <w:rsid w:val="00FC12DC"/>
    <w:rsid w:val="00FC2692"/>
    <w:rsid w:val="00FC26B2"/>
    <w:rsid w:val="00FC26E8"/>
    <w:rsid w:val="00FC49D2"/>
    <w:rsid w:val="00FC5C28"/>
    <w:rsid w:val="00FD1494"/>
    <w:rsid w:val="00FD4B50"/>
    <w:rsid w:val="00FE296F"/>
    <w:rsid w:val="00FE7216"/>
    <w:rsid w:val="00FF1376"/>
    <w:rsid w:val="00FF4162"/>
    <w:rsid w:val="04050D95"/>
    <w:rsid w:val="05F71022"/>
    <w:rsid w:val="090A4C91"/>
    <w:rsid w:val="11A33207"/>
    <w:rsid w:val="141E551E"/>
    <w:rsid w:val="165C5F66"/>
    <w:rsid w:val="283353F4"/>
    <w:rsid w:val="29006301"/>
    <w:rsid w:val="29A56896"/>
    <w:rsid w:val="2EAC57AA"/>
    <w:rsid w:val="33B921CD"/>
    <w:rsid w:val="3E862E92"/>
    <w:rsid w:val="68590EC2"/>
    <w:rsid w:val="7D6D7C9F"/>
    <w:rsid w:val="7DF14125"/>
    <w:rsid w:val="7EB22B3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kern w:val="0"/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character" w:styleId="9">
    <w:name w:val="FollowedHyperlink"/>
    <w:basedOn w:val="8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styleId="11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1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批注框文本 字符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批注文字 字符"/>
    <w:link w:val="2"/>
    <w:semiHidden/>
    <w:qFormat/>
    <w:uiPriority w:val="99"/>
    <w:rPr>
      <w:rFonts w:ascii="Times New Roman" w:hAnsi="Times New Roman"/>
      <w:kern w:val="2"/>
      <w:sz w:val="21"/>
    </w:rPr>
  </w:style>
  <w:style w:type="character" w:customStyle="1" w:styleId="17">
    <w:name w:val="批注主题 字符"/>
    <w:link w:val="6"/>
    <w:semiHidden/>
    <w:qFormat/>
    <w:uiPriority w:val="99"/>
    <w:rPr>
      <w:rFonts w:ascii="Times New Roman" w:hAnsi="Times New Roman"/>
      <w:b/>
      <w:bCs/>
      <w:kern w:val="2"/>
      <w:sz w:val="21"/>
    </w:rPr>
  </w:style>
  <w:style w:type="character" w:customStyle="1" w:styleId="18">
    <w:name w:val="页脚 字符"/>
    <w:qFormat/>
    <w:uiPriority w:val="99"/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1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soa\wdzx97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Company>Hewlett-Packard Company</Company>
  <Pages>2</Pages>
  <Words>877</Words>
  <Characters>958</Characters>
  <Lines>9</Lines>
  <Paragraphs>2</Paragraphs>
  <TotalTime>15</TotalTime>
  <ScaleCrop>false</ScaleCrop>
  <LinksUpToDate>false</LinksUpToDate>
  <CharactersWithSpaces>975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2022-10-31T09:41:00Z</dcterms:created>
  <dc:creator>JF</dc:creator>
  <cp:lastModifiedBy>杨易</cp:lastModifiedBy>
  <cp:lastPrinted>2019-11-04T00:47:00Z</cp:lastPrinted>
  <dcterms:modified xsi:type="dcterms:W3CDTF">2022-10-31T11:10:47Z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14B691D3250A43EABDBCE716C3D01BBD</vt:lpwstr>
  </property>
</Properties>
</file>