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szCs w:val="21"/>
          <w:highlight w:val="none"/>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w:t>
      </w:r>
      <w:r>
        <w:rPr>
          <w:szCs w:val="21"/>
          <w:highlight w:val="none"/>
        </w:rPr>
        <w:t>：202</w:t>
      </w:r>
      <w:r>
        <w:rPr>
          <w:rFonts w:hint="eastAsia"/>
          <w:szCs w:val="21"/>
          <w:highlight w:val="none"/>
          <w:lang w:val="en-US" w:eastAsia="zh-CN"/>
        </w:rPr>
        <w:t>2</w:t>
      </w:r>
      <w:r>
        <w:rPr>
          <w:szCs w:val="21"/>
          <w:highlight w:val="none"/>
        </w:rPr>
        <w:t>-</w:t>
      </w:r>
      <w:r>
        <w:rPr>
          <w:rFonts w:hint="eastAsia"/>
          <w:szCs w:val="21"/>
          <w:highlight w:val="none"/>
          <w:lang w:val="en-US" w:eastAsia="zh-CN"/>
        </w:rPr>
        <w:t>047</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重要内容提示：</w:t>
      </w:r>
    </w:p>
    <w:p>
      <w:pPr>
        <w:keepNext w:val="0"/>
        <w:keepLines w:val="0"/>
        <w:widowControl/>
        <w:numPr>
          <w:ilvl w:val="0"/>
          <w:numId w:val="1"/>
        </w:numPr>
        <w:suppressLineNumbers w:val="0"/>
        <w:spacing w:line="360" w:lineRule="auto"/>
        <w:ind w:left="420" w:leftChars="0" w:hanging="420" w:firstLineChars="0"/>
        <w:jc w:val="left"/>
        <w:rPr>
          <w:rFonts w:hint="eastAsia" w:eastAsiaTheme="minorEastAsia"/>
          <w:color w:val="000000"/>
          <w:kern w:val="0"/>
          <w:sz w:val="24"/>
          <w:szCs w:val="24"/>
          <w:highlight w:val="none"/>
          <w:lang w:eastAsia="zh-CN"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hint="eastAsia" w:eastAsiaTheme="minorEastAsia"/>
          <w:color w:val="000000"/>
          <w:kern w:val="0"/>
          <w:sz w:val="24"/>
          <w:szCs w:val="24"/>
          <w:highlight w:val="none"/>
          <w:lang w:eastAsia="zh-CN" w:bidi="ar"/>
        </w:rPr>
        <w:t>招商银行</w:t>
      </w:r>
      <w:r>
        <w:rPr>
          <w:rFonts w:hint="default" w:eastAsiaTheme="minorEastAsia"/>
          <w:color w:val="000000"/>
          <w:kern w:val="0"/>
          <w:sz w:val="24"/>
          <w:szCs w:val="24"/>
          <w:highlight w:val="none"/>
          <w:lang w:eastAsia="zh-CN" w:bidi="ar"/>
        </w:rPr>
        <w:t>股份有限公司（以下简称</w:t>
      </w:r>
      <w:r>
        <w:rPr>
          <w:rFonts w:hint="eastAsia" w:eastAsiaTheme="minorEastAsia"/>
          <w:color w:val="000000"/>
          <w:kern w:val="0"/>
          <w:sz w:val="24"/>
          <w:szCs w:val="24"/>
          <w:highlight w:val="none"/>
          <w:lang w:eastAsia="zh-CN" w:bidi="ar"/>
        </w:rPr>
        <w:t>“</w:t>
      </w:r>
      <w:r>
        <w:rPr>
          <w:rFonts w:hint="default" w:eastAsiaTheme="minorEastAsia"/>
          <w:color w:val="000000"/>
          <w:kern w:val="0"/>
          <w:sz w:val="24"/>
          <w:szCs w:val="24"/>
          <w:highlight w:val="none"/>
          <w:lang w:eastAsia="zh-CN" w:bidi="ar"/>
        </w:rPr>
        <w:t>招商银行</w:t>
      </w:r>
      <w:r>
        <w:rPr>
          <w:rFonts w:hint="eastAsia" w:eastAsiaTheme="minorEastAsia"/>
          <w:color w:val="000000"/>
          <w:kern w:val="0"/>
          <w:sz w:val="24"/>
          <w:szCs w:val="24"/>
          <w:highlight w:val="none"/>
          <w:lang w:eastAsia="zh-CN" w:bidi="ar"/>
        </w:rPr>
        <w:t>”</w:t>
      </w:r>
      <w:r>
        <w:rPr>
          <w:rFonts w:hint="default"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1,000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eastAsia="zh-CN" w:bidi="ar"/>
        </w:rPr>
        <w:t>：招商银行点金系列看涨三层区间91天结构性存款（以下简称“点金系列看涨91天结构性存款”）</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cs="Times New Roman" w:eastAsiaTheme="minorEastAsia"/>
          <w:color w:val="000000"/>
          <w:kern w:val="0"/>
          <w:sz w:val="24"/>
          <w:szCs w:val="24"/>
          <w:highlight w:val="none"/>
          <w:lang w:val="en-US" w:eastAsia="zh-CN" w:bidi="ar"/>
        </w:rPr>
        <w:t>91天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932"/>
        <w:gridCol w:w="1268"/>
        <w:gridCol w:w="954"/>
        <w:gridCol w:w="1282"/>
        <w:gridCol w:w="1169"/>
        <w:gridCol w:w="1168"/>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8"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547"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44" w:type="pct"/>
          </w:tcPr>
          <w:p>
            <w:pPr>
              <w:autoSpaceDE w:val="0"/>
              <w:autoSpaceDN w:val="0"/>
              <w:adjustRightInd w:val="0"/>
              <w:ind w:left="219" w:leftChars="0" w:hanging="219" w:hangingChars="104"/>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6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75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68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85"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5"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398" w:type="pct"/>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color w:val="000000"/>
                <w:kern w:val="0"/>
                <w:sz w:val="21"/>
                <w:szCs w:val="21"/>
                <w:highlight w:val="none"/>
                <w:lang w:val="en-US" w:eastAsia="zh-CN" w:bidi="ar-SA"/>
              </w:rPr>
            </w:pPr>
            <w:r>
              <w:rPr>
                <w:rFonts w:hint="eastAsia" w:eastAsiaTheme="minorEastAsia"/>
                <w:color w:val="000000"/>
                <w:kern w:val="0"/>
                <w:szCs w:val="21"/>
                <w:highlight w:val="none"/>
                <w:lang w:val="en-US" w:eastAsia="zh-CN"/>
              </w:rPr>
              <w:t>招商银行</w:t>
            </w:r>
          </w:p>
        </w:tc>
        <w:tc>
          <w:tcPr>
            <w:tcW w:w="547" w:type="pct"/>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color w:val="000000"/>
                <w:kern w:val="0"/>
                <w:sz w:val="21"/>
                <w:szCs w:val="21"/>
                <w:highlight w:val="none"/>
                <w:lang w:val="en-US" w:eastAsia="zh-CN" w:bidi="ar-SA"/>
              </w:rPr>
            </w:pPr>
            <w:r>
              <w:rPr>
                <w:rFonts w:hint="eastAsia" w:eastAsiaTheme="minorEastAsia"/>
                <w:color w:val="000000"/>
                <w:szCs w:val="21"/>
                <w:highlight w:val="none"/>
                <w:lang w:val="en-US" w:eastAsia="zh-CN"/>
              </w:rPr>
              <w:t>银行理财产品</w:t>
            </w:r>
          </w:p>
        </w:tc>
        <w:tc>
          <w:tcPr>
            <w:tcW w:w="744" w:type="pct"/>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color w:val="000000"/>
                <w:kern w:val="0"/>
                <w:sz w:val="21"/>
                <w:szCs w:val="21"/>
                <w:highlight w:val="yellow"/>
                <w:lang w:val="en-US" w:eastAsia="zh-CN" w:bidi="ar-SA"/>
              </w:rPr>
            </w:pPr>
            <w:r>
              <w:rPr>
                <w:rFonts w:hint="eastAsia" w:eastAsiaTheme="minorEastAsia"/>
                <w:color w:val="000000"/>
                <w:kern w:val="0"/>
                <w:szCs w:val="21"/>
                <w:highlight w:val="none"/>
              </w:rPr>
              <w:t>点金系列看</w:t>
            </w:r>
            <w:r>
              <w:rPr>
                <w:rFonts w:hint="eastAsia" w:eastAsiaTheme="minorEastAsia"/>
                <w:color w:val="000000"/>
                <w:kern w:val="0"/>
                <w:szCs w:val="21"/>
                <w:highlight w:val="none"/>
                <w:lang w:eastAsia="zh-CN"/>
              </w:rPr>
              <w:t>跌</w:t>
            </w:r>
            <w:r>
              <w:rPr>
                <w:rFonts w:hint="eastAsia" w:eastAsiaTheme="minorEastAsia"/>
                <w:color w:val="000000"/>
                <w:kern w:val="0"/>
                <w:szCs w:val="21"/>
                <w:highlight w:val="none"/>
              </w:rPr>
              <w:t>91天结构性存款</w:t>
            </w:r>
          </w:p>
        </w:tc>
        <w:tc>
          <w:tcPr>
            <w:tcW w:w="560" w:type="pct"/>
            <w:vAlign w:val="center"/>
          </w:tcPr>
          <w:p>
            <w:pPr>
              <w:keepNext w:val="0"/>
              <w:keepLines w:val="0"/>
              <w:pageBreakBefore w:val="0"/>
              <w:widowControl/>
              <w:kinsoku/>
              <w:wordWrap/>
              <w:overflowPunct/>
              <w:topLinePunct w:val="0"/>
              <w:bidi w:val="0"/>
              <w:snapToGrid/>
              <w:jc w:val="center"/>
              <w:textAlignment w:val="center"/>
              <w:rPr>
                <w:rFonts w:hint="default" w:ascii="Times New Roman" w:hAnsi="Times New Roman" w:cs="Times New Roman" w:eastAsiaTheme="minorEastAsia"/>
                <w:color w:val="000000"/>
                <w:kern w:val="2"/>
                <w:sz w:val="21"/>
                <w:szCs w:val="21"/>
                <w:highlight w:val="none"/>
                <w:lang w:val="en-US" w:eastAsia="zh-CN" w:bidi="ar-SA"/>
              </w:rPr>
            </w:pPr>
            <w:r>
              <w:rPr>
                <w:rFonts w:hint="eastAsia" w:eastAsiaTheme="minorEastAsia"/>
                <w:color w:val="000000"/>
                <w:kern w:val="0"/>
                <w:szCs w:val="21"/>
                <w:highlight w:val="none"/>
                <w:lang w:val="en-US" w:eastAsia="zh-CN" w:bidi="ar"/>
              </w:rPr>
              <w:t>3,500</w:t>
            </w:r>
          </w:p>
        </w:tc>
        <w:tc>
          <w:tcPr>
            <w:tcW w:w="75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bCs/>
                <w:color w:val="000000"/>
                <w:kern w:val="0"/>
                <w:szCs w:val="21"/>
                <w:highlight w:val="none"/>
                <w:lang w:val="en-US" w:eastAsia="zh-CN"/>
              </w:rPr>
              <w:t>保本浮动</w:t>
            </w:r>
            <w:r>
              <w:rPr>
                <w:rFonts w:hint="eastAsia" w:eastAsiaTheme="minorEastAsia"/>
                <w:bCs/>
                <w:color w:val="000000"/>
                <w:kern w:val="0"/>
                <w:szCs w:val="21"/>
                <w:highlight w:val="none"/>
              </w:rPr>
              <w:t>收益型</w:t>
            </w:r>
          </w:p>
        </w:tc>
        <w:tc>
          <w:tcPr>
            <w:tcW w:w="68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2022.6.1</w:t>
            </w:r>
          </w:p>
        </w:tc>
        <w:tc>
          <w:tcPr>
            <w:tcW w:w="685"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bCs/>
                <w:color w:val="000000"/>
                <w:kern w:val="0"/>
                <w:szCs w:val="21"/>
                <w:highlight w:val="none"/>
                <w:lang w:val="en-US" w:eastAsia="zh-CN"/>
              </w:rPr>
              <w:t>2022.8.31</w:t>
            </w:r>
          </w:p>
        </w:tc>
        <w:tc>
          <w:tcPr>
            <w:tcW w:w="62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26.61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398" w:type="pct"/>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color w:val="000000"/>
                <w:kern w:val="0"/>
                <w:sz w:val="21"/>
                <w:szCs w:val="21"/>
                <w:highlight w:val="none"/>
                <w:lang w:val="en-US" w:eastAsia="zh-CN" w:bidi="ar-SA"/>
              </w:rPr>
            </w:pPr>
            <w:r>
              <w:rPr>
                <w:rFonts w:hint="eastAsia" w:eastAsiaTheme="minorEastAsia"/>
                <w:color w:val="000000"/>
                <w:kern w:val="0"/>
                <w:szCs w:val="21"/>
                <w:highlight w:val="none"/>
                <w:lang w:val="en-US" w:eastAsia="zh-CN"/>
              </w:rPr>
              <w:t>民生银行</w:t>
            </w:r>
          </w:p>
        </w:tc>
        <w:tc>
          <w:tcPr>
            <w:tcW w:w="547" w:type="pct"/>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color w:val="000000"/>
                <w:kern w:val="0"/>
                <w:sz w:val="21"/>
                <w:szCs w:val="21"/>
                <w:highlight w:val="none"/>
                <w:lang w:val="en-US" w:eastAsia="zh-CN" w:bidi="ar-SA"/>
              </w:rPr>
            </w:pPr>
            <w:r>
              <w:rPr>
                <w:rFonts w:hint="eastAsia" w:eastAsiaTheme="minorEastAsia"/>
                <w:color w:val="000000"/>
                <w:szCs w:val="21"/>
                <w:highlight w:val="none"/>
                <w:lang w:val="en-US" w:eastAsia="zh-CN"/>
              </w:rPr>
              <w:t>银行理财产品</w:t>
            </w:r>
          </w:p>
        </w:tc>
        <w:tc>
          <w:tcPr>
            <w:tcW w:w="744" w:type="pct"/>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color w:val="000000"/>
                <w:kern w:val="0"/>
                <w:sz w:val="21"/>
                <w:szCs w:val="21"/>
                <w:highlight w:val="yellow"/>
                <w:lang w:val="en-US" w:eastAsia="zh-CN" w:bidi="ar-SA"/>
              </w:rPr>
            </w:pPr>
            <w:r>
              <w:rPr>
                <w:rFonts w:hint="eastAsia" w:eastAsiaTheme="minorEastAsia"/>
                <w:color w:val="000000"/>
                <w:kern w:val="0"/>
                <w:sz w:val="21"/>
                <w:szCs w:val="21"/>
                <w:highlight w:val="none"/>
                <w:lang w:bidi="ar"/>
              </w:rPr>
              <w:t>聚赢汇率-挂钩USD/JPY结构性存款</w:t>
            </w:r>
          </w:p>
        </w:tc>
        <w:tc>
          <w:tcPr>
            <w:tcW w:w="560" w:type="pct"/>
            <w:vAlign w:val="center"/>
          </w:tcPr>
          <w:p>
            <w:pPr>
              <w:keepNext w:val="0"/>
              <w:keepLines w:val="0"/>
              <w:pageBreakBefore w:val="0"/>
              <w:widowControl/>
              <w:kinsoku/>
              <w:wordWrap/>
              <w:overflowPunct/>
              <w:topLinePunct w:val="0"/>
              <w:bidi w:val="0"/>
              <w:snapToGrid/>
              <w:jc w:val="center"/>
              <w:textAlignment w:val="center"/>
              <w:rPr>
                <w:rFonts w:hint="eastAsia" w:ascii="Times New Roman" w:hAnsi="Times New Roman" w:cs="Times New Roman" w:eastAsiaTheme="minorEastAsia"/>
                <w:color w:val="000000"/>
                <w:kern w:val="2"/>
                <w:sz w:val="21"/>
                <w:szCs w:val="21"/>
                <w:highlight w:val="none"/>
                <w:lang w:val="en-US" w:eastAsia="zh-CN" w:bidi="ar-SA"/>
              </w:rPr>
            </w:pPr>
            <w:r>
              <w:rPr>
                <w:rFonts w:hint="eastAsia" w:eastAsiaTheme="minorEastAsia"/>
                <w:color w:val="000000"/>
                <w:kern w:val="0"/>
                <w:szCs w:val="21"/>
                <w:highlight w:val="none"/>
                <w:lang w:val="en-US" w:eastAsia="zh-CN" w:bidi="ar"/>
              </w:rPr>
              <w:t>2,500</w:t>
            </w:r>
          </w:p>
        </w:tc>
        <w:tc>
          <w:tcPr>
            <w:tcW w:w="752"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eastAsia" w:eastAsiaTheme="minorEastAsia"/>
                <w:bCs/>
                <w:color w:val="000000"/>
                <w:kern w:val="0"/>
                <w:szCs w:val="21"/>
                <w:highlight w:val="none"/>
                <w:lang w:val="en-US" w:eastAsia="zh-CN"/>
              </w:rPr>
              <w:t>保本浮动</w:t>
            </w:r>
            <w:r>
              <w:rPr>
                <w:rFonts w:hint="eastAsia" w:eastAsiaTheme="minorEastAsia"/>
                <w:bCs/>
                <w:color w:val="000000"/>
                <w:kern w:val="0"/>
                <w:szCs w:val="21"/>
                <w:highlight w:val="none"/>
              </w:rPr>
              <w:t>收益型</w:t>
            </w:r>
          </w:p>
        </w:tc>
        <w:tc>
          <w:tcPr>
            <w:tcW w:w="68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2022.5.30</w:t>
            </w:r>
          </w:p>
        </w:tc>
        <w:tc>
          <w:tcPr>
            <w:tcW w:w="68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2022.9.1</w:t>
            </w:r>
          </w:p>
        </w:tc>
        <w:tc>
          <w:tcPr>
            <w:tcW w:w="62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18.67</w:t>
            </w:r>
          </w:p>
        </w:tc>
      </w:tr>
    </w:tbl>
    <w:p>
      <w:pPr>
        <w:widowControl/>
        <w:spacing w:before="156" w:beforeLines="50" w:after="156" w:afterLines="50" w:line="360" w:lineRule="auto"/>
        <w:ind w:firstLine="420" w:firstLineChars="175"/>
        <w:jc w:val="both"/>
        <w:rPr>
          <w:rFonts w:eastAsiaTheme="minorEastAsia"/>
          <w:color w:val="000000"/>
          <w:sz w:val="24"/>
          <w:szCs w:val="24"/>
          <w:highlight w:val="none"/>
        </w:rPr>
      </w:pPr>
      <w:r>
        <w:rPr>
          <w:rFonts w:hint="eastAsia" w:cs="Times New Roman" w:eastAsiaTheme="minorEastAsia"/>
          <w:color w:val="000000"/>
          <w:sz w:val="24"/>
          <w:szCs w:val="24"/>
          <w:highlight w:val="none"/>
          <w:lang w:val="en-US" w:eastAsia="zh-CN"/>
        </w:rPr>
        <w:t>公司分别于2022年5月27日以募集资金认购了招商银行</w:t>
      </w:r>
      <w:r>
        <w:rPr>
          <w:rFonts w:hint="eastAsia" w:asciiTheme="minorEastAsia" w:hAnsiTheme="minorEastAsia" w:eastAsiaTheme="minorEastAsia" w:cstheme="minorEastAsia"/>
          <w:color w:val="000000"/>
          <w:kern w:val="0"/>
          <w:sz w:val="24"/>
          <w:szCs w:val="24"/>
          <w:highlight w:val="none"/>
          <w:lang w:val="en-US" w:eastAsia="zh-CN" w:bidi="ar"/>
        </w:rPr>
        <w:t>的理财产品、于</w:t>
      </w:r>
      <w:r>
        <w:rPr>
          <w:rFonts w:hint="eastAsia" w:cs="Times New Roman" w:eastAsiaTheme="minorEastAsia"/>
          <w:color w:val="000000"/>
          <w:sz w:val="24"/>
          <w:szCs w:val="24"/>
          <w:highlight w:val="none"/>
          <w:lang w:val="en-US" w:eastAsia="zh-CN"/>
        </w:rPr>
        <w:t>2022年5月30日以募集资金认购了民生银行</w:t>
      </w:r>
      <w:r>
        <w:rPr>
          <w:rFonts w:hint="eastAsia" w:asciiTheme="minorEastAsia" w:hAnsiTheme="minorEastAsia" w:eastAsiaTheme="minorEastAsia" w:cstheme="minorEastAsia"/>
          <w:color w:val="000000"/>
          <w:kern w:val="0"/>
          <w:sz w:val="24"/>
          <w:szCs w:val="24"/>
          <w:highlight w:val="none"/>
          <w:lang w:val="en-US" w:eastAsia="zh-CN" w:bidi="ar"/>
        </w:rPr>
        <w:t>的理财产品。</w:t>
      </w:r>
      <w:r>
        <w:rPr>
          <w:rFonts w:hint="eastAsia" w:ascii="Times New Roman" w:hAnsi="Times New Roman" w:cs="Times New Roman" w:eastAsiaTheme="minorEastAsia"/>
          <w:color w:val="000000"/>
          <w:sz w:val="24"/>
          <w:szCs w:val="24"/>
          <w:highlight w:val="none"/>
          <w:lang w:val="en-US" w:eastAsia="zh-CN"/>
        </w:rPr>
        <w:t>具体内容详见公司</w:t>
      </w:r>
      <w:r>
        <w:rPr>
          <w:rFonts w:hint="eastAsia" w:cs="Times New Roman" w:eastAsiaTheme="minorEastAsia"/>
          <w:color w:val="000000"/>
          <w:sz w:val="24"/>
          <w:szCs w:val="24"/>
          <w:highlight w:val="none"/>
          <w:lang w:val="en-US" w:eastAsia="zh-CN"/>
        </w:rPr>
        <w:t>分别于2022年5月28日、2022年6月1日</w:t>
      </w:r>
      <w:r>
        <w:rPr>
          <w:rFonts w:hint="eastAsia" w:ascii="Times New Roman" w:hAnsi="Times New Roman" w:cs="Times New Roman" w:eastAsiaTheme="minorEastAsia"/>
          <w:color w:val="000000"/>
          <w:sz w:val="24"/>
          <w:szCs w:val="24"/>
          <w:highlight w:val="none"/>
          <w:lang w:val="en-US" w:eastAsia="zh-CN"/>
        </w:rPr>
        <w:t>在上海证券交易所官方网站（www.sse.com.cn）披露的</w:t>
      </w:r>
      <w:r>
        <w:rPr>
          <w:rFonts w:hint="eastAsia" w:cs="Times New Roman" w:eastAsiaTheme="minorEastAsia"/>
          <w:color w:val="000000"/>
          <w:sz w:val="24"/>
          <w:szCs w:val="24"/>
          <w:highlight w:val="none"/>
          <w:lang w:val="en-US" w:eastAsia="zh-CN"/>
        </w:rPr>
        <w:t>《格尔软件股份有限公司关于使用部分闲置募集资金进行现金管理的进展公告》（公告编号：2022-021</w:t>
      </w:r>
      <w:r>
        <w:rPr>
          <w:rFonts w:hint="eastAsia" w:ascii="Times New Roman" w:hAnsi="Times New Roman" w:cs="Times New Roman" w:eastAsiaTheme="minorEastAsia"/>
          <w:color w:val="000000"/>
          <w:sz w:val="24"/>
          <w:szCs w:val="24"/>
          <w:highlight w:val="none"/>
          <w:lang w:val="en-US" w:eastAsia="zh-CN"/>
        </w:rPr>
        <w:t>）</w:t>
      </w:r>
      <w:r>
        <w:rPr>
          <w:rFonts w:hint="eastAsia" w:cs="Times New Roman" w:eastAsiaTheme="minorEastAsia"/>
          <w:color w:val="000000"/>
          <w:sz w:val="24"/>
          <w:szCs w:val="24"/>
          <w:highlight w:val="none"/>
          <w:lang w:val="en-US" w:eastAsia="zh-CN"/>
        </w:rPr>
        <w:t>、《格尔软件股份有限公司关于使用部分闲置募集资金进行现金管理的进展公告》（公告编号：2022-023</w:t>
      </w:r>
      <w:r>
        <w:rPr>
          <w:rFonts w:hint="eastAsia" w:ascii="Times New Roman" w:hAnsi="Times New Roman" w:cs="Times New Roman" w:eastAsiaTheme="minorEastAsia"/>
          <w:color w:val="000000"/>
          <w:sz w:val="24"/>
          <w:szCs w:val="24"/>
          <w:highlight w:val="none"/>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hint="eastAsia" w:eastAsiaTheme="minorEastAsia"/>
          <w:color w:val="000000"/>
          <w:sz w:val="24"/>
          <w:szCs w:val="24"/>
          <w:lang w:val="en-US" w:eastAsia="zh-CN"/>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rPr>
              <w:t>产品期限</w:t>
            </w:r>
            <w:r>
              <w:rPr>
                <w:rFonts w:hint="eastAsia" w:asciiTheme="minorEastAsia" w:hAnsiTheme="minorEastAsia" w:eastAsiaTheme="minorEastAsia" w:cstheme="minorEastAsia"/>
                <w:b/>
                <w:color w:val="000000"/>
                <w:kern w:val="0"/>
                <w:szCs w:val="21"/>
                <w:lang w:eastAsia="zh-CN"/>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eastAsia" w:eastAsiaTheme="minorEastAsia"/>
                <w:color w:val="000000"/>
                <w:kern w:val="0"/>
                <w:sz w:val="21"/>
                <w:szCs w:val="21"/>
                <w:highlight w:val="yellow"/>
                <w:lang w:val="en-US" w:eastAsia="zh-CN"/>
              </w:rPr>
            </w:pPr>
            <w:r>
              <w:rPr>
                <w:rFonts w:hint="eastAsia" w:eastAsiaTheme="minorEastAsia"/>
                <w:color w:val="000000"/>
                <w:kern w:val="0"/>
                <w:sz w:val="21"/>
                <w:szCs w:val="21"/>
                <w:highlight w:val="none"/>
                <w:lang w:val="en-US" w:eastAsia="zh-CN"/>
              </w:rPr>
              <w:t>招商银行</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eastAsia" w:eastAsiaTheme="minorEastAsia"/>
                <w:color w:val="000000"/>
                <w:sz w:val="21"/>
                <w:szCs w:val="21"/>
                <w:highlight w:val="none"/>
                <w:lang w:val="en-US" w:eastAsia="zh-CN"/>
              </w:rPr>
            </w:pPr>
            <w:r>
              <w:rPr>
                <w:rFonts w:hint="eastAsia" w:eastAsiaTheme="minorEastAsia"/>
                <w:color w:val="000000"/>
                <w:sz w:val="21"/>
                <w:szCs w:val="21"/>
                <w:lang w:val="en-US" w:eastAsia="zh-CN"/>
              </w:rPr>
              <w:t>银行理财产品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eastAsia" w:eastAsiaTheme="minorEastAsia"/>
                <w:color w:val="000000"/>
                <w:kern w:val="0"/>
                <w:sz w:val="21"/>
                <w:szCs w:val="21"/>
                <w:highlight w:val="none"/>
                <w:lang w:val="en-US" w:eastAsia="zh-CN"/>
              </w:rPr>
            </w:pPr>
            <w:r>
              <w:rPr>
                <w:rFonts w:hint="eastAsia" w:eastAsiaTheme="minorEastAsia"/>
                <w:color w:val="000000"/>
                <w:kern w:val="0"/>
                <w:sz w:val="21"/>
                <w:szCs w:val="21"/>
                <w:highlight w:val="none"/>
                <w:lang w:eastAsia="zh-CN" w:bidi="ar"/>
              </w:rPr>
              <w:t>点金系列看涨91天结构性存款</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kern w:val="0"/>
                <w:szCs w:val="21"/>
                <w:highlight w:val="none"/>
                <w:lang w:val="en-US" w:eastAsia="zh-CN" w:bidi="ar"/>
              </w:rPr>
            </w:pPr>
            <w:r>
              <w:rPr>
                <w:rFonts w:hint="eastAsia" w:eastAsiaTheme="minorEastAsia"/>
                <w:color w:val="000000"/>
                <w:kern w:val="0"/>
                <w:szCs w:val="21"/>
                <w:highlight w:val="none"/>
                <w:lang w:val="en-US" w:eastAsia="zh-CN" w:bidi="ar"/>
              </w:rPr>
              <w:t>1,000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eastAsia" w:eastAsiaTheme="minorEastAsia"/>
                <w:color w:val="000000"/>
                <w:szCs w:val="21"/>
                <w:highlight w:val="none"/>
                <w:lang w:val="en-US" w:eastAsia="zh-CN"/>
              </w:rPr>
            </w:pPr>
            <w:r>
              <w:rPr>
                <w:rFonts w:hint="eastAsia" w:eastAsiaTheme="minorEastAsia"/>
                <w:color w:val="000000"/>
                <w:szCs w:val="21"/>
                <w:highlight w:val="none"/>
                <w:lang w:val="en-US" w:eastAsia="zh-CN"/>
              </w:rPr>
              <w:t>2.90%/</w:t>
            </w:r>
          </w:p>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3.10%/1.85%</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yellow"/>
                <w:lang w:val="en-US" w:eastAsia="zh-CN"/>
              </w:rPr>
            </w:pPr>
            <w:r>
              <w:rPr>
                <w:rFonts w:hint="eastAsia" w:eastAsiaTheme="minorEastAsia"/>
                <w:color w:val="000000"/>
                <w:szCs w:val="21"/>
                <w:highlight w:val="none"/>
                <w:lang w:val="en-US" w:eastAsia="zh-CN"/>
              </w:rPr>
              <w:t>91</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eastAsia" w:eastAsiaTheme="minorEastAsia"/>
                <w:bCs/>
                <w:color w:val="000000"/>
                <w:kern w:val="0"/>
                <w:szCs w:val="21"/>
                <w:highlight w:val="none"/>
                <w:lang w:eastAsia="zh-CN"/>
              </w:rPr>
            </w:pPr>
            <w:r>
              <w:rPr>
                <w:rFonts w:hint="eastAsia" w:eastAsiaTheme="minorEastAsia"/>
                <w:bCs/>
                <w:color w:val="000000"/>
                <w:kern w:val="0"/>
                <w:szCs w:val="21"/>
                <w:highlight w:val="none"/>
                <w:lang w:eastAsia="zh-CN"/>
              </w:rPr>
              <w:t>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highlight w:val="none"/>
        </w:rPr>
        <w:t>公司根据</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上市公司监管指引第2号--上市公司募集资金管理和使用的监管要求</w:t>
      </w:r>
      <w:r>
        <w:rPr>
          <w:rFonts w:hint="eastAsia" w:eastAsiaTheme="minorEastAsia"/>
          <w:color w:val="000000"/>
          <w:sz w:val="24"/>
          <w:szCs w:val="24"/>
          <w:highlight w:val="none"/>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hint="eastAsia"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367" w:firstLineChars="175"/>
        <w:jc w:val="left"/>
        <w:textAlignment w:val="auto"/>
        <w:rPr>
          <w:rFonts w:hint="eastAsia" w:eastAsiaTheme="minorEastAsia"/>
          <w:b/>
          <w:color w:val="000000"/>
          <w:sz w:val="24"/>
          <w:szCs w:val="24"/>
          <w:highlight w:val="none"/>
        </w:rPr>
      </w:pPr>
      <w:r>
        <w:rPr>
          <w:rFonts w:hint="eastAsia" w:eastAsiaTheme="minorEastAsia"/>
          <w:color w:val="000000"/>
          <w:kern w:val="0"/>
          <w:sz w:val="21"/>
          <w:szCs w:val="21"/>
          <w:highlight w:val="none"/>
          <w:lang w:val="en-US" w:eastAsia="zh-CN" w:bidi="ar"/>
        </w:rPr>
        <w:t>1、</w:t>
      </w:r>
      <w:r>
        <w:rPr>
          <w:rFonts w:hint="eastAsia" w:eastAsiaTheme="minorEastAsia"/>
          <w:color w:val="000000"/>
          <w:kern w:val="0"/>
          <w:sz w:val="21"/>
          <w:szCs w:val="21"/>
          <w:highlight w:val="none"/>
          <w:lang w:eastAsia="zh-CN" w:bidi="ar"/>
        </w:rPr>
        <w:t>点金系列看涨91天结构性存款</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6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招商银行点金系列看涨三层区间91天结构性存款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NSH03437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2022年09月05日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2022年12月05日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lang w:val="en-US" w:eastAsia="zh-CN"/>
              </w:rPr>
              <w:t>产品观察日期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2022年12月01日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199" w:type="dxa"/>
            <w:vMerge w:val="restart"/>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挂钩标的</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199" w:type="dxa"/>
            <w:vMerge w:val="continue"/>
            <w:vAlign w:val="center"/>
          </w:tcPr>
          <w:p>
            <w:pPr>
              <w:autoSpaceDE w:val="0"/>
              <w:autoSpaceDN w:val="0"/>
              <w:adjustRightInd w:val="0"/>
              <w:jc w:val="center"/>
            </w:pPr>
          </w:p>
        </w:tc>
        <w:tc>
          <w:tcPr>
            <w:tcW w:w="6323" w:type="dxa"/>
            <w:vAlign w:val="center"/>
          </w:tcPr>
          <w:p>
            <w:pPr>
              <w:autoSpaceDE w:val="0"/>
              <w:autoSpaceDN w:val="0"/>
              <w:adjustRightInd w:val="0"/>
              <w:jc w:val="both"/>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期初价格：指存款起息日当日彭博终端BFIX界面公布的北京时间14:00的XAU/USD定盘价格的中间价。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199" w:type="dxa"/>
            <w:vMerge w:val="continue"/>
            <w:vAlign w:val="center"/>
          </w:tcPr>
          <w:p>
            <w:pPr>
              <w:autoSpaceDE w:val="0"/>
              <w:autoSpaceDN w:val="0"/>
              <w:adjustRightInd w:val="0"/>
              <w:jc w:val="center"/>
              <w:rPr>
                <w:rFonts w:hint="eastAsia" w:eastAsiaTheme="minorEastAsia"/>
                <w:bCs/>
                <w:color w:val="000000"/>
                <w:kern w:val="0"/>
                <w:szCs w:val="21"/>
                <w:highlight w:val="yellow"/>
                <w:lang w:val="en-US" w:eastAsia="zh-CN"/>
              </w:rPr>
            </w:pPr>
          </w:p>
        </w:tc>
        <w:tc>
          <w:tcPr>
            <w:tcW w:w="6323" w:type="dxa"/>
            <w:vAlign w:val="center"/>
          </w:tcPr>
          <w:p>
            <w:pPr>
              <w:autoSpaceDE w:val="0"/>
              <w:autoSpaceDN w:val="0"/>
              <w:adjustRightInd w:val="0"/>
              <w:jc w:val="both"/>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期末价格：指观察日当日伦敦金银市场协会发布的以美元计价下午定盘价，该价格在彭博资讯(BLOOMBERG)参照页面“GOLDLNPM</w:t>
            </w:r>
          </w:p>
          <w:p>
            <w:pPr>
              <w:autoSpaceDE w:val="0"/>
              <w:autoSpaceDN w:val="0"/>
              <w:adjustRightInd w:val="0"/>
              <w:jc w:val="both"/>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Index”每日公布。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产品预期年化收益率</w:t>
            </w:r>
          </w:p>
        </w:tc>
        <w:tc>
          <w:tcPr>
            <w:tcW w:w="6323" w:type="dxa"/>
            <w:vAlign w:val="center"/>
          </w:tcPr>
          <w:p>
            <w:pPr>
              <w:keepNext w:val="0"/>
              <w:keepLines w:val="0"/>
              <w:widowControl/>
              <w:suppressLineNumbers w:val="0"/>
              <w:jc w:val="both"/>
              <w:textAlignment w:val="center"/>
              <w:rPr>
                <w:rFonts w:hint="default" w:eastAsiaTheme="minorEastAsia"/>
                <w:bCs/>
                <w:color w:val="000000"/>
                <w:kern w:val="0"/>
                <w:szCs w:val="21"/>
                <w:highlight w:val="none"/>
                <w:lang w:val="en-US"/>
              </w:rPr>
            </w:pPr>
            <w:r>
              <w:rPr>
                <w:rFonts w:hint="default" w:eastAsiaTheme="minorEastAsia"/>
                <w:bCs/>
                <w:color w:val="000000"/>
                <w:kern w:val="0"/>
                <w:szCs w:val="21"/>
                <w:highlight w:val="none"/>
                <w:lang w:val="en-US"/>
              </w:rPr>
              <w:t>(</w:t>
            </w:r>
            <w:r>
              <w:rPr>
                <w:rFonts w:hint="eastAsia" w:eastAsiaTheme="minorEastAsia"/>
                <w:bCs/>
                <w:color w:val="000000"/>
                <w:kern w:val="0"/>
                <w:szCs w:val="21"/>
                <w:highlight w:val="none"/>
                <w:lang w:val="en-US" w:eastAsia="zh-CN"/>
              </w:rPr>
              <w:t>1</w:t>
            </w:r>
            <w:bookmarkStart w:id="1" w:name="_GoBack"/>
            <w:bookmarkEnd w:id="1"/>
            <w:r>
              <w:rPr>
                <w:rFonts w:hint="default" w:eastAsiaTheme="minorEastAsia"/>
                <w:bCs/>
                <w:color w:val="000000"/>
                <w:kern w:val="0"/>
                <w:szCs w:val="21"/>
                <w:highlight w:val="none"/>
                <w:lang w:val="en-US"/>
              </w:rPr>
              <w:t>)如果期末价格未能突破第一重波动区间，则本产品到期利率为2.90%（年化）；在此情况下，本结构性存款收益如下：结构性存款收益＝购买金额×到期利率×产品期限÷365</w:t>
            </w:r>
          </w:p>
          <w:p>
            <w:pPr>
              <w:keepNext w:val="0"/>
              <w:keepLines w:val="0"/>
              <w:widowControl/>
              <w:suppressLineNumbers w:val="0"/>
              <w:jc w:val="both"/>
              <w:textAlignment w:val="center"/>
              <w:rPr>
                <w:rFonts w:hint="default" w:eastAsiaTheme="minorEastAsia"/>
                <w:bCs/>
                <w:color w:val="000000"/>
                <w:kern w:val="0"/>
                <w:szCs w:val="21"/>
                <w:highlight w:val="none"/>
                <w:lang w:val="en-US"/>
              </w:rPr>
            </w:pPr>
            <w:r>
              <w:rPr>
                <w:rFonts w:hint="default" w:eastAsiaTheme="minorEastAsia"/>
                <w:bCs/>
                <w:color w:val="000000"/>
                <w:kern w:val="0"/>
                <w:szCs w:val="21"/>
                <w:highlight w:val="none"/>
                <w:lang w:val="en-US"/>
              </w:rPr>
              <w:t>(2)如果期末价格向上突破第一重波动区间，则本产品到期利率为3.10%（年化）；在此情况下，本结构性存款收益如下：结构性存款收益＝购买金额×到期利率×产品期限÷365</w:t>
            </w:r>
          </w:p>
          <w:p>
            <w:pPr>
              <w:keepNext w:val="0"/>
              <w:keepLines w:val="0"/>
              <w:widowControl/>
              <w:suppressLineNumbers w:val="0"/>
              <w:jc w:val="both"/>
              <w:textAlignment w:val="center"/>
              <w:rPr>
                <w:rFonts w:hint="default" w:eastAsiaTheme="minorEastAsia"/>
                <w:bCs/>
                <w:color w:val="000000"/>
                <w:kern w:val="0"/>
                <w:szCs w:val="21"/>
                <w:highlight w:val="yellow"/>
                <w:lang w:val="en-US"/>
              </w:rPr>
            </w:pPr>
            <w:r>
              <w:rPr>
                <w:rFonts w:hint="default" w:eastAsiaTheme="minorEastAsia"/>
                <w:bCs/>
                <w:color w:val="000000"/>
                <w:kern w:val="0"/>
                <w:szCs w:val="21"/>
                <w:highlight w:val="none"/>
                <w:lang w:val="en-US"/>
              </w:rPr>
              <w:t>(3)如果期末价格向下突破第一重波动区间，则本产品到期利率为1.85%（年化）；在此情况下，本结构性存款收益如下：结构性存款收益＝购买金额×到期利率×产品期限÷365。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199"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投向</w:t>
            </w:r>
          </w:p>
        </w:tc>
        <w:tc>
          <w:tcPr>
            <w:tcW w:w="6323" w:type="dxa"/>
            <w:vAlign w:val="center"/>
          </w:tcPr>
          <w:p>
            <w:pPr>
              <w:keepNext w:val="0"/>
              <w:keepLines w:val="0"/>
              <w:widowControl/>
              <w:suppressLineNumbers w:val="0"/>
              <w:jc w:val="both"/>
              <w:textAlignment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本产品本金投资于银行存款和衍生金融工具。衍生金融工具包括但不限于信用、权益、商品、外汇、利率期权等衍生金融工具。</w:t>
            </w:r>
          </w:p>
        </w:tc>
      </w:tr>
    </w:tbl>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eastAsiaTheme="minorEastAsia"/>
          <w:b/>
          <w:color w:val="000000"/>
          <w:sz w:val="24"/>
          <w:szCs w:val="24"/>
          <w:highlight w:val="none"/>
          <w:lang w:val="en-US" w:eastAsia="zh-CN"/>
        </w:rPr>
      </w:pPr>
    </w:p>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受托方的基本情况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20" w:firstLineChars="0"/>
        <w:jc w:val="both"/>
        <w:textAlignment w:val="auto"/>
        <w:rPr>
          <w:rFonts w:hint="default" w:ascii="Times New Roman" w:hAnsi="Times New Roman" w:cs="Times New Roman" w:eastAsiaTheme="minorEastAsia"/>
          <w:b w:val="0"/>
          <w:bCs w:val="0"/>
          <w:color w:val="000000"/>
          <w:sz w:val="24"/>
          <w:szCs w:val="24"/>
          <w:lang w:val="en-US" w:eastAsia="zh-CN"/>
        </w:rPr>
      </w:pPr>
      <w:r>
        <w:rPr>
          <w:rFonts w:eastAsiaTheme="minorEastAsia"/>
          <w:color w:val="000000"/>
          <w:sz w:val="24"/>
          <w:szCs w:val="24"/>
        </w:rPr>
        <w:t>本次购买理财产品的受托</w:t>
      </w:r>
      <w:r>
        <w:rPr>
          <w:rFonts w:hint="eastAsia" w:eastAsiaTheme="minorEastAsia"/>
          <w:color w:val="000000"/>
          <w:sz w:val="24"/>
          <w:szCs w:val="24"/>
          <w:lang w:val="en-US" w:eastAsia="zh-CN"/>
        </w:rPr>
        <w:t>方招商银行</w:t>
      </w:r>
      <w:r>
        <w:rPr>
          <w:rFonts w:eastAsiaTheme="minorEastAsia"/>
          <w:color w:val="000000"/>
          <w:sz w:val="24"/>
          <w:szCs w:val="24"/>
        </w:rPr>
        <w:t>为上海证券交易所上市公司（公司代码：60</w:t>
      </w:r>
      <w:r>
        <w:rPr>
          <w:rFonts w:hint="eastAsia" w:eastAsiaTheme="minorEastAsia"/>
          <w:color w:val="000000"/>
          <w:sz w:val="24"/>
          <w:szCs w:val="24"/>
          <w:lang w:val="en-US" w:eastAsia="zh-CN"/>
        </w:rPr>
        <w:t>0036</w:t>
      </w:r>
      <w:r>
        <w:rPr>
          <w:rFonts w:eastAsiaTheme="minorEastAsia"/>
          <w:color w:val="000000"/>
          <w:sz w:val="24"/>
          <w:szCs w:val="24"/>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b/>
          <w:bCs/>
          <w:color w:val="000000"/>
          <w:sz w:val="24"/>
          <w:szCs w:val="24"/>
          <w:lang w:val="en-US" w:eastAsia="zh-CN"/>
        </w:rPr>
      </w:pPr>
      <w:r>
        <w:rPr>
          <w:rFonts w:hint="default" w:asciiTheme="minorEastAsia" w:hAnsiTheme="minorEastAsia" w:eastAsiaTheme="minorEastAsia" w:cstheme="minorEastAsia"/>
          <w:b/>
          <w:bCs/>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both"/>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公司董事会授权公司董事长在额度范围和时效内行使该项投资决策权并签署相关合同文件，并由公司管理层组织相关部门实施。公司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lang w:val="en-US" w:eastAsia="zh-CN"/>
        </w:rPr>
        <w:t>现金管理</w:t>
      </w:r>
      <w:r>
        <w:rPr>
          <w:rFonts w:hint="default" w:asciiTheme="minorEastAsia" w:hAnsiTheme="minorEastAsia" w:eastAsiaTheme="minorEastAsia" w:cstheme="minorEastAsia"/>
          <w:color w:val="000000"/>
          <w:sz w:val="24"/>
          <w:szCs w:val="24"/>
          <w:lang w:val="en-US" w:eastAsia="zh-CN"/>
        </w:rPr>
        <w:t>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highlight w:val="none"/>
        </w:rPr>
      </w:pPr>
      <w:r>
        <w:rPr>
          <w:rFonts w:hint="eastAsia" w:eastAsiaTheme="minorEastAsia"/>
          <w:color w:val="000000"/>
          <w:sz w:val="24"/>
          <w:szCs w:val="24"/>
          <w:highlight w:val="none"/>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21</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2</w:t>
            </w:r>
            <w:r>
              <w:rPr>
                <w:rFonts w:eastAsiaTheme="minorEastAsia"/>
                <w:b/>
                <w:color w:val="000000"/>
                <w:kern w:val="0"/>
                <w:szCs w:val="21"/>
              </w:rPr>
              <w:t>年</w:t>
            </w:r>
            <w:r>
              <w:rPr>
                <w:rFonts w:hint="eastAsia" w:eastAsiaTheme="minorEastAsia"/>
                <w:b/>
                <w:color w:val="000000"/>
                <w:kern w:val="0"/>
                <w:szCs w:val="21"/>
                <w:lang w:val="en-US" w:eastAsia="zh-CN"/>
              </w:rPr>
              <w:t>6</w:t>
            </w:r>
            <w:r>
              <w:rPr>
                <w:rFonts w:eastAsiaTheme="minorEastAsia"/>
                <w:b/>
                <w:color w:val="000000"/>
                <w:kern w:val="0"/>
                <w:szCs w:val="21"/>
              </w:rPr>
              <w:t>月</w:t>
            </w:r>
            <w:r>
              <w:rPr>
                <w:rFonts w:hint="eastAsia" w:eastAsiaTheme="minorEastAsia"/>
                <w:b/>
                <w:color w:val="000000"/>
                <w:kern w:val="0"/>
                <w:szCs w:val="21"/>
                <w:lang w:val="en-US" w:eastAsia="zh-CN"/>
              </w:rPr>
              <w:t>30</w:t>
            </w:r>
            <w:r>
              <w:rPr>
                <w:rFonts w:eastAsiaTheme="minorEastAsia"/>
                <w:b/>
                <w:color w:val="000000"/>
                <w:kern w:val="0"/>
                <w:szCs w:val="21"/>
              </w:rPr>
              <w:t>日</w:t>
            </w:r>
          </w:p>
        </w:tc>
      </w:tr>
      <w:tr>
        <w:tblPrEx>
          <w:tblCellMar>
            <w:top w:w="0" w:type="dxa"/>
            <w:left w:w="108" w:type="dxa"/>
            <w:bottom w:w="0" w:type="dxa"/>
            <w:right w:w="108" w:type="dxa"/>
          </w:tblCellMar>
        </w:tblPrEx>
        <w:trPr>
          <w:trHeight w:val="333"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1,709,727,123.97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390,079,985.76</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bookmarkStart w:id="0" w:name="OLE_LINK1"/>
            <w:r>
              <w:t>1,319,647,138.21</w:t>
            </w:r>
            <w:bookmarkEnd w:id="0"/>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-146,924,746.89</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highlight w:val="none"/>
        </w:rPr>
        <w:t>截止202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6</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30</w:t>
      </w:r>
      <w:r>
        <w:rPr>
          <w:rFonts w:eastAsiaTheme="minorEastAsia"/>
          <w:color w:val="000000"/>
          <w:sz w:val="24"/>
          <w:szCs w:val="24"/>
          <w:highlight w:val="none"/>
        </w:rPr>
        <w:t>日，公司资产负债率为</w:t>
      </w:r>
      <w:r>
        <w:rPr>
          <w:rFonts w:hint="eastAsia" w:cs="Times New Roman" w:eastAsiaTheme="minorEastAsia"/>
          <w:color w:val="000000"/>
          <w:sz w:val="24"/>
          <w:szCs w:val="24"/>
          <w:highlight w:val="none"/>
          <w:lang w:val="en-US" w:eastAsia="zh-CN"/>
        </w:rPr>
        <w:t>22.82</w:t>
      </w:r>
      <w:r>
        <w:rPr>
          <w:rFonts w:eastAsiaTheme="minorEastAsia"/>
          <w:color w:val="000000"/>
          <w:sz w:val="24"/>
          <w:szCs w:val="24"/>
          <w:highlight w:val="none"/>
        </w:rPr>
        <w:t>%，不存在负有大额负债的同时购买大额理财产品的情形，不会对公司未来主营业务、财务</w:t>
      </w:r>
      <w:r>
        <w:rPr>
          <w:rFonts w:eastAsiaTheme="minorEastAsia"/>
          <w:color w:val="000000"/>
          <w:sz w:val="24"/>
          <w:szCs w:val="24"/>
        </w:rPr>
        <w:t>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kern w:val="0"/>
          <w:sz w:val="24"/>
          <w:szCs w:val="24"/>
          <w:highlight w:val="none"/>
          <w:lang w:bidi="ar"/>
        </w:rPr>
        <w:t>公司于202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hint="eastAsia" w:ascii="宋体" w:hAnsi="宋体"/>
          <w:bCs/>
          <w:szCs w:val="21"/>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8,000.00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355.35</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4</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118.13</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6</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7</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76.52</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8</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96.16</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92.05</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eastAsiaTheme="minorEastAsia"/>
                <w:color w:val="000000"/>
                <w:sz w:val="21"/>
                <w:szCs w:val="21"/>
                <w:highlight w:val="none"/>
                <w:vertAlign w:val="baseline"/>
                <w:lang w:val="en-US" w:eastAsia="zh-CN"/>
              </w:rPr>
              <w:t>18.67</w:t>
            </w:r>
          </w:p>
        </w:tc>
        <w:tc>
          <w:tcPr>
            <w:tcW w:w="1449" w:type="dxa"/>
            <w:vAlign w:val="center"/>
          </w:tcPr>
          <w:p>
            <w:pPr>
              <w:widowControl/>
              <w:jc w:val="right"/>
              <w:textAlignment w:val="center"/>
              <w:rPr>
                <w:rFonts w:hint="default"/>
                <w:color w:val="auto"/>
                <w:kern w:val="0"/>
                <w:szCs w:val="21"/>
                <w:highlight w:val="yellow"/>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3,500.00</w:t>
            </w:r>
          </w:p>
        </w:tc>
        <w:tc>
          <w:tcPr>
            <w:tcW w:w="1701" w:type="dxa"/>
            <w:shd w:val="clear" w:color="auto" w:fill="auto"/>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3,500.00</w:t>
            </w:r>
          </w:p>
        </w:tc>
        <w:tc>
          <w:tcPr>
            <w:tcW w:w="1378" w:type="dxa"/>
            <w:shd w:val="clear" w:color="auto" w:fill="auto"/>
            <w:vAlign w:val="center"/>
          </w:tcPr>
          <w:p>
            <w:pPr>
              <w:widowControl/>
              <w:jc w:val="right"/>
              <w:textAlignment w:val="center"/>
              <w:rPr>
                <w:rFonts w:hint="eastAsia"/>
                <w:color w:val="auto"/>
                <w:kern w:val="0"/>
                <w:szCs w:val="21"/>
                <w:highlight w:val="none"/>
                <w:lang w:val="en-US" w:eastAsia="zh-CN" w:bidi="ar"/>
              </w:rPr>
            </w:pPr>
            <w:r>
              <w:rPr>
                <w:rFonts w:hint="eastAsia" w:eastAsiaTheme="minorEastAsia"/>
                <w:color w:val="000000"/>
                <w:sz w:val="21"/>
                <w:szCs w:val="21"/>
                <w:highlight w:val="none"/>
                <w:vertAlign w:val="baseline"/>
                <w:lang w:val="en-US" w:eastAsia="zh-CN"/>
              </w:rPr>
              <w:t>26.61</w:t>
            </w:r>
          </w:p>
        </w:tc>
        <w:tc>
          <w:tcPr>
            <w:tcW w:w="1449" w:type="dxa"/>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1,000.00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none"/>
                <w:lang w:val="en-US" w:eastAsia="zh-CN" w:bidi="ar"/>
              </w:rPr>
            </w:pPr>
            <w:r>
              <w:rPr>
                <w:rFonts w:hint="eastAsia"/>
                <w:b/>
                <w:bCs/>
                <w:color w:val="000000"/>
                <w:kern w:val="0"/>
                <w:szCs w:val="21"/>
                <w:highlight w:val="none"/>
                <w:lang w:val="en-US" w:eastAsia="zh-CN" w:bidi="ar"/>
              </w:rPr>
              <w:t>102,000.00</w:t>
            </w:r>
          </w:p>
        </w:tc>
        <w:tc>
          <w:tcPr>
            <w:tcW w:w="1701"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none"/>
                <w:lang w:val="en-US" w:eastAsia="zh-CN" w:bidi="ar"/>
              </w:rPr>
            </w:pPr>
            <w:r>
              <w:rPr>
                <w:rFonts w:hint="eastAsia"/>
                <w:b/>
                <w:bCs/>
                <w:color w:val="000000"/>
                <w:kern w:val="0"/>
                <w:szCs w:val="21"/>
                <w:highlight w:val="none"/>
                <w:lang w:val="en-US" w:eastAsia="zh-CN" w:bidi="ar"/>
              </w:rPr>
              <w:t>67,500.00</w:t>
            </w:r>
          </w:p>
        </w:tc>
        <w:tc>
          <w:tcPr>
            <w:tcW w:w="1378"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yellow"/>
                <w:lang w:val="en-US" w:eastAsia="zh-CN" w:bidi="ar"/>
              </w:rPr>
            </w:pPr>
            <w:r>
              <w:rPr>
                <w:rFonts w:hint="eastAsia"/>
                <w:b/>
                <w:bCs/>
                <w:color w:val="000000"/>
                <w:kern w:val="0"/>
                <w:szCs w:val="21"/>
                <w:highlight w:val="none"/>
                <w:lang w:val="en-US" w:eastAsia="zh-CN" w:bidi="ar"/>
              </w:rPr>
              <w:t>1,730.71</w:t>
            </w:r>
          </w:p>
        </w:tc>
        <w:tc>
          <w:tcPr>
            <w:tcW w:w="1449" w:type="dxa"/>
            <w:tcBorders>
              <w:bottom w:val="thinThickSmallGap" w:color="auto" w:sz="24" w:space="0"/>
            </w:tcBorders>
            <w:vAlign w:val="center"/>
          </w:tcPr>
          <w:p>
            <w:pPr>
              <w:widowControl/>
              <w:jc w:val="right"/>
              <w:textAlignment w:val="center"/>
              <w:rPr>
                <w:rFonts w:hint="default"/>
                <w:b/>
                <w:bCs/>
                <w:color w:val="000000"/>
                <w:kern w:val="0"/>
                <w:szCs w:val="21"/>
                <w:highlight w:val="yellow"/>
                <w:lang w:val="en-US" w:eastAsia="zh-CN" w:bidi="ar"/>
              </w:rPr>
            </w:pPr>
            <w:r>
              <w:rPr>
                <w:rFonts w:hint="eastAsia"/>
                <w:b/>
                <w:bCs/>
                <w:color w:val="000000"/>
                <w:kern w:val="0"/>
                <w:szCs w:val="21"/>
                <w:highlight w:val="none"/>
                <w:lang w:val="en-US" w:eastAsia="zh-CN" w:bidi="ar"/>
              </w:rPr>
              <w:t>34,500.00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30.45</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21.68%</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34,5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15,500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5</w:t>
            </w:r>
            <w:r>
              <w:rPr>
                <w:color w:val="000000"/>
                <w:kern w:val="0"/>
                <w:szCs w:val="21"/>
                <w:highlight w:val="none"/>
                <w:lang w:bidi="ar"/>
              </w:rPr>
              <w:t>0,000</w:t>
            </w:r>
            <w:r>
              <w:rPr>
                <w:rFonts w:hint="eastAsia"/>
                <w:color w:val="000000"/>
                <w:kern w:val="0"/>
                <w:szCs w:val="21"/>
                <w:highlight w:val="none"/>
                <w:lang w:bidi="ar"/>
              </w:rPr>
              <w:t>.00</w:t>
            </w:r>
          </w:p>
        </w:tc>
      </w:tr>
    </w:tbl>
    <w:p>
      <w:pPr>
        <w:widowControl/>
        <w:ind w:left="0" w:leftChars="0"/>
        <w:jc w:val="left"/>
        <w:rPr>
          <w:rFonts w:hint="eastAsia" w:ascii="宋体" w:hAnsi="宋体"/>
          <w:bCs/>
          <w:szCs w:val="21"/>
        </w:rPr>
      </w:pPr>
    </w:p>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3</w:t>
      </w:r>
      <w:r>
        <w:rPr>
          <w:rFonts w:eastAsiaTheme="minorEastAsia"/>
          <w:color w:val="000000"/>
          <w:sz w:val="24"/>
          <w:szCs w:val="24"/>
          <w:highlight w:val="none"/>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1">
    <w:nsid w:val="31FF68AF"/>
    <w:multiLevelType w:val="singleLevel"/>
    <w:tmpl w:val="31FF68A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5E475D33"/>
    <w:rsid w:val="00491A48"/>
    <w:rsid w:val="013E61E2"/>
    <w:rsid w:val="018E4822"/>
    <w:rsid w:val="027576DF"/>
    <w:rsid w:val="02A309AF"/>
    <w:rsid w:val="02AF4FED"/>
    <w:rsid w:val="049C0D81"/>
    <w:rsid w:val="04BC2DF0"/>
    <w:rsid w:val="04BD6B13"/>
    <w:rsid w:val="050F3BF1"/>
    <w:rsid w:val="051D5553"/>
    <w:rsid w:val="05202816"/>
    <w:rsid w:val="05B5678A"/>
    <w:rsid w:val="07832D9E"/>
    <w:rsid w:val="083E47F0"/>
    <w:rsid w:val="08977F70"/>
    <w:rsid w:val="08C60F31"/>
    <w:rsid w:val="097203F7"/>
    <w:rsid w:val="0AC149D4"/>
    <w:rsid w:val="0BC4590D"/>
    <w:rsid w:val="0BE8347C"/>
    <w:rsid w:val="0D5B6A2A"/>
    <w:rsid w:val="0F34760A"/>
    <w:rsid w:val="0FBD3F46"/>
    <w:rsid w:val="100E2521"/>
    <w:rsid w:val="11535FD3"/>
    <w:rsid w:val="11B55FCB"/>
    <w:rsid w:val="11FA498B"/>
    <w:rsid w:val="12B45E22"/>
    <w:rsid w:val="15462F97"/>
    <w:rsid w:val="15E54F66"/>
    <w:rsid w:val="171B3EB0"/>
    <w:rsid w:val="17391ED0"/>
    <w:rsid w:val="17965A93"/>
    <w:rsid w:val="17A17C4F"/>
    <w:rsid w:val="17E62CEF"/>
    <w:rsid w:val="187E2A81"/>
    <w:rsid w:val="1A041605"/>
    <w:rsid w:val="1C7D2391"/>
    <w:rsid w:val="1D36117A"/>
    <w:rsid w:val="1DE640C3"/>
    <w:rsid w:val="1E125A00"/>
    <w:rsid w:val="1F303DFA"/>
    <w:rsid w:val="1F6C3676"/>
    <w:rsid w:val="23287ADC"/>
    <w:rsid w:val="293B04DF"/>
    <w:rsid w:val="29A7485D"/>
    <w:rsid w:val="2DF44503"/>
    <w:rsid w:val="2E4E7A2B"/>
    <w:rsid w:val="2E80779D"/>
    <w:rsid w:val="3340749F"/>
    <w:rsid w:val="34E7249A"/>
    <w:rsid w:val="36D05789"/>
    <w:rsid w:val="38D05A6D"/>
    <w:rsid w:val="390212BA"/>
    <w:rsid w:val="397D10DC"/>
    <w:rsid w:val="39B02A11"/>
    <w:rsid w:val="3AF7441B"/>
    <w:rsid w:val="3C295A99"/>
    <w:rsid w:val="3EE1443F"/>
    <w:rsid w:val="3EE71B36"/>
    <w:rsid w:val="3EFB2631"/>
    <w:rsid w:val="3F856C57"/>
    <w:rsid w:val="40461D28"/>
    <w:rsid w:val="40502228"/>
    <w:rsid w:val="42FD048C"/>
    <w:rsid w:val="432B625C"/>
    <w:rsid w:val="433B62FA"/>
    <w:rsid w:val="43426F87"/>
    <w:rsid w:val="45B54C64"/>
    <w:rsid w:val="46FC12A7"/>
    <w:rsid w:val="48000720"/>
    <w:rsid w:val="4878048F"/>
    <w:rsid w:val="49721DBB"/>
    <w:rsid w:val="498B3D9C"/>
    <w:rsid w:val="4A0E310F"/>
    <w:rsid w:val="4AFD1F57"/>
    <w:rsid w:val="4B501A2D"/>
    <w:rsid w:val="4BE86413"/>
    <w:rsid w:val="4C565D83"/>
    <w:rsid w:val="4CAD5B18"/>
    <w:rsid w:val="4CBE6EEB"/>
    <w:rsid w:val="516C6209"/>
    <w:rsid w:val="52AC104F"/>
    <w:rsid w:val="549A5A7A"/>
    <w:rsid w:val="56FD7F32"/>
    <w:rsid w:val="59D80489"/>
    <w:rsid w:val="59DB62D9"/>
    <w:rsid w:val="5AA962B2"/>
    <w:rsid w:val="5C646231"/>
    <w:rsid w:val="5E475D33"/>
    <w:rsid w:val="5FBD2CE7"/>
    <w:rsid w:val="604E6A0A"/>
    <w:rsid w:val="609A26F5"/>
    <w:rsid w:val="61FC78BC"/>
    <w:rsid w:val="64274C3E"/>
    <w:rsid w:val="66066C4D"/>
    <w:rsid w:val="66675AEC"/>
    <w:rsid w:val="6736715E"/>
    <w:rsid w:val="674E6466"/>
    <w:rsid w:val="67BF6746"/>
    <w:rsid w:val="683A721E"/>
    <w:rsid w:val="688A543D"/>
    <w:rsid w:val="68BA5CE9"/>
    <w:rsid w:val="692A202C"/>
    <w:rsid w:val="69760C36"/>
    <w:rsid w:val="6B797D08"/>
    <w:rsid w:val="6B7F203F"/>
    <w:rsid w:val="6C360C93"/>
    <w:rsid w:val="6DBF37EC"/>
    <w:rsid w:val="6E471F02"/>
    <w:rsid w:val="70BD7855"/>
    <w:rsid w:val="716E7BB1"/>
    <w:rsid w:val="72D64C61"/>
    <w:rsid w:val="73911D1F"/>
    <w:rsid w:val="75A620CB"/>
    <w:rsid w:val="76894492"/>
    <w:rsid w:val="76CC503A"/>
    <w:rsid w:val="776179CD"/>
    <w:rsid w:val="7A656D7F"/>
    <w:rsid w:val="7A75045A"/>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3795</Words>
  <Characters>4653</Characters>
  <Lines>0</Lines>
  <Paragraphs>0</Paragraphs>
  <TotalTime>0</TotalTime>
  <ScaleCrop>false</ScaleCrop>
  <LinksUpToDate>false</LinksUpToDate>
  <CharactersWithSpaces>4682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2022-06-09T05:12:00Z</dcterms:created>
  <dc:creator>admin</dc:creator>
  <cp:lastModifiedBy>suuuu</cp:lastModifiedBy>
  <dcterms:modified xsi:type="dcterms:W3CDTF">2022-09-02T07:40:02Z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6BC840E4A4E44D3EAA6DC6044F68D271</vt:lpwstr>
  </property>
</Properties>
</file>