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ascii="宋体"/>
          <w:sz w:val="21"/>
          <w:szCs w:val="21"/>
        </w:rPr>
      </w:pPr>
      <w:r>
        <w:rPr>
          <w:rFonts w:hint="eastAsia" w:ascii="宋体" w:hAnsi="宋体"/>
          <w:sz w:val="21"/>
          <w:szCs w:val="21"/>
        </w:rPr>
        <w:t>证券代码：</w:t>
      </w:r>
      <w:r>
        <w:rPr>
          <w:rFonts w:ascii="宋体" w:hAnsi="宋体"/>
          <w:sz w:val="21"/>
          <w:szCs w:val="21"/>
        </w:rPr>
        <w:t>60</w:t>
      </w:r>
      <w:r>
        <w:rPr>
          <w:rFonts w:hint="eastAsia" w:ascii="宋体" w:hAnsi="宋体"/>
          <w:sz w:val="21"/>
          <w:szCs w:val="21"/>
        </w:rPr>
        <w:t>3232</w:t>
      </w:r>
      <w:r>
        <w:rPr>
          <w:rFonts w:ascii="宋体" w:hAnsi="宋体"/>
          <w:sz w:val="21"/>
          <w:szCs w:val="21"/>
        </w:rPr>
        <w:t xml:space="preserve">    </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rPr>
        <w:t>证券简称：格尔软件</w:t>
      </w:r>
      <w:r>
        <w:rPr>
          <w:rFonts w:ascii="宋体" w:hAnsi="宋体"/>
          <w:sz w:val="21"/>
          <w:szCs w:val="21"/>
        </w:rPr>
        <w:t xml:space="preserve">    </w:t>
      </w:r>
      <w:r>
        <w:rPr>
          <w:rFonts w:hint="eastAsia" w:ascii="宋体" w:hAnsi="宋体"/>
          <w:sz w:val="21"/>
          <w:szCs w:val="21"/>
        </w:rPr>
        <w:t xml:space="preserve">        公告编号：</w:t>
      </w:r>
      <w:r>
        <w:rPr>
          <w:sz w:val="21"/>
          <w:szCs w:val="21"/>
          <w:highlight w:val="none"/>
        </w:rPr>
        <w:t>2022</w:t>
      </w:r>
      <w:r>
        <w:rPr>
          <w:rFonts w:hint="eastAsia"/>
          <w:sz w:val="21"/>
          <w:szCs w:val="21"/>
          <w:highlight w:val="none"/>
        </w:rPr>
        <w:t>-034</w:t>
      </w:r>
    </w:p>
    <w:p>
      <w:pPr>
        <w:widowControl w:val="0"/>
        <w:autoSpaceDE w:val="0"/>
        <w:autoSpaceDN w:val="0"/>
        <w:adjustRightInd w:val="0"/>
        <w:spacing w:line="360" w:lineRule="auto"/>
        <w:rPr>
          <w:rFonts w:ascii="宋体" w:hAnsi="宋体" w:cs="宋体-WinCharSetFFFF-H"/>
          <w:color w:val="000000"/>
          <w:sz w:val="21"/>
          <w:szCs w:val="21"/>
        </w:rPr>
      </w:pPr>
    </w:p>
    <w:p>
      <w:pPr>
        <w:widowControl w:val="0"/>
        <w:autoSpaceDE w:val="0"/>
        <w:autoSpaceDN w:val="0"/>
        <w:adjustRightInd w:val="0"/>
        <w:spacing w:line="360" w:lineRule="auto"/>
        <w:jc w:val="center"/>
        <w:rPr>
          <w:rFonts w:ascii="黑体" w:hAnsi="宋体" w:eastAsia="黑体" w:cs="黑体-WinCharSetFFFF-H"/>
          <w:b/>
          <w:color w:val="FF0000"/>
          <w:sz w:val="36"/>
          <w:szCs w:val="36"/>
        </w:rPr>
      </w:pPr>
      <w:r>
        <w:rPr>
          <w:rFonts w:hint="eastAsia" w:ascii="黑体" w:hAnsi="宋体" w:eastAsia="黑体" w:cs="黑体-WinCharSetFFFF-H"/>
          <w:b/>
          <w:color w:val="FF0000"/>
          <w:sz w:val="36"/>
          <w:szCs w:val="36"/>
        </w:rPr>
        <w:t>格尔软件股份有限公司</w:t>
      </w:r>
    </w:p>
    <w:p>
      <w:pPr>
        <w:widowControl w:val="0"/>
        <w:autoSpaceDE w:val="0"/>
        <w:autoSpaceDN w:val="0"/>
        <w:adjustRightInd w:val="0"/>
        <w:spacing w:line="360" w:lineRule="auto"/>
        <w:jc w:val="center"/>
        <w:rPr>
          <w:rFonts w:ascii="黑体" w:hAnsi="宋体" w:eastAsia="黑体" w:cs="黑体-WinCharSetFFFF-H"/>
          <w:b/>
          <w:color w:val="FF0000"/>
          <w:sz w:val="36"/>
          <w:szCs w:val="36"/>
        </w:rPr>
      </w:pPr>
      <w:r>
        <w:rPr>
          <w:rFonts w:hint="eastAsia" w:ascii="黑体" w:hAnsi="宋体" w:eastAsia="黑体" w:cs="黑体-WinCharSetFFFF-H"/>
          <w:b/>
          <w:color w:val="FF0000"/>
          <w:sz w:val="36"/>
          <w:szCs w:val="36"/>
        </w:rPr>
        <w:t>2022年半年度业绩预亏公告</w:t>
      </w:r>
    </w:p>
    <w:p>
      <w:pPr>
        <w:widowControl w:val="0"/>
        <w:autoSpaceDE w:val="0"/>
        <w:autoSpaceDN w:val="0"/>
        <w:adjustRightInd w:val="0"/>
        <w:spacing w:line="360" w:lineRule="auto"/>
        <w:jc w:val="center"/>
        <w:rPr>
          <w:rFonts w:ascii="宋体" w:hAnsi="宋体" w:cs="宋体-WinCharSetFFFF-H"/>
          <w:color w:val="000000"/>
        </w:rPr>
      </w:pPr>
    </w:p>
    <w:p>
      <w:pPr>
        <w:pBdr>
          <w:top w:val="single" w:color="auto" w:sz="4" w:space="1"/>
          <w:left w:val="single" w:color="auto" w:sz="4" w:space="4"/>
          <w:bottom w:val="single" w:color="auto" w:sz="4" w:space="1"/>
          <w:right w:val="single" w:color="auto" w:sz="4" w:space="4"/>
        </w:pBdr>
        <w:adjustRightInd w:val="0"/>
        <w:snapToGrid w:val="0"/>
        <w:spacing w:line="360" w:lineRule="auto"/>
        <w:rPr>
          <w:rFonts w:ascii="宋体" w:hAnsi="宋体"/>
        </w:rPr>
      </w:pPr>
      <w:r>
        <w:rPr>
          <w:rFonts w:hint="eastAsia" w:ascii="宋体" w:hAnsi="宋体"/>
        </w:rPr>
        <w:t xml:space="preserve">    本公司董事会及全体董事保证本公告内容不存在任何虚假记载、误导性陈述或者重大遗漏，并对其内容的真实性、准确性和完整性承担法律责任。  </w:t>
      </w:r>
    </w:p>
    <w:p>
      <w:pPr>
        <w:widowControl w:val="0"/>
        <w:autoSpaceDE w:val="0"/>
        <w:autoSpaceDN w:val="0"/>
        <w:adjustRightInd w:val="0"/>
        <w:spacing w:line="360" w:lineRule="auto"/>
        <w:rPr>
          <w:b/>
          <w:color w:val="000000"/>
        </w:rPr>
      </w:pPr>
    </w:p>
    <w:p>
      <w:pPr>
        <w:widowControl w:val="0"/>
        <w:autoSpaceDE w:val="0"/>
        <w:autoSpaceDN w:val="0"/>
        <w:adjustRightInd w:val="0"/>
        <w:spacing w:line="360" w:lineRule="auto"/>
        <w:ind w:firstLine="482" w:firstLineChars="200"/>
        <w:rPr>
          <w:b/>
          <w:color w:val="000000"/>
        </w:rPr>
      </w:pPr>
      <w:r>
        <w:rPr>
          <w:rFonts w:hint="eastAsia"/>
          <w:b/>
          <w:color w:val="000000"/>
        </w:rPr>
        <w:t>重要内容提示：</w:t>
      </w:r>
    </w:p>
    <w:p>
      <w:pPr>
        <w:widowControl w:val="0"/>
        <w:numPr>
          <w:ilvl w:val="0"/>
          <w:numId w:val="1"/>
        </w:numPr>
        <w:autoSpaceDE w:val="0"/>
        <w:autoSpaceDN w:val="0"/>
        <w:adjustRightInd w:val="0"/>
        <w:spacing w:line="360" w:lineRule="auto"/>
        <w:ind w:left="840"/>
        <w:rPr>
          <w:color w:val="000000"/>
        </w:rPr>
      </w:pPr>
      <w:r>
        <w:rPr>
          <w:rFonts w:hint="eastAsia"/>
          <w:color w:val="000000"/>
        </w:rPr>
        <w:t>业绩预告的具体适用情形：净利润为负值。</w:t>
      </w:r>
    </w:p>
    <w:p>
      <w:pPr>
        <w:widowControl w:val="0"/>
        <w:numPr>
          <w:ilvl w:val="0"/>
          <w:numId w:val="1"/>
        </w:numPr>
        <w:autoSpaceDE w:val="0"/>
        <w:autoSpaceDN w:val="0"/>
        <w:adjustRightInd w:val="0"/>
        <w:spacing w:line="360" w:lineRule="auto"/>
        <w:ind w:left="0" w:firstLine="480" w:firstLineChars="200"/>
        <w:rPr>
          <w:color w:val="000000"/>
          <w:highlight w:val="none"/>
        </w:rPr>
      </w:pPr>
      <w:r>
        <w:rPr>
          <w:rFonts w:hint="eastAsia"/>
          <w:color w:val="000000"/>
        </w:rPr>
        <w:t>业绩预告相关的主要财务数据情况：经财务部门初步测算，预计格尔软件股份有限公司（以下简称“公司”）2022年半年度实现归属于母公司所有者的净利润约为-5,166.</w:t>
      </w:r>
      <w:r>
        <w:rPr>
          <w:rFonts w:hint="eastAsia"/>
          <w:color w:val="000000"/>
          <w:lang w:val="en-US" w:eastAsia="zh-CN"/>
        </w:rPr>
        <w:t>57</w:t>
      </w:r>
      <w:r>
        <w:rPr>
          <w:rFonts w:hint="eastAsia"/>
          <w:color w:val="000000"/>
        </w:rPr>
        <w:t>万元。预计2022年半年度实现归属于母公司所有者的扣除非经常性损益后的净利润约为-6,779.93万元。</w:t>
      </w:r>
    </w:p>
    <w:p>
      <w:pPr>
        <w:widowControl w:val="0"/>
        <w:numPr>
          <w:ilvl w:val="255"/>
          <w:numId w:val="0"/>
        </w:numPr>
        <w:autoSpaceDE w:val="0"/>
        <w:autoSpaceDN w:val="0"/>
        <w:adjustRightInd w:val="0"/>
        <w:spacing w:line="360" w:lineRule="auto"/>
        <w:rPr>
          <w:color w:val="000000"/>
          <w:highlight w:val="none"/>
        </w:rPr>
      </w:pPr>
    </w:p>
    <w:p>
      <w:pPr>
        <w:adjustRightInd w:val="0"/>
        <w:snapToGrid w:val="0"/>
        <w:spacing w:line="360" w:lineRule="auto"/>
        <w:ind w:firstLine="482" w:firstLineChars="200"/>
        <w:rPr>
          <w:b/>
          <w:color w:val="000000"/>
          <w:highlight w:val="none"/>
        </w:rPr>
      </w:pPr>
      <w:r>
        <w:rPr>
          <w:b/>
          <w:color w:val="000000"/>
          <w:highlight w:val="none"/>
        </w:rPr>
        <w:t>一、本期业绩预告情况</w:t>
      </w:r>
    </w:p>
    <w:p>
      <w:pPr>
        <w:adjustRightInd w:val="0"/>
        <w:snapToGrid w:val="0"/>
        <w:spacing w:line="360" w:lineRule="auto"/>
        <w:ind w:firstLine="480" w:firstLineChars="200"/>
        <w:rPr>
          <w:color w:val="000000"/>
          <w:highlight w:val="none"/>
        </w:rPr>
      </w:pPr>
      <w:r>
        <w:rPr>
          <w:rFonts w:hint="eastAsia"/>
          <w:color w:val="000000"/>
          <w:highlight w:val="none"/>
        </w:rPr>
        <w:t>（一）业绩预告期间</w:t>
      </w:r>
    </w:p>
    <w:p>
      <w:pPr>
        <w:snapToGrid w:val="0"/>
        <w:spacing w:line="360" w:lineRule="auto"/>
        <w:ind w:firstLine="460" w:firstLineChars="192"/>
        <w:rPr>
          <w:color w:val="000000"/>
          <w:highlight w:val="none"/>
        </w:rPr>
      </w:pPr>
      <w:r>
        <w:rPr>
          <w:rFonts w:hint="eastAsia"/>
          <w:color w:val="000000"/>
          <w:highlight w:val="none"/>
        </w:rPr>
        <w:t>2022年1月1日至2022年6月30日。</w:t>
      </w:r>
    </w:p>
    <w:p>
      <w:pPr>
        <w:adjustRightInd w:val="0"/>
        <w:snapToGrid w:val="0"/>
        <w:spacing w:line="360" w:lineRule="auto"/>
        <w:ind w:firstLine="480" w:firstLineChars="200"/>
        <w:rPr>
          <w:color w:val="000000"/>
          <w:highlight w:val="none"/>
        </w:rPr>
      </w:pPr>
      <w:r>
        <w:rPr>
          <w:rFonts w:hint="eastAsia"/>
          <w:color w:val="000000"/>
          <w:highlight w:val="none"/>
        </w:rPr>
        <w:t>（二）业绩预告情况</w:t>
      </w:r>
      <w:bookmarkStart w:id="0" w:name="_GoBack"/>
      <w:bookmarkEnd w:id="0"/>
    </w:p>
    <w:p>
      <w:pPr>
        <w:snapToGrid w:val="0"/>
        <w:spacing w:line="360" w:lineRule="auto"/>
        <w:ind w:firstLine="460" w:firstLineChars="192"/>
        <w:rPr>
          <w:color w:val="000000"/>
          <w:highlight w:val="none"/>
        </w:rPr>
      </w:pPr>
      <w:r>
        <w:rPr>
          <w:rFonts w:hint="eastAsia"/>
          <w:color w:val="000000"/>
          <w:highlight w:val="none"/>
        </w:rPr>
        <w:t>经财务部门初步测算，预计公司</w:t>
      </w:r>
      <w:r>
        <w:rPr>
          <w:color w:val="000000"/>
          <w:highlight w:val="none"/>
        </w:rPr>
        <w:t>2022</w:t>
      </w:r>
      <w:r>
        <w:rPr>
          <w:rFonts w:hint="eastAsia"/>
          <w:color w:val="000000"/>
          <w:highlight w:val="none"/>
        </w:rPr>
        <w:t>年半年度实现归属于母公司所有者的净利润约</w:t>
      </w:r>
      <w:r>
        <w:rPr>
          <w:color w:val="000000"/>
          <w:highlight w:val="none"/>
        </w:rPr>
        <w:t>-5,166.</w:t>
      </w:r>
      <w:r>
        <w:rPr>
          <w:rFonts w:hint="eastAsia"/>
          <w:color w:val="000000"/>
          <w:highlight w:val="none"/>
          <w:lang w:val="en-US" w:eastAsia="zh-CN"/>
        </w:rPr>
        <w:t>57</w:t>
      </w:r>
      <w:r>
        <w:rPr>
          <w:rFonts w:hint="eastAsia"/>
          <w:color w:val="000000"/>
          <w:highlight w:val="none"/>
        </w:rPr>
        <w:t>万元，与上年同期（法定披露数据）相比，</w:t>
      </w:r>
      <w:r>
        <w:rPr>
          <w:rFonts w:hint="eastAsia" w:eastAsiaTheme="minorEastAsia"/>
          <w:color w:val="000000"/>
          <w:highlight w:val="none"/>
        </w:rPr>
        <w:t>将增加亏损。</w:t>
      </w:r>
    </w:p>
    <w:p>
      <w:pPr>
        <w:snapToGrid w:val="0"/>
        <w:spacing w:line="360" w:lineRule="auto"/>
        <w:ind w:firstLine="460" w:firstLineChars="192"/>
        <w:rPr>
          <w:color w:val="000000"/>
          <w:highlight w:val="none"/>
        </w:rPr>
      </w:pPr>
      <w:r>
        <w:rPr>
          <w:rFonts w:hint="eastAsia"/>
          <w:color w:val="000000"/>
          <w:highlight w:val="none"/>
        </w:rPr>
        <w:t>预计公司</w:t>
      </w:r>
      <w:r>
        <w:rPr>
          <w:color w:val="000000"/>
          <w:highlight w:val="none"/>
        </w:rPr>
        <w:t>2022</w:t>
      </w:r>
      <w:r>
        <w:rPr>
          <w:rFonts w:hint="eastAsia"/>
          <w:color w:val="000000"/>
          <w:highlight w:val="none"/>
        </w:rPr>
        <w:t>年半年度实现归属于母公司所有者的扣除非经常性损益后的净利润约</w:t>
      </w:r>
      <w:r>
        <w:rPr>
          <w:color w:val="000000"/>
          <w:highlight w:val="none"/>
        </w:rPr>
        <w:t>-6,779.93</w:t>
      </w:r>
      <w:r>
        <w:rPr>
          <w:rFonts w:hint="eastAsia"/>
          <w:color w:val="000000"/>
          <w:highlight w:val="none"/>
        </w:rPr>
        <w:t>万元。</w:t>
      </w:r>
    </w:p>
    <w:p>
      <w:pPr>
        <w:adjustRightInd w:val="0"/>
        <w:snapToGrid w:val="0"/>
        <w:spacing w:line="360" w:lineRule="auto"/>
        <w:ind w:firstLine="482" w:firstLineChars="200"/>
        <w:rPr>
          <w:b/>
          <w:color w:val="000000"/>
          <w:highlight w:val="none"/>
        </w:rPr>
      </w:pPr>
      <w:r>
        <w:rPr>
          <w:b/>
          <w:color w:val="000000"/>
          <w:highlight w:val="none"/>
        </w:rPr>
        <w:t>二、上年同期经营业绩和财务状况</w:t>
      </w:r>
    </w:p>
    <w:p>
      <w:pPr>
        <w:snapToGrid w:val="0"/>
        <w:spacing w:line="360" w:lineRule="auto"/>
        <w:ind w:firstLine="460" w:firstLineChars="192"/>
        <w:rPr>
          <w:color w:val="000000"/>
          <w:highlight w:val="none"/>
        </w:rPr>
      </w:pPr>
      <w:r>
        <w:rPr>
          <w:rFonts w:hint="eastAsia"/>
          <w:color w:val="000000"/>
          <w:highlight w:val="none"/>
        </w:rPr>
        <w:t>（一）归属于母公司所有者的净利润：</w:t>
      </w:r>
      <w:r>
        <w:rPr>
          <w:color w:val="000000"/>
          <w:highlight w:val="none"/>
        </w:rPr>
        <w:t>-2,490.36</w:t>
      </w:r>
      <w:r>
        <w:rPr>
          <w:rFonts w:hint="eastAsia"/>
          <w:color w:val="000000"/>
          <w:highlight w:val="none"/>
        </w:rPr>
        <w:t>万元。归属于母公司所有者的扣除非经常性损益的净利润：</w:t>
      </w:r>
      <w:r>
        <w:rPr>
          <w:color w:val="000000"/>
          <w:highlight w:val="none"/>
        </w:rPr>
        <w:t>-3,679.97</w:t>
      </w:r>
      <w:r>
        <w:rPr>
          <w:rFonts w:hint="eastAsia"/>
          <w:color w:val="000000"/>
          <w:highlight w:val="none"/>
        </w:rPr>
        <w:t>万元。</w:t>
      </w:r>
    </w:p>
    <w:p>
      <w:pPr>
        <w:snapToGrid w:val="0"/>
        <w:spacing w:line="360" w:lineRule="auto"/>
        <w:ind w:firstLine="460" w:firstLineChars="192"/>
        <w:rPr>
          <w:color w:val="000000"/>
          <w:highlight w:val="none"/>
        </w:rPr>
      </w:pPr>
      <w:r>
        <w:rPr>
          <w:rFonts w:hint="eastAsia"/>
          <w:color w:val="000000"/>
          <w:highlight w:val="none"/>
        </w:rPr>
        <w:t>（二）每股收益：</w:t>
      </w:r>
      <w:r>
        <w:rPr>
          <w:color w:val="000000"/>
          <w:highlight w:val="none"/>
        </w:rPr>
        <w:t>-0.11</w:t>
      </w:r>
      <w:r>
        <w:rPr>
          <w:rFonts w:hint="eastAsia"/>
          <w:color w:val="000000"/>
          <w:highlight w:val="none"/>
        </w:rPr>
        <w:t>元。</w:t>
      </w:r>
    </w:p>
    <w:p>
      <w:pPr>
        <w:adjustRightInd w:val="0"/>
        <w:snapToGrid w:val="0"/>
        <w:spacing w:line="360" w:lineRule="auto"/>
        <w:ind w:firstLine="482" w:firstLineChars="200"/>
        <w:rPr>
          <w:b/>
          <w:color w:val="000000"/>
        </w:rPr>
      </w:pPr>
      <w:r>
        <w:rPr>
          <w:b/>
          <w:color w:val="000000"/>
        </w:rPr>
        <w:t>三、本期业绩预亏的主要原因</w:t>
      </w:r>
    </w:p>
    <w:p>
      <w:pPr>
        <w:snapToGrid w:val="0"/>
        <w:spacing w:line="360" w:lineRule="auto"/>
        <w:ind w:firstLine="460" w:firstLineChars="192"/>
        <w:rPr>
          <w:color w:val="000000"/>
        </w:rPr>
      </w:pPr>
      <w:r>
        <w:rPr>
          <w:rFonts w:hint="eastAsia"/>
          <w:color w:val="000000"/>
        </w:rPr>
        <w:t>2022年上半年度，受到新冠疫情、业务区域性及季节性等因素的影响，公司通用类产品确认收入占比较高</w:t>
      </w:r>
      <w:r>
        <w:rPr>
          <w:rFonts w:hint="eastAsia"/>
          <w:color w:val="000000"/>
          <w:lang w:eastAsia="zh-CN"/>
        </w:rPr>
        <w:t>，</w:t>
      </w:r>
      <w:r>
        <w:rPr>
          <w:rFonts w:hint="eastAsia"/>
          <w:color w:val="000000"/>
          <w:lang w:val="en-US" w:eastAsia="zh-CN"/>
        </w:rPr>
        <w:t>成本有所上涨</w:t>
      </w:r>
      <w:r>
        <w:rPr>
          <w:rFonts w:hint="eastAsia"/>
          <w:color w:val="000000"/>
        </w:rPr>
        <w:t>导致营业利润下降。</w:t>
      </w:r>
    </w:p>
    <w:p>
      <w:pPr>
        <w:adjustRightInd w:val="0"/>
        <w:snapToGrid w:val="0"/>
        <w:spacing w:line="360" w:lineRule="auto"/>
        <w:ind w:firstLine="482" w:firstLineChars="200"/>
        <w:rPr>
          <w:b/>
          <w:color w:val="000000"/>
        </w:rPr>
      </w:pPr>
      <w:r>
        <w:rPr>
          <w:rFonts w:hint="eastAsia"/>
          <w:b/>
          <w:color w:val="000000"/>
        </w:rPr>
        <w:t>四、风险提示</w:t>
      </w:r>
    </w:p>
    <w:p>
      <w:pPr>
        <w:snapToGrid w:val="0"/>
        <w:spacing w:line="360" w:lineRule="auto"/>
        <w:ind w:firstLine="460" w:firstLineChars="192"/>
        <w:rPr>
          <w:color w:val="000000"/>
        </w:rPr>
      </w:pPr>
      <w:r>
        <w:rPr>
          <w:rFonts w:hint="eastAsia"/>
          <w:color w:val="000000"/>
        </w:rPr>
        <w:t>本次业绩预告是公司财务部门基于自身专业判断进行的初步核算，尚未经注册会计师审计。公司不存在影响本次业绩预告内容准确性的重大不确定因素。</w:t>
      </w:r>
    </w:p>
    <w:p>
      <w:pPr>
        <w:adjustRightInd w:val="0"/>
        <w:snapToGrid w:val="0"/>
        <w:spacing w:line="360" w:lineRule="auto"/>
        <w:ind w:firstLine="482" w:firstLineChars="200"/>
        <w:rPr>
          <w:b/>
          <w:color w:val="000000"/>
        </w:rPr>
      </w:pPr>
      <w:r>
        <w:rPr>
          <w:rFonts w:hint="eastAsia"/>
          <w:b/>
          <w:color w:val="000000"/>
        </w:rPr>
        <w:t>五、其他说明事项</w:t>
      </w:r>
    </w:p>
    <w:p>
      <w:pPr>
        <w:snapToGrid w:val="0"/>
        <w:spacing w:line="360" w:lineRule="auto"/>
        <w:ind w:firstLine="460" w:firstLineChars="192"/>
        <w:rPr>
          <w:color w:val="000000"/>
        </w:rPr>
      </w:pPr>
      <w:r>
        <w:rPr>
          <w:rFonts w:hint="eastAsia"/>
          <w:color w:val="000000"/>
        </w:rPr>
        <w:t>以上预告数据仅为初步核算数据，具体准确的财务数据以公司正式披露的2022年半年度报告为准，敬请广大投资者注意投资风险。</w:t>
      </w:r>
    </w:p>
    <w:p>
      <w:pPr>
        <w:snapToGrid w:val="0"/>
        <w:spacing w:line="360" w:lineRule="auto"/>
        <w:ind w:firstLine="460" w:firstLineChars="192"/>
        <w:rPr>
          <w:color w:val="000000"/>
        </w:rPr>
      </w:pPr>
    </w:p>
    <w:p>
      <w:pPr>
        <w:snapToGrid w:val="0"/>
        <w:spacing w:line="360" w:lineRule="auto"/>
        <w:ind w:firstLine="460" w:firstLineChars="192"/>
        <w:rPr>
          <w:color w:val="000000"/>
        </w:rPr>
      </w:pPr>
      <w:r>
        <w:rPr>
          <w:rFonts w:hint="eastAsia"/>
          <w:color w:val="000000"/>
        </w:rPr>
        <w:t>特此公告。</w:t>
      </w:r>
    </w:p>
    <w:p>
      <w:pPr>
        <w:snapToGrid w:val="0"/>
        <w:spacing w:line="360" w:lineRule="auto"/>
        <w:ind w:firstLine="460" w:firstLineChars="192"/>
        <w:jc w:val="right"/>
        <w:rPr>
          <w:color w:val="000000"/>
        </w:rPr>
      </w:pPr>
      <w:r>
        <w:rPr>
          <w:rFonts w:hint="eastAsia"/>
          <w:color w:val="000000"/>
        </w:rPr>
        <w:t>格尔软件股份有限公司董事会</w:t>
      </w:r>
    </w:p>
    <w:p>
      <w:pPr>
        <w:snapToGrid w:val="0"/>
        <w:spacing w:line="360" w:lineRule="auto"/>
        <w:ind w:firstLine="480" w:firstLineChars="200"/>
        <w:jc w:val="right"/>
      </w:pPr>
      <w:r>
        <w:rPr>
          <w:rFonts w:hint="eastAsia"/>
        </w:rPr>
        <w:t>2022年7月</w:t>
      </w:r>
      <w:r>
        <w:t>15</w:t>
      </w:r>
      <w:r>
        <w:rPr>
          <w:rFonts w:hint="eastAsia"/>
        </w:rPr>
        <w:t>日</w:t>
      </w:r>
    </w:p>
    <w:p>
      <w:pPr>
        <w:spacing w:line="360" w:lineRule="auto"/>
        <w:ind w:firstLine="420"/>
        <w:jc w:val="both"/>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宋体-WinCharSetFFFF-H">
    <w:altName w:val="宋体"/>
    <w:panose1 w:val="00000000000000000000"/>
    <w:charset w:val="86"/>
    <w:family w:val="auto"/>
    <w:pitch w:val="default"/>
    <w:sig w:usb0="00000000" w:usb1="00000000" w:usb2="00000010" w:usb3="00000000" w:csb0="00040000" w:csb1="00000000"/>
  </w:font>
  <w:font w:name="黑体-WinCharSetFFFF-H">
    <w:altName w:val="黑体"/>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722BCA"/>
    <w:multiLevelType w:val="multilevel"/>
    <w:tmpl w:val="68722BC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displayBackgroundShape w:val="1"/>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A2NGEzY2E5YjE4NDIwNDY2ODJjNzRhYTZlYjMzZTIifQ=="/>
  </w:docVars>
  <w:rsids>
    <w:rsidRoot w:val="009C6E42"/>
    <w:rsid w:val="00002459"/>
    <w:rsid w:val="0001518A"/>
    <w:rsid w:val="00034C18"/>
    <w:rsid w:val="0006001C"/>
    <w:rsid w:val="00062682"/>
    <w:rsid w:val="000805F0"/>
    <w:rsid w:val="000B2247"/>
    <w:rsid w:val="000B6613"/>
    <w:rsid w:val="000D6DC1"/>
    <w:rsid w:val="000E2099"/>
    <w:rsid w:val="000E3A8F"/>
    <w:rsid w:val="000E6472"/>
    <w:rsid w:val="000F28C0"/>
    <w:rsid w:val="00103FB2"/>
    <w:rsid w:val="00110697"/>
    <w:rsid w:val="00126977"/>
    <w:rsid w:val="0012771B"/>
    <w:rsid w:val="00131460"/>
    <w:rsid w:val="00133A94"/>
    <w:rsid w:val="001356CB"/>
    <w:rsid w:val="00163A3C"/>
    <w:rsid w:val="0017115E"/>
    <w:rsid w:val="00173872"/>
    <w:rsid w:val="00191EB6"/>
    <w:rsid w:val="001935D1"/>
    <w:rsid w:val="001A13FD"/>
    <w:rsid w:val="001B313D"/>
    <w:rsid w:val="001E14A7"/>
    <w:rsid w:val="001F1231"/>
    <w:rsid w:val="001F31B2"/>
    <w:rsid w:val="00201867"/>
    <w:rsid w:val="002115E2"/>
    <w:rsid w:val="00213E54"/>
    <w:rsid w:val="00214D08"/>
    <w:rsid w:val="00220129"/>
    <w:rsid w:val="00233B53"/>
    <w:rsid w:val="002447E5"/>
    <w:rsid w:val="0025422B"/>
    <w:rsid w:val="00261677"/>
    <w:rsid w:val="002750E8"/>
    <w:rsid w:val="00284D3B"/>
    <w:rsid w:val="00290949"/>
    <w:rsid w:val="002C7394"/>
    <w:rsid w:val="002E0BC0"/>
    <w:rsid w:val="002F1D31"/>
    <w:rsid w:val="002F20A4"/>
    <w:rsid w:val="0030246F"/>
    <w:rsid w:val="003064A7"/>
    <w:rsid w:val="003168B3"/>
    <w:rsid w:val="00323A9D"/>
    <w:rsid w:val="00325A33"/>
    <w:rsid w:val="00335674"/>
    <w:rsid w:val="003434F6"/>
    <w:rsid w:val="0037562B"/>
    <w:rsid w:val="003906BD"/>
    <w:rsid w:val="003E2EC3"/>
    <w:rsid w:val="003F4838"/>
    <w:rsid w:val="0043128F"/>
    <w:rsid w:val="00434C93"/>
    <w:rsid w:val="00441DB1"/>
    <w:rsid w:val="00456B3F"/>
    <w:rsid w:val="00462E44"/>
    <w:rsid w:val="00482B62"/>
    <w:rsid w:val="004A2F1B"/>
    <w:rsid w:val="004A51E2"/>
    <w:rsid w:val="004F5440"/>
    <w:rsid w:val="00512621"/>
    <w:rsid w:val="005143EC"/>
    <w:rsid w:val="00515436"/>
    <w:rsid w:val="00535DAE"/>
    <w:rsid w:val="00536953"/>
    <w:rsid w:val="005411D1"/>
    <w:rsid w:val="00541CB7"/>
    <w:rsid w:val="0056507B"/>
    <w:rsid w:val="0057109C"/>
    <w:rsid w:val="00581AA0"/>
    <w:rsid w:val="00582E21"/>
    <w:rsid w:val="005843C8"/>
    <w:rsid w:val="0059046A"/>
    <w:rsid w:val="005B2138"/>
    <w:rsid w:val="005C37FF"/>
    <w:rsid w:val="005C6518"/>
    <w:rsid w:val="00607864"/>
    <w:rsid w:val="00616A3F"/>
    <w:rsid w:val="0064491F"/>
    <w:rsid w:val="00654FF1"/>
    <w:rsid w:val="0067142C"/>
    <w:rsid w:val="00672DA0"/>
    <w:rsid w:val="00674272"/>
    <w:rsid w:val="006919FF"/>
    <w:rsid w:val="006A269B"/>
    <w:rsid w:val="006B1EBD"/>
    <w:rsid w:val="006C6417"/>
    <w:rsid w:val="006C6B4D"/>
    <w:rsid w:val="006C6E1C"/>
    <w:rsid w:val="006E72E7"/>
    <w:rsid w:val="00703D83"/>
    <w:rsid w:val="00732C0F"/>
    <w:rsid w:val="0075001C"/>
    <w:rsid w:val="0075122B"/>
    <w:rsid w:val="00755D25"/>
    <w:rsid w:val="00781184"/>
    <w:rsid w:val="00782594"/>
    <w:rsid w:val="00791B8D"/>
    <w:rsid w:val="00797BF7"/>
    <w:rsid w:val="007D3A51"/>
    <w:rsid w:val="007E1209"/>
    <w:rsid w:val="007E26DA"/>
    <w:rsid w:val="007F4B01"/>
    <w:rsid w:val="007F69D0"/>
    <w:rsid w:val="00861A8E"/>
    <w:rsid w:val="008709AC"/>
    <w:rsid w:val="008716AE"/>
    <w:rsid w:val="00891777"/>
    <w:rsid w:val="008A4360"/>
    <w:rsid w:val="008B09DA"/>
    <w:rsid w:val="008C42D1"/>
    <w:rsid w:val="008D3158"/>
    <w:rsid w:val="008D7D5F"/>
    <w:rsid w:val="008E450B"/>
    <w:rsid w:val="008F4B5B"/>
    <w:rsid w:val="00911423"/>
    <w:rsid w:val="00923A69"/>
    <w:rsid w:val="00940A25"/>
    <w:rsid w:val="00961C0E"/>
    <w:rsid w:val="0096659B"/>
    <w:rsid w:val="00970B7D"/>
    <w:rsid w:val="009716E5"/>
    <w:rsid w:val="009802E9"/>
    <w:rsid w:val="009A6108"/>
    <w:rsid w:val="009B3919"/>
    <w:rsid w:val="009C6E42"/>
    <w:rsid w:val="009D490D"/>
    <w:rsid w:val="009D6D85"/>
    <w:rsid w:val="00A047DF"/>
    <w:rsid w:val="00A07A43"/>
    <w:rsid w:val="00A1415E"/>
    <w:rsid w:val="00A41FFE"/>
    <w:rsid w:val="00A61F00"/>
    <w:rsid w:val="00A62962"/>
    <w:rsid w:val="00A71C97"/>
    <w:rsid w:val="00A72368"/>
    <w:rsid w:val="00A9390F"/>
    <w:rsid w:val="00A96597"/>
    <w:rsid w:val="00AC4A33"/>
    <w:rsid w:val="00AC6CB2"/>
    <w:rsid w:val="00AD7B8B"/>
    <w:rsid w:val="00B02BC2"/>
    <w:rsid w:val="00B153C5"/>
    <w:rsid w:val="00B22C1A"/>
    <w:rsid w:val="00B27DBC"/>
    <w:rsid w:val="00B31B66"/>
    <w:rsid w:val="00B77B90"/>
    <w:rsid w:val="00B8509F"/>
    <w:rsid w:val="00B90A28"/>
    <w:rsid w:val="00B91097"/>
    <w:rsid w:val="00B9334E"/>
    <w:rsid w:val="00B9474F"/>
    <w:rsid w:val="00B94DF3"/>
    <w:rsid w:val="00B95149"/>
    <w:rsid w:val="00BC13B0"/>
    <w:rsid w:val="00BD2941"/>
    <w:rsid w:val="00BE539C"/>
    <w:rsid w:val="00BF62EF"/>
    <w:rsid w:val="00C00B3E"/>
    <w:rsid w:val="00C262A1"/>
    <w:rsid w:val="00C55A63"/>
    <w:rsid w:val="00C569F2"/>
    <w:rsid w:val="00C65383"/>
    <w:rsid w:val="00C85161"/>
    <w:rsid w:val="00C90D3C"/>
    <w:rsid w:val="00C970BB"/>
    <w:rsid w:val="00CA0083"/>
    <w:rsid w:val="00CD17CF"/>
    <w:rsid w:val="00CE13E7"/>
    <w:rsid w:val="00CE5DAF"/>
    <w:rsid w:val="00CF7068"/>
    <w:rsid w:val="00D07CD5"/>
    <w:rsid w:val="00D07DCA"/>
    <w:rsid w:val="00D207A5"/>
    <w:rsid w:val="00D23697"/>
    <w:rsid w:val="00D27792"/>
    <w:rsid w:val="00D30C51"/>
    <w:rsid w:val="00D370E0"/>
    <w:rsid w:val="00D45446"/>
    <w:rsid w:val="00D64105"/>
    <w:rsid w:val="00D657AB"/>
    <w:rsid w:val="00D810EE"/>
    <w:rsid w:val="00D92124"/>
    <w:rsid w:val="00DA06E2"/>
    <w:rsid w:val="00DB096A"/>
    <w:rsid w:val="00DB75CF"/>
    <w:rsid w:val="00DC2022"/>
    <w:rsid w:val="00DC6AA1"/>
    <w:rsid w:val="00DE1453"/>
    <w:rsid w:val="00DE3EDD"/>
    <w:rsid w:val="00E1611E"/>
    <w:rsid w:val="00E21F93"/>
    <w:rsid w:val="00E33166"/>
    <w:rsid w:val="00E36290"/>
    <w:rsid w:val="00E36F81"/>
    <w:rsid w:val="00E3742F"/>
    <w:rsid w:val="00E44B3A"/>
    <w:rsid w:val="00E5542D"/>
    <w:rsid w:val="00E638CE"/>
    <w:rsid w:val="00E82A9E"/>
    <w:rsid w:val="00EA31D3"/>
    <w:rsid w:val="00EA7340"/>
    <w:rsid w:val="00EB25E7"/>
    <w:rsid w:val="00ED7676"/>
    <w:rsid w:val="00EF053F"/>
    <w:rsid w:val="00F0408C"/>
    <w:rsid w:val="00F10FE9"/>
    <w:rsid w:val="00F22ADD"/>
    <w:rsid w:val="00F43499"/>
    <w:rsid w:val="00F65091"/>
    <w:rsid w:val="00F73041"/>
    <w:rsid w:val="00F83497"/>
    <w:rsid w:val="00FB2AC6"/>
    <w:rsid w:val="00FB4734"/>
    <w:rsid w:val="00FB6F73"/>
    <w:rsid w:val="00FC0663"/>
    <w:rsid w:val="00FD1530"/>
    <w:rsid w:val="00FD3001"/>
    <w:rsid w:val="00FE47EA"/>
    <w:rsid w:val="00FF2439"/>
    <w:rsid w:val="00FF49AD"/>
    <w:rsid w:val="01E3316A"/>
    <w:rsid w:val="02214FC3"/>
    <w:rsid w:val="02B95212"/>
    <w:rsid w:val="04383D88"/>
    <w:rsid w:val="06C44988"/>
    <w:rsid w:val="073D3EE8"/>
    <w:rsid w:val="092822A5"/>
    <w:rsid w:val="0AC67B39"/>
    <w:rsid w:val="0B100CAC"/>
    <w:rsid w:val="0C1D2426"/>
    <w:rsid w:val="0C490DA4"/>
    <w:rsid w:val="0CA3523B"/>
    <w:rsid w:val="0DC21D96"/>
    <w:rsid w:val="0E41082D"/>
    <w:rsid w:val="0ED830F1"/>
    <w:rsid w:val="0F851FF3"/>
    <w:rsid w:val="10597E57"/>
    <w:rsid w:val="117F52E5"/>
    <w:rsid w:val="13143F34"/>
    <w:rsid w:val="1A8011A8"/>
    <w:rsid w:val="1B037CDD"/>
    <w:rsid w:val="1D093BE7"/>
    <w:rsid w:val="1E450493"/>
    <w:rsid w:val="21597A58"/>
    <w:rsid w:val="216A1B8D"/>
    <w:rsid w:val="21ED770F"/>
    <w:rsid w:val="224462EA"/>
    <w:rsid w:val="22FE2970"/>
    <w:rsid w:val="232D64B7"/>
    <w:rsid w:val="234447AB"/>
    <w:rsid w:val="23B37118"/>
    <w:rsid w:val="23CF0795"/>
    <w:rsid w:val="24C108AD"/>
    <w:rsid w:val="25483E3A"/>
    <w:rsid w:val="2859184C"/>
    <w:rsid w:val="28A90D4C"/>
    <w:rsid w:val="2A1022F5"/>
    <w:rsid w:val="2BEA0F44"/>
    <w:rsid w:val="2C4F2AD7"/>
    <w:rsid w:val="2CC8097D"/>
    <w:rsid w:val="2E227416"/>
    <w:rsid w:val="2EF01BE2"/>
    <w:rsid w:val="2F8751FB"/>
    <w:rsid w:val="2FD327D9"/>
    <w:rsid w:val="2FD94771"/>
    <w:rsid w:val="32654859"/>
    <w:rsid w:val="32BA5BD3"/>
    <w:rsid w:val="331A4B9F"/>
    <w:rsid w:val="33E653E8"/>
    <w:rsid w:val="37092B3E"/>
    <w:rsid w:val="38D26630"/>
    <w:rsid w:val="3B277FFC"/>
    <w:rsid w:val="3D356685"/>
    <w:rsid w:val="3E920F0F"/>
    <w:rsid w:val="3FB222DC"/>
    <w:rsid w:val="407E0AA8"/>
    <w:rsid w:val="40AC16CA"/>
    <w:rsid w:val="416C38DF"/>
    <w:rsid w:val="436B7FDA"/>
    <w:rsid w:val="44064FCD"/>
    <w:rsid w:val="44C7795C"/>
    <w:rsid w:val="45B253A3"/>
    <w:rsid w:val="46092479"/>
    <w:rsid w:val="467C66C9"/>
    <w:rsid w:val="47FE7124"/>
    <w:rsid w:val="490876A7"/>
    <w:rsid w:val="496A4CD3"/>
    <w:rsid w:val="49B86908"/>
    <w:rsid w:val="49E12C87"/>
    <w:rsid w:val="4B3D59C8"/>
    <w:rsid w:val="4BF70D33"/>
    <w:rsid w:val="4DA62092"/>
    <w:rsid w:val="4EF4496D"/>
    <w:rsid w:val="4F486310"/>
    <w:rsid w:val="4F59180F"/>
    <w:rsid w:val="507024A0"/>
    <w:rsid w:val="557030FD"/>
    <w:rsid w:val="56E22B76"/>
    <w:rsid w:val="56EF4352"/>
    <w:rsid w:val="58556BFC"/>
    <w:rsid w:val="5A070C42"/>
    <w:rsid w:val="5A150BDD"/>
    <w:rsid w:val="5A7E1718"/>
    <w:rsid w:val="5AF87FEB"/>
    <w:rsid w:val="5B4F7984"/>
    <w:rsid w:val="5C332A84"/>
    <w:rsid w:val="5CFC0A5F"/>
    <w:rsid w:val="5E8F65BA"/>
    <w:rsid w:val="607E7678"/>
    <w:rsid w:val="662034EA"/>
    <w:rsid w:val="663049B1"/>
    <w:rsid w:val="663775A4"/>
    <w:rsid w:val="66720B4E"/>
    <w:rsid w:val="67596B94"/>
    <w:rsid w:val="684E0A93"/>
    <w:rsid w:val="69411A88"/>
    <w:rsid w:val="6A0D0B87"/>
    <w:rsid w:val="6AB54AA0"/>
    <w:rsid w:val="6D034921"/>
    <w:rsid w:val="6EAC4C03"/>
    <w:rsid w:val="6F572204"/>
    <w:rsid w:val="70285E66"/>
    <w:rsid w:val="70765533"/>
    <w:rsid w:val="713B55CA"/>
    <w:rsid w:val="71A05D5C"/>
    <w:rsid w:val="722B71FD"/>
    <w:rsid w:val="73B86637"/>
    <w:rsid w:val="75D352C7"/>
    <w:rsid w:val="773430B1"/>
    <w:rsid w:val="7742482B"/>
    <w:rsid w:val="77781FC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21"/>
    <w:semiHidden/>
    <w:unhideWhenUsed/>
    <w:qFormat/>
    <w:uiPriority w:val="99"/>
    <w:rPr>
      <w:rFonts w:ascii="宋体"/>
      <w:sz w:val="18"/>
      <w:szCs w:val="18"/>
    </w:rPr>
  </w:style>
  <w:style w:type="paragraph" w:styleId="3">
    <w:name w:val="annotation text"/>
    <w:basedOn w:val="1"/>
    <w:link w:val="23"/>
    <w:unhideWhenUsed/>
    <w:qFormat/>
    <w:uiPriority w:val="0"/>
  </w:style>
  <w:style w:type="paragraph" w:styleId="4">
    <w:name w:val="Date"/>
    <w:basedOn w:val="1"/>
    <w:next w:val="1"/>
    <w:link w:val="18"/>
    <w:semiHidden/>
    <w:unhideWhenUsed/>
    <w:qFormat/>
    <w:uiPriority w:val="99"/>
    <w:pPr>
      <w:ind w:left="100" w:leftChars="2500"/>
    </w:pPr>
  </w:style>
  <w:style w:type="paragraph" w:styleId="5">
    <w:name w:val="footer"/>
    <w:basedOn w:val="1"/>
    <w:link w:val="20"/>
    <w:unhideWhenUsed/>
    <w:qFormat/>
    <w:uiPriority w:val="99"/>
    <w:pPr>
      <w:tabs>
        <w:tab w:val="center" w:pos="4153"/>
        <w:tab w:val="right" w:pos="8306"/>
      </w:tabs>
      <w:snapToGrid w:val="0"/>
    </w:pPr>
    <w:rPr>
      <w:sz w:val="18"/>
      <w:szCs w:val="18"/>
    </w:rPr>
  </w:style>
  <w:style w:type="paragraph" w:styleId="6">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pPr>
  </w:style>
  <w:style w:type="paragraph" w:styleId="8">
    <w:name w:val="annotation subject"/>
    <w:basedOn w:val="3"/>
    <w:next w:val="3"/>
    <w:link w:val="24"/>
    <w:semiHidden/>
    <w:unhideWhenUsed/>
    <w:qFormat/>
    <w:uiPriority w:val="99"/>
    <w:rPr>
      <w:b/>
      <w:bCs/>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character" w:styleId="13">
    <w:name w:val="Hyperlink"/>
    <w:basedOn w:val="11"/>
    <w:qFormat/>
    <w:uiPriority w:val="0"/>
    <w:rPr>
      <w:color w:val="0000FF"/>
      <w:u w:val="single"/>
    </w:rPr>
  </w:style>
  <w:style w:type="character" w:styleId="14">
    <w:name w:val="annotation reference"/>
    <w:basedOn w:val="11"/>
    <w:unhideWhenUsed/>
    <w:qFormat/>
    <w:uiPriority w:val="0"/>
    <w:rPr>
      <w:sz w:val="21"/>
      <w:szCs w:val="21"/>
    </w:rPr>
  </w:style>
  <w:style w:type="paragraph" w:customStyle="1" w:styleId="15">
    <w:name w:val="Default"/>
    <w:link w:val="16"/>
    <w:qFormat/>
    <w:uiPriority w:val="0"/>
    <w:pPr>
      <w:widowControl w:val="0"/>
      <w:autoSpaceDE w:val="0"/>
      <w:autoSpaceDN w:val="0"/>
      <w:adjustRightInd w:val="0"/>
    </w:pPr>
    <w:rPr>
      <w:rFonts w:ascii="楷体_GB2312" w:hAnsi="Times New Roman" w:eastAsia="楷体_GB2312" w:cs="Times New Roman"/>
      <w:color w:val="000000"/>
      <w:sz w:val="24"/>
      <w:szCs w:val="24"/>
      <w:lang w:val="en-US" w:eastAsia="zh-CN" w:bidi="ar-SA"/>
    </w:rPr>
  </w:style>
  <w:style w:type="character" w:customStyle="1" w:styleId="16">
    <w:name w:val="Default Char"/>
    <w:link w:val="15"/>
    <w:qFormat/>
    <w:uiPriority w:val="0"/>
    <w:rPr>
      <w:rFonts w:ascii="楷体_GB2312" w:hAnsi="Times New Roman" w:eastAsia="楷体_GB2312" w:cs="Times New Roman"/>
      <w:color w:val="000000"/>
      <w:kern w:val="0"/>
      <w:sz w:val="24"/>
      <w:szCs w:val="24"/>
    </w:rPr>
  </w:style>
  <w:style w:type="paragraph" w:styleId="17">
    <w:name w:val="List Paragraph"/>
    <w:basedOn w:val="1"/>
    <w:qFormat/>
    <w:uiPriority w:val="34"/>
    <w:pPr>
      <w:widowControl w:val="0"/>
      <w:ind w:firstLine="420" w:firstLineChars="200"/>
      <w:jc w:val="both"/>
    </w:pPr>
    <w:rPr>
      <w:rFonts w:ascii="Calibri" w:hAnsi="Calibri"/>
      <w:kern w:val="2"/>
      <w:sz w:val="21"/>
      <w:szCs w:val="22"/>
    </w:rPr>
  </w:style>
  <w:style w:type="character" w:customStyle="1" w:styleId="18">
    <w:name w:val="日期 字符"/>
    <w:basedOn w:val="11"/>
    <w:link w:val="4"/>
    <w:semiHidden/>
    <w:qFormat/>
    <w:uiPriority w:val="99"/>
    <w:rPr>
      <w:rFonts w:ascii="Times New Roman" w:hAnsi="Times New Roman" w:eastAsia="宋体" w:cs="Times New Roman"/>
      <w:kern w:val="0"/>
      <w:sz w:val="24"/>
      <w:szCs w:val="24"/>
    </w:rPr>
  </w:style>
  <w:style w:type="character" w:customStyle="1" w:styleId="19">
    <w:name w:val="页眉 字符"/>
    <w:basedOn w:val="11"/>
    <w:link w:val="6"/>
    <w:qFormat/>
    <w:uiPriority w:val="99"/>
    <w:rPr>
      <w:rFonts w:ascii="Times New Roman" w:hAnsi="Times New Roman" w:eastAsia="宋体" w:cs="Times New Roman"/>
      <w:kern w:val="0"/>
      <w:sz w:val="18"/>
      <w:szCs w:val="18"/>
    </w:rPr>
  </w:style>
  <w:style w:type="character" w:customStyle="1" w:styleId="20">
    <w:name w:val="页脚 字符"/>
    <w:basedOn w:val="11"/>
    <w:link w:val="5"/>
    <w:qFormat/>
    <w:uiPriority w:val="99"/>
    <w:rPr>
      <w:rFonts w:ascii="Times New Roman" w:hAnsi="Times New Roman" w:eastAsia="宋体" w:cs="Times New Roman"/>
      <w:kern w:val="0"/>
      <w:sz w:val="18"/>
      <w:szCs w:val="18"/>
    </w:rPr>
  </w:style>
  <w:style w:type="character" w:customStyle="1" w:styleId="21">
    <w:name w:val="文档结构图 字符"/>
    <w:basedOn w:val="11"/>
    <w:link w:val="2"/>
    <w:semiHidden/>
    <w:qFormat/>
    <w:uiPriority w:val="99"/>
    <w:rPr>
      <w:rFonts w:ascii="宋体" w:hAnsi="Times New Roman" w:eastAsia="宋体" w:cs="Times New Roman"/>
      <w:kern w:val="0"/>
      <w:sz w:val="18"/>
      <w:szCs w:val="18"/>
    </w:rPr>
  </w:style>
  <w:style w:type="paragraph" w:customStyle="1" w:styleId="22">
    <w:name w:val="Revision"/>
    <w:hidden/>
    <w:semiHidden/>
    <w:qFormat/>
    <w:uiPriority w:val="99"/>
    <w:rPr>
      <w:rFonts w:ascii="Times New Roman" w:hAnsi="Times New Roman" w:eastAsia="宋体" w:cs="Times New Roman"/>
      <w:sz w:val="24"/>
      <w:szCs w:val="24"/>
      <w:lang w:val="en-US" w:eastAsia="zh-CN" w:bidi="ar-SA"/>
    </w:rPr>
  </w:style>
  <w:style w:type="character" w:customStyle="1" w:styleId="23">
    <w:name w:val="批注文字 字符"/>
    <w:basedOn w:val="11"/>
    <w:link w:val="3"/>
    <w:qFormat/>
    <w:uiPriority w:val="0"/>
    <w:rPr>
      <w:sz w:val="24"/>
      <w:szCs w:val="24"/>
    </w:rPr>
  </w:style>
  <w:style w:type="character" w:customStyle="1" w:styleId="24">
    <w:name w:val="批注主题 字符"/>
    <w:basedOn w:val="23"/>
    <w:link w:val="8"/>
    <w:semiHidden/>
    <w:qFormat/>
    <w:uiPriority w:val="99"/>
    <w:rPr>
      <w:b/>
      <w:bCs/>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BC53291-24DE-4514-BADA-DD9B372B6E1B}">
  <ds:schemaRefs/>
</ds:datastoreItem>
</file>

<file path=docProps/app.xml><?xml version="1.0" encoding="utf-8"?>
<Properties xmlns="http://schemas.openxmlformats.org/officeDocument/2006/extended-properties" xmlns:vt="http://schemas.openxmlformats.org/officeDocument/2006/docPropsVTypes">
  <Template>Normal</Template>
  <Pages>2</Pages>
  <Words>142</Words>
  <Characters>816</Characters>
  <Lines>6</Lines>
  <Paragraphs>1</Paragraphs>
  <TotalTime>63</TotalTime>
  <ScaleCrop>false</ScaleCrop>
  <LinksUpToDate>false</LinksUpToDate>
  <CharactersWithSpaces>957</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2022-07-12T15:10:00Z</dcterms:created>
  <dc:creator>admin</dc:creator>
  <cp:lastModifiedBy>杨易</cp:lastModifiedBy>
  <cp:lastPrinted>2019-06-12T08:48:00Z</cp:lastPrinted>
  <dcterms:modified xsi:type="dcterms:W3CDTF">2022-07-14T06:17:49Z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3688FCB6DA954F7E93EDBF464F35526B</vt:lpwstr>
  </property>
</Properties>
</file>