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eastAsiaTheme="minorEastAsia"/>
          <w:sz w:val="24"/>
          <w:szCs w:val="24"/>
          <w:lang w:val="en-US" w:eastAsia="zh-CN"/>
        </w:rPr>
      </w:pPr>
      <w:bookmarkStart w:id="0" w:name="_Hlk512378410"/>
      <w:r>
        <w:rPr>
          <w:rFonts w:eastAsiaTheme="minorEastAsia"/>
          <w:sz w:val="24"/>
          <w:szCs w:val="24"/>
        </w:rPr>
        <w:t>证券代码：603232           证券简称：格尔软件        公告编号：202</w:t>
      </w:r>
      <w:r>
        <w:rPr>
          <w:rFonts w:hint="eastAsia" w:eastAsiaTheme="minorEastAsia"/>
          <w:sz w:val="24"/>
          <w:szCs w:val="24"/>
          <w:highlight w:val="none"/>
        </w:rPr>
        <w:t>2</w:t>
      </w:r>
      <w:r>
        <w:rPr>
          <w:rFonts w:eastAsiaTheme="minorEastAsia"/>
          <w:sz w:val="24"/>
          <w:szCs w:val="24"/>
          <w:highlight w:val="none"/>
        </w:rPr>
        <w:t>-</w:t>
      </w:r>
      <w:r>
        <w:rPr>
          <w:rFonts w:hint="eastAsia" w:eastAsiaTheme="minorEastAsia"/>
          <w:sz w:val="24"/>
          <w:szCs w:val="24"/>
          <w:highlight w:val="none"/>
          <w:lang w:val="en-US" w:eastAsia="zh-CN"/>
        </w:rPr>
        <w:t>044</w:t>
      </w:r>
    </w:p>
    <w:p>
      <w:pPr>
        <w:adjustRightInd w:val="0"/>
        <w:snapToGrid w:val="0"/>
        <w:spacing w:before="156" w:beforeLines="50" w:line="360" w:lineRule="auto"/>
        <w:jc w:val="center"/>
        <w:rPr>
          <w:rFonts w:ascii="黑体" w:hAnsi="黑体" w:eastAsia="黑体" w:cs="黑体"/>
          <w:b/>
          <w:bCs/>
          <w:color w:val="FF0000"/>
          <w:kern w:val="0"/>
          <w:sz w:val="32"/>
          <w:szCs w:val="32"/>
        </w:rPr>
      </w:pPr>
      <w:r>
        <w:rPr>
          <w:rFonts w:hint="eastAsia" w:ascii="黑体" w:hAnsi="黑体" w:eastAsia="黑体" w:cs="黑体"/>
          <w:b/>
          <w:bCs/>
          <w:color w:val="FF0000"/>
          <w:kern w:val="0"/>
          <w:sz w:val="32"/>
          <w:szCs w:val="32"/>
        </w:rPr>
        <w:t>格尔软件</w:t>
      </w:r>
      <w:r>
        <w:rPr>
          <w:rFonts w:ascii="黑体" w:hAnsi="黑体" w:eastAsia="黑体" w:cs="黑体"/>
          <w:b/>
          <w:bCs/>
          <w:color w:val="FF0000"/>
          <w:kern w:val="0"/>
          <w:sz w:val="32"/>
          <w:szCs w:val="32"/>
        </w:rPr>
        <w:t>股份有限公司</w:t>
      </w:r>
    </w:p>
    <w:p>
      <w:pPr>
        <w:adjustRightInd w:val="0"/>
        <w:snapToGrid w:val="0"/>
        <w:spacing w:after="156" w:afterLines="50" w:line="360" w:lineRule="auto"/>
        <w:jc w:val="center"/>
        <w:rPr>
          <w:rFonts w:ascii="黑体" w:hAnsi="黑体" w:eastAsia="黑体" w:cs="黑体"/>
          <w:b/>
          <w:bCs/>
          <w:color w:val="FF0000"/>
          <w:kern w:val="0"/>
          <w:sz w:val="32"/>
          <w:szCs w:val="32"/>
        </w:rPr>
      </w:pPr>
      <w:r>
        <w:rPr>
          <w:rFonts w:ascii="黑体" w:hAnsi="黑体" w:eastAsia="黑体" w:cs="黑体"/>
          <w:b/>
          <w:bCs/>
          <w:color w:val="FF0000"/>
          <w:kern w:val="0"/>
          <w:sz w:val="32"/>
          <w:szCs w:val="32"/>
        </w:rPr>
        <w:t>20</w:t>
      </w:r>
      <w:r>
        <w:rPr>
          <w:rFonts w:hint="eastAsia" w:ascii="黑体" w:hAnsi="黑体" w:eastAsia="黑体" w:cs="黑体"/>
          <w:b/>
          <w:bCs/>
          <w:color w:val="FF0000"/>
          <w:kern w:val="0"/>
          <w:sz w:val="32"/>
          <w:szCs w:val="32"/>
        </w:rPr>
        <w:t>22年半年度募集资金存放与实际使用情况专项报告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黑体" w:hAnsi="黑体" w:eastAsia="黑体" w:cs="黑体"/>
          <w:b/>
          <w:bCs/>
          <w:color w:val="FF0000"/>
          <w:kern w:val="0"/>
          <w:sz w:val="36"/>
          <w:szCs w:val="36"/>
        </w:rPr>
      </w:pPr>
      <w:r>
        <w:rPr>
          <w:rFonts w:hint="eastAsia" w:ascii="宋体" w:hAnsi="宋体" w:cs="宋体"/>
          <w:sz w:val="24"/>
          <w:szCs w:val="24"/>
        </w:rPr>
        <w:t xml:space="preserve">    本公司董事会及全体董事保证本公告内容不存在任何虚假记载、误导性陈述或者重大遗漏，并对其内容的真实性、准确性和完整性承担法律责任。</w:t>
      </w:r>
    </w:p>
    <w:bookmarkEnd w:id="0"/>
    <w:p>
      <w:pPr>
        <w:snapToGrid w:val="0"/>
        <w:spacing w:before="156" w:beforeLines="50" w:line="360" w:lineRule="auto"/>
        <w:ind w:firstLine="420" w:firstLineChars="175"/>
        <w:rPr>
          <w:rFonts w:eastAsiaTheme="minorEastAsia"/>
          <w:sz w:val="24"/>
          <w:szCs w:val="24"/>
        </w:rPr>
      </w:pPr>
      <w:r>
        <w:rPr>
          <w:rFonts w:eastAsiaTheme="minorEastAsia"/>
          <w:sz w:val="24"/>
          <w:szCs w:val="24"/>
        </w:rPr>
        <w:t>根据中国证券监督管理委员会《上市公司监管指引第2号——上市公司募集资金管理和使用的监管要求》</w:t>
      </w:r>
      <w:r>
        <w:rPr>
          <w:rFonts w:hint="eastAsia" w:eastAsiaTheme="minorEastAsia"/>
          <w:sz w:val="24"/>
          <w:szCs w:val="24"/>
        </w:rPr>
        <w:t>（2022年修订）</w:t>
      </w:r>
      <w:r>
        <w:rPr>
          <w:rFonts w:eastAsiaTheme="minorEastAsia"/>
          <w:sz w:val="24"/>
          <w:szCs w:val="24"/>
        </w:rPr>
        <w:t>及上海证券交易所发布的《上海证券交易所上市公司自律监管指引第1号——规范运作》</w:t>
      </w:r>
      <w:r>
        <w:rPr>
          <w:rFonts w:hint="eastAsia" w:eastAsiaTheme="minorEastAsia"/>
          <w:sz w:val="24"/>
          <w:szCs w:val="24"/>
        </w:rPr>
        <w:t>（</w:t>
      </w:r>
      <w:r>
        <w:rPr>
          <w:rFonts w:eastAsiaTheme="minorEastAsia"/>
          <w:sz w:val="24"/>
          <w:szCs w:val="24"/>
        </w:rPr>
        <w:t>上证发[2022]2号</w:t>
      </w:r>
      <w:r>
        <w:rPr>
          <w:rFonts w:hint="eastAsia" w:eastAsiaTheme="minorEastAsia"/>
          <w:sz w:val="24"/>
          <w:szCs w:val="24"/>
        </w:rPr>
        <w:t>）</w:t>
      </w:r>
      <w:r>
        <w:rPr>
          <w:rFonts w:eastAsiaTheme="minorEastAsia"/>
          <w:sz w:val="24"/>
          <w:szCs w:val="24"/>
        </w:rPr>
        <w:t>等有关规定，将</w:t>
      </w:r>
      <w:r>
        <w:rPr>
          <w:rFonts w:hint="eastAsia" w:eastAsiaTheme="minorEastAsia"/>
          <w:sz w:val="24"/>
          <w:szCs w:val="24"/>
        </w:rPr>
        <w:t>格尔软件股份有限</w:t>
      </w:r>
      <w:r>
        <w:rPr>
          <w:rFonts w:eastAsiaTheme="minorEastAsia"/>
          <w:sz w:val="24"/>
          <w:szCs w:val="24"/>
        </w:rPr>
        <w:t>公司</w:t>
      </w:r>
      <w:r>
        <w:rPr>
          <w:rFonts w:hint="eastAsia" w:eastAsiaTheme="minorEastAsia"/>
          <w:sz w:val="24"/>
          <w:szCs w:val="24"/>
        </w:rPr>
        <w:t>（以下简称“公司”）</w:t>
      </w:r>
      <w:r>
        <w:rPr>
          <w:rFonts w:eastAsiaTheme="minorEastAsia"/>
          <w:sz w:val="24"/>
          <w:szCs w:val="24"/>
        </w:rPr>
        <w:t>202</w:t>
      </w:r>
      <w:r>
        <w:rPr>
          <w:rFonts w:hint="eastAsia" w:eastAsiaTheme="minorEastAsia"/>
          <w:sz w:val="24"/>
          <w:szCs w:val="24"/>
        </w:rPr>
        <w:t>2</w:t>
      </w:r>
      <w:r>
        <w:rPr>
          <w:rFonts w:eastAsiaTheme="minorEastAsia"/>
          <w:sz w:val="24"/>
          <w:szCs w:val="24"/>
        </w:rPr>
        <w:t>年</w:t>
      </w:r>
      <w:r>
        <w:rPr>
          <w:rFonts w:hint="eastAsia" w:eastAsiaTheme="minorEastAsia"/>
          <w:sz w:val="24"/>
          <w:szCs w:val="24"/>
        </w:rPr>
        <w:t>半年</w:t>
      </w:r>
      <w:r>
        <w:rPr>
          <w:rFonts w:eastAsiaTheme="minorEastAsia"/>
          <w:sz w:val="24"/>
          <w:szCs w:val="24"/>
        </w:rPr>
        <w:t>度募集资金存放与实际使用情况专项说明如下：</w:t>
      </w:r>
    </w:p>
    <w:p>
      <w:p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一、募集资金基本情况</w:t>
      </w:r>
    </w:p>
    <w:p>
      <w:p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（一）实际募集资金金额、资金到位时间</w:t>
      </w:r>
    </w:p>
    <w:p>
      <w:pPr>
        <w:snapToGrid w:val="0"/>
        <w:spacing w:line="360" w:lineRule="auto"/>
        <w:ind w:firstLine="420" w:firstLineChars="175"/>
        <w:rPr>
          <w:rFonts w:eastAsiaTheme="minorEastAsia"/>
          <w:sz w:val="24"/>
          <w:szCs w:val="24"/>
        </w:rPr>
      </w:pPr>
      <w:r>
        <w:rPr>
          <w:rFonts w:eastAsiaTheme="minorEastAsia"/>
          <w:sz w:val="24"/>
          <w:szCs w:val="24"/>
        </w:rPr>
        <w:t>经中国证券监督管理委员会《关于核准格尔软件股份有限公司非公开发行股票的批复》</w:t>
      </w:r>
      <w:r>
        <w:rPr>
          <w:rFonts w:hint="eastAsia" w:eastAsiaTheme="minorEastAsia"/>
          <w:sz w:val="24"/>
          <w:szCs w:val="24"/>
        </w:rPr>
        <w:t>（</w:t>
      </w:r>
      <w:r>
        <w:rPr>
          <w:rFonts w:eastAsiaTheme="minorEastAsia"/>
          <w:sz w:val="24"/>
          <w:szCs w:val="24"/>
        </w:rPr>
        <w:t>证监许可</w:t>
      </w:r>
      <w:r>
        <w:rPr>
          <w:rFonts w:hint="eastAsia" w:eastAsiaTheme="minorEastAsia"/>
          <w:sz w:val="24"/>
          <w:szCs w:val="24"/>
        </w:rPr>
        <w:t>[</w:t>
      </w:r>
      <w:r>
        <w:rPr>
          <w:rFonts w:eastAsiaTheme="minorEastAsia"/>
          <w:sz w:val="24"/>
          <w:szCs w:val="24"/>
        </w:rPr>
        <w:t>2020</w:t>
      </w:r>
      <w:r>
        <w:rPr>
          <w:rFonts w:hint="eastAsia" w:eastAsiaTheme="minorEastAsia"/>
          <w:sz w:val="24"/>
          <w:szCs w:val="24"/>
        </w:rPr>
        <w:t>]</w:t>
      </w:r>
      <w:r>
        <w:rPr>
          <w:rFonts w:eastAsiaTheme="minorEastAsia"/>
          <w:sz w:val="24"/>
          <w:szCs w:val="24"/>
        </w:rPr>
        <w:t>1328号</w:t>
      </w:r>
      <w:r>
        <w:rPr>
          <w:rFonts w:hint="eastAsia" w:eastAsiaTheme="minorEastAsia"/>
          <w:sz w:val="24"/>
          <w:szCs w:val="24"/>
        </w:rPr>
        <w:t>）</w:t>
      </w:r>
      <w:r>
        <w:rPr>
          <w:rFonts w:eastAsiaTheme="minorEastAsia"/>
          <w:sz w:val="24"/>
          <w:szCs w:val="24"/>
        </w:rPr>
        <w:t>核准，公司实际非公开发行人民币A股股票20,901,134股</w:t>
      </w:r>
      <w:r>
        <w:rPr>
          <w:rFonts w:hint="eastAsia" w:eastAsiaTheme="minorEastAsia"/>
          <w:sz w:val="24"/>
          <w:szCs w:val="24"/>
        </w:rPr>
        <w:t>（</w:t>
      </w:r>
      <w:r>
        <w:rPr>
          <w:rFonts w:eastAsiaTheme="minorEastAsia"/>
          <w:sz w:val="24"/>
          <w:szCs w:val="24"/>
        </w:rPr>
        <w:t>每股面值1.00元人民币</w:t>
      </w:r>
      <w:r>
        <w:rPr>
          <w:rFonts w:hint="eastAsia" w:eastAsiaTheme="minorEastAsia"/>
          <w:sz w:val="24"/>
          <w:szCs w:val="24"/>
        </w:rPr>
        <w:t>）</w:t>
      </w:r>
      <w:r>
        <w:rPr>
          <w:rFonts w:eastAsiaTheme="minorEastAsia"/>
          <w:sz w:val="24"/>
          <w:szCs w:val="24"/>
        </w:rPr>
        <w:t>，每股发行价人民币30.85元。本次非公开发行募集资金总额为644,799,983.90元，扣除发行费用人民币8,844,116.58元(不含税)后，募集资金净额为635,955,867.32元。上会会计师事务所(特殊普通合伙)已于2020年8月25日对本次非公开发行的资金到位情况进行了审验，并出具了《验资报告》</w:t>
      </w:r>
      <w:r>
        <w:rPr>
          <w:rFonts w:hint="eastAsia" w:eastAsiaTheme="minorEastAsia"/>
          <w:sz w:val="24"/>
          <w:szCs w:val="24"/>
        </w:rPr>
        <w:t>（</w:t>
      </w:r>
      <w:r>
        <w:rPr>
          <w:rFonts w:eastAsiaTheme="minorEastAsia"/>
          <w:sz w:val="24"/>
          <w:szCs w:val="24"/>
        </w:rPr>
        <w:t>上会师报字</w:t>
      </w:r>
      <w:r>
        <w:rPr>
          <w:rFonts w:hint="eastAsia" w:eastAsiaTheme="minorEastAsia"/>
          <w:sz w:val="24"/>
          <w:szCs w:val="24"/>
        </w:rPr>
        <w:t>（</w:t>
      </w:r>
      <w:r>
        <w:rPr>
          <w:rFonts w:eastAsiaTheme="minorEastAsia"/>
          <w:sz w:val="24"/>
          <w:szCs w:val="24"/>
        </w:rPr>
        <w:t>2020</w:t>
      </w:r>
      <w:r>
        <w:rPr>
          <w:rFonts w:hint="eastAsia" w:eastAsiaTheme="minorEastAsia"/>
          <w:sz w:val="24"/>
          <w:szCs w:val="24"/>
        </w:rPr>
        <w:t>）</w:t>
      </w:r>
      <w:r>
        <w:rPr>
          <w:rFonts w:eastAsiaTheme="minorEastAsia"/>
          <w:sz w:val="24"/>
          <w:szCs w:val="24"/>
        </w:rPr>
        <w:t>第6894号</w:t>
      </w:r>
      <w:r>
        <w:rPr>
          <w:rFonts w:hint="eastAsia" w:eastAsiaTheme="minorEastAsia"/>
          <w:sz w:val="24"/>
          <w:szCs w:val="24"/>
        </w:rPr>
        <w:t>）</w:t>
      </w:r>
      <w:r>
        <w:rPr>
          <w:rFonts w:eastAsiaTheme="minorEastAsia"/>
          <w:sz w:val="24"/>
          <w:szCs w:val="24"/>
        </w:rPr>
        <w:t>。公司已对募集资金进行了专户管理。</w:t>
      </w:r>
    </w:p>
    <w:p>
      <w:p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（二）募集资金使用与结余情况</w:t>
      </w:r>
    </w:p>
    <w:p>
      <w:pPr>
        <w:snapToGrid w:val="0"/>
        <w:spacing w:line="360" w:lineRule="auto"/>
        <w:ind w:firstLine="420" w:firstLineChars="175"/>
        <w:jc w:val="right"/>
        <w:rPr>
          <w:color w:val="000000"/>
          <w:kern w:val="0"/>
          <w:sz w:val="24"/>
          <w:szCs w:val="24"/>
        </w:rPr>
      </w:pPr>
      <w:r>
        <w:rPr>
          <w:rFonts w:hint="eastAsia"/>
          <w:color w:val="000000"/>
          <w:kern w:val="0"/>
          <w:sz w:val="24"/>
          <w:szCs w:val="24"/>
        </w:rPr>
        <w:t>截至202</w:t>
      </w:r>
      <w:r>
        <w:rPr>
          <w:color w:val="000000"/>
          <w:kern w:val="0"/>
          <w:sz w:val="24"/>
          <w:szCs w:val="24"/>
        </w:rPr>
        <w:t>2</w:t>
      </w:r>
      <w:r>
        <w:rPr>
          <w:rFonts w:hint="eastAsia"/>
          <w:color w:val="000000"/>
          <w:kern w:val="0"/>
          <w:sz w:val="24"/>
          <w:szCs w:val="24"/>
        </w:rPr>
        <w:t>年</w:t>
      </w:r>
      <w:r>
        <w:rPr>
          <w:color w:val="000000"/>
          <w:kern w:val="0"/>
          <w:sz w:val="24"/>
          <w:szCs w:val="24"/>
        </w:rPr>
        <w:t>6</w:t>
      </w:r>
      <w:r>
        <w:rPr>
          <w:rFonts w:hint="eastAsia"/>
          <w:color w:val="000000"/>
          <w:kern w:val="0"/>
          <w:sz w:val="24"/>
          <w:szCs w:val="24"/>
        </w:rPr>
        <w:t>月3</w:t>
      </w:r>
      <w:r>
        <w:rPr>
          <w:color w:val="000000"/>
          <w:kern w:val="0"/>
          <w:sz w:val="24"/>
          <w:szCs w:val="24"/>
        </w:rPr>
        <w:t>0</w:t>
      </w:r>
      <w:r>
        <w:rPr>
          <w:rFonts w:hint="eastAsia"/>
          <w:color w:val="000000"/>
          <w:kern w:val="0"/>
          <w:sz w:val="24"/>
          <w:szCs w:val="24"/>
        </w:rPr>
        <w:t>日，公司使用非公开发行募集资金具体存放情况如下</w:t>
      </w:r>
    </w:p>
    <w:p>
      <w:pPr>
        <w:snapToGrid w:val="0"/>
        <w:spacing w:line="360" w:lineRule="auto"/>
        <w:ind w:right="240" w:firstLine="420" w:firstLineChars="175"/>
        <w:jc w:val="right"/>
        <w:rPr>
          <w:color w:val="000000"/>
          <w:kern w:val="0"/>
          <w:sz w:val="24"/>
          <w:szCs w:val="24"/>
        </w:rPr>
      </w:pPr>
      <w:r>
        <w:rPr>
          <w:rFonts w:hint="eastAsia"/>
          <w:color w:val="000000"/>
          <w:kern w:val="0"/>
          <w:sz w:val="24"/>
          <w:szCs w:val="24"/>
        </w:rPr>
        <w:t>金额单位：人民币元</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9"/>
        <w:gridCol w:w="2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5799" w:type="dxa"/>
            <w:vAlign w:val="center"/>
          </w:tcPr>
          <w:p>
            <w:pPr>
              <w:widowControl/>
              <w:spacing w:line="360" w:lineRule="auto"/>
              <w:jc w:val="center"/>
              <w:rPr>
                <w:rFonts w:ascii="宋体" w:hAnsi="宋体"/>
                <w:b/>
                <w:bCs/>
                <w:sz w:val="24"/>
                <w:szCs w:val="24"/>
              </w:rPr>
            </w:pPr>
            <w:r>
              <w:rPr>
                <w:rFonts w:hint="eastAsia" w:ascii="宋体" w:hAnsi="宋体"/>
                <w:b/>
                <w:bCs/>
                <w:sz w:val="24"/>
                <w:szCs w:val="24"/>
              </w:rPr>
              <w:t>明细</w:t>
            </w:r>
          </w:p>
        </w:tc>
        <w:tc>
          <w:tcPr>
            <w:tcW w:w="2497" w:type="dxa"/>
            <w:vAlign w:val="center"/>
          </w:tcPr>
          <w:p>
            <w:pPr>
              <w:widowControl/>
              <w:spacing w:line="360" w:lineRule="auto"/>
              <w:jc w:val="center"/>
              <w:rPr>
                <w:rFonts w:ascii="宋体" w:hAnsi="宋体"/>
                <w:b/>
                <w:bCs/>
                <w:sz w:val="24"/>
                <w:szCs w:val="24"/>
              </w:rPr>
            </w:pPr>
            <w:r>
              <w:rPr>
                <w:rFonts w:hint="eastAsia" w:ascii="宋体" w:hAnsi="宋体"/>
                <w:b/>
                <w:bCs/>
                <w:sz w:val="24"/>
                <w:szCs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9" w:type="dxa"/>
            <w:vAlign w:val="center"/>
          </w:tcPr>
          <w:p>
            <w:pPr>
              <w:keepNext w:val="0"/>
              <w:keepLines w:val="0"/>
              <w:widowControl/>
              <w:suppressLineNumbers w:val="0"/>
              <w:jc w:val="left"/>
              <w:textAlignment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eastAsiaTheme="minorEastAsia"/>
                <w:sz w:val="24"/>
                <w:szCs w:val="24"/>
                <w:lang w:val="en-US" w:eastAsia="zh-CN"/>
              </w:rPr>
              <w:t>2021年12月31日</w:t>
            </w:r>
            <w:r>
              <w:rPr>
                <w:rFonts w:hint="default" w:asciiTheme="minorEastAsia" w:hAnsiTheme="minorEastAsia" w:eastAsiaTheme="minorEastAsia" w:cstheme="minorEastAsia"/>
                <w:sz w:val="24"/>
                <w:szCs w:val="24"/>
                <w:lang w:val="en-US" w:eastAsia="zh-CN"/>
              </w:rPr>
              <w:t>募集资金专户余额</w:t>
            </w:r>
          </w:p>
        </w:tc>
        <w:tc>
          <w:tcPr>
            <w:tcW w:w="2497" w:type="dxa"/>
            <w:vAlign w:val="center"/>
          </w:tcPr>
          <w:p>
            <w:pPr>
              <w:keepNext w:val="0"/>
              <w:keepLines w:val="0"/>
              <w:widowControl/>
              <w:suppressLineNumbers w:val="0"/>
              <w:jc w:val="right"/>
              <w:textAlignment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等线" w:cs="Times New Roman"/>
                <w:i w:val="0"/>
                <w:iCs w:val="0"/>
                <w:color w:val="000000" w:themeColor="text1"/>
                <w:kern w:val="0"/>
                <w:sz w:val="24"/>
                <w:szCs w:val="24"/>
                <w:u w:val="none"/>
                <w:lang w:val="en-US" w:eastAsia="zh-CN" w:bidi="ar"/>
                <w14:textFill>
                  <w14:solidFill>
                    <w14:schemeClr w14:val="tx1"/>
                  </w14:solidFill>
                </w14:textFill>
              </w:rPr>
              <w:t>20,534,127.35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9" w:type="dxa"/>
            <w:vAlign w:val="center"/>
          </w:tcPr>
          <w:p>
            <w:pPr>
              <w:snapToGrid w:val="0"/>
              <w:spacing w:line="240" w:lineRule="auto"/>
              <w:ind w:firstLine="420" w:firstLineChars="175"/>
              <w:rPr>
                <w:rFonts w:hint="default" w:asciiTheme="minorEastAsia" w:hAnsiTheme="minorEastAsia" w:eastAsiaTheme="minorEastAsia" w:cstheme="minorEastAsia"/>
                <w:sz w:val="24"/>
                <w:szCs w:val="24"/>
              </w:rPr>
            </w:pPr>
            <w:r>
              <w:rPr>
                <w:rFonts w:hint="default" w:asciiTheme="minorEastAsia" w:hAnsiTheme="minorEastAsia" w:eastAsiaTheme="minorEastAsia" w:cstheme="minorEastAsia"/>
                <w:sz w:val="24"/>
                <w:szCs w:val="24"/>
                <w:lang w:val="en-US" w:eastAsia="zh-CN"/>
              </w:rPr>
              <w:t>加：本年利息收入</w:t>
            </w:r>
          </w:p>
        </w:tc>
        <w:tc>
          <w:tcPr>
            <w:tcW w:w="2497" w:type="dxa"/>
            <w:vAlign w:val="center"/>
          </w:tcPr>
          <w:p>
            <w:pPr>
              <w:keepNext w:val="0"/>
              <w:keepLines w:val="0"/>
              <w:widowControl/>
              <w:suppressLineNumbers w:val="0"/>
              <w:jc w:val="right"/>
              <w:textAlignment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等线" w:cs="Times New Roman"/>
                <w:i w:val="0"/>
                <w:iCs w:val="0"/>
                <w:color w:val="000000" w:themeColor="text1"/>
                <w:kern w:val="0"/>
                <w:sz w:val="24"/>
                <w:szCs w:val="24"/>
                <w:u w:val="none"/>
                <w:lang w:val="en-US" w:eastAsia="zh-CN" w:bidi="ar"/>
                <w14:textFill>
                  <w14:solidFill>
                    <w14:schemeClr w14:val="tx1"/>
                  </w14:solidFill>
                </w14:textFill>
              </w:rPr>
              <w:t>146,192.48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9" w:type="dxa"/>
            <w:vAlign w:val="center"/>
          </w:tcPr>
          <w:p>
            <w:pPr>
              <w:snapToGrid w:val="0"/>
              <w:spacing w:line="240" w:lineRule="auto"/>
              <w:ind w:firstLine="420" w:firstLineChars="175"/>
              <w:rPr>
                <w:rFonts w:hint="default" w:asciiTheme="minorEastAsia" w:hAnsiTheme="minorEastAsia" w:eastAsiaTheme="minorEastAsia" w:cstheme="minorEastAsia"/>
                <w:sz w:val="24"/>
                <w:szCs w:val="24"/>
              </w:rPr>
            </w:pPr>
            <w:r>
              <w:rPr>
                <w:rFonts w:hint="default" w:asciiTheme="minorEastAsia" w:hAnsiTheme="minorEastAsia" w:eastAsiaTheme="minorEastAsia" w:cstheme="minorEastAsia"/>
                <w:sz w:val="24"/>
                <w:szCs w:val="24"/>
                <w:lang w:val="en-US" w:eastAsia="zh-CN"/>
              </w:rPr>
              <w:t>加：本年投资收益</w:t>
            </w:r>
          </w:p>
        </w:tc>
        <w:tc>
          <w:tcPr>
            <w:tcW w:w="2497" w:type="dxa"/>
            <w:vAlign w:val="center"/>
          </w:tcPr>
          <w:p>
            <w:pPr>
              <w:keepNext w:val="0"/>
              <w:keepLines w:val="0"/>
              <w:widowControl/>
              <w:suppressLineNumbers w:val="0"/>
              <w:jc w:val="right"/>
              <w:textAlignment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等线" w:cs="Times New Roman"/>
                <w:i w:val="0"/>
                <w:iCs w:val="0"/>
                <w:color w:val="000000" w:themeColor="text1"/>
                <w:kern w:val="0"/>
                <w:sz w:val="24"/>
                <w:szCs w:val="24"/>
                <w:u w:val="none"/>
                <w:lang w:val="en-US" w:eastAsia="zh-CN" w:bidi="ar"/>
                <w14:textFill>
                  <w14:solidFill>
                    <w14:schemeClr w14:val="tx1"/>
                  </w14:solidFill>
                </w14:textFill>
              </w:rPr>
              <w:t>7,382,295.67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9" w:type="dxa"/>
            <w:vAlign w:val="center"/>
          </w:tcPr>
          <w:p>
            <w:pPr>
              <w:snapToGrid w:val="0"/>
              <w:spacing w:line="240" w:lineRule="auto"/>
              <w:ind w:firstLine="420" w:firstLineChars="175"/>
              <w:rPr>
                <w:rFonts w:hint="default" w:asciiTheme="minorEastAsia" w:hAnsiTheme="minorEastAsia" w:eastAsiaTheme="minorEastAsia" w:cstheme="minorEastAsia"/>
                <w:sz w:val="24"/>
                <w:szCs w:val="24"/>
              </w:rPr>
            </w:pPr>
            <w:r>
              <w:rPr>
                <w:rFonts w:hint="default" w:asciiTheme="minorEastAsia" w:hAnsiTheme="minorEastAsia" w:eastAsiaTheme="minorEastAsia" w:cstheme="minorEastAsia"/>
                <w:sz w:val="24"/>
                <w:szCs w:val="24"/>
                <w:lang w:val="en-US" w:eastAsia="zh-CN"/>
              </w:rPr>
              <w:t>减：本年以闲置募集资金购买的理财产品</w:t>
            </w:r>
          </w:p>
        </w:tc>
        <w:tc>
          <w:tcPr>
            <w:tcW w:w="2497" w:type="dxa"/>
            <w:vAlign w:val="center"/>
          </w:tcPr>
          <w:p>
            <w:pPr>
              <w:keepNext w:val="0"/>
              <w:keepLines w:val="0"/>
              <w:widowControl/>
              <w:suppressLineNumbers w:val="0"/>
              <w:jc w:val="right"/>
              <w:textAlignment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等线" w:cs="Times New Roman"/>
                <w:i w:val="0"/>
                <w:iCs w:val="0"/>
                <w:color w:val="000000" w:themeColor="text1"/>
                <w:kern w:val="0"/>
                <w:sz w:val="24"/>
                <w:szCs w:val="24"/>
                <w:u w:val="none"/>
                <w:lang w:val="en-US" w:eastAsia="zh-CN" w:bidi="ar"/>
                <w14:textFill>
                  <w14:solidFill>
                    <w14:schemeClr w14:val="tx1"/>
                  </w14:solidFill>
                </w14:textFill>
              </w:rPr>
              <w:t>260,000,000.00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9" w:type="dxa"/>
            <w:vAlign w:val="center"/>
          </w:tcPr>
          <w:p>
            <w:pPr>
              <w:snapToGrid w:val="0"/>
              <w:spacing w:line="240" w:lineRule="auto"/>
              <w:ind w:firstLine="420" w:firstLineChars="175"/>
              <w:rPr>
                <w:rFonts w:hint="default" w:asciiTheme="minorEastAsia" w:hAnsiTheme="minorEastAsia" w:eastAsiaTheme="minorEastAsia" w:cstheme="minorEastAsia"/>
                <w:sz w:val="24"/>
                <w:szCs w:val="24"/>
              </w:rPr>
            </w:pPr>
            <w:r>
              <w:rPr>
                <w:rFonts w:hint="default" w:asciiTheme="minorEastAsia" w:hAnsiTheme="minorEastAsia" w:eastAsiaTheme="minorEastAsia" w:cstheme="minorEastAsia"/>
                <w:sz w:val="24"/>
                <w:szCs w:val="24"/>
                <w:lang w:val="en-US" w:eastAsia="zh-CN"/>
              </w:rPr>
              <w:t>加：以闲置募集资金购买的理财产品的到期赎回</w:t>
            </w:r>
          </w:p>
        </w:tc>
        <w:tc>
          <w:tcPr>
            <w:tcW w:w="2497" w:type="dxa"/>
            <w:vAlign w:val="center"/>
          </w:tcPr>
          <w:p>
            <w:pPr>
              <w:keepNext w:val="0"/>
              <w:keepLines w:val="0"/>
              <w:widowControl/>
              <w:suppressLineNumbers w:val="0"/>
              <w:jc w:val="right"/>
              <w:textAlignment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等线" w:cs="Times New Roman"/>
                <w:i w:val="0"/>
                <w:iCs w:val="0"/>
                <w:color w:val="000000" w:themeColor="text1"/>
                <w:kern w:val="0"/>
                <w:sz w:val="24"/>
                <w:szCs w:val="24"/>
                <w:u w:val="none"/>
                <w:lang w:val="en-US" w:eastAsia="zh-CN" w:bidi="ar"/>
                <w14:textFill>
                  <w14:solidFill>
                    <w14:schemeClr w14:val="tx1"/>
                  </w14:solidFill>
                </w14:textFill>
              </w:rPr>
              <w:t>345,000,000.00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9" w:type="dxa"/>
            <w:vAlign w:val="center"/>
          </w:tcPr>
          <w:p>
            <w:pPr>
              <w:snapToGrid w:val="0"/>
              <w:spacing w:line="240" w:lineRule="auto"/>
              <w:ind w:firstLine="420" w:firstLineChars="175"/>
              <w:rPr>
                <w:rFonts w:hint="default" w:asciiTheme="minorEastAsia" w:hAnsiTheme="minorEastAsia" w:eastAsiaTheme="minorEastAsia" w:cstheme="minorEastAsia"/>
                <w:sz w:val="24"/>
                <w:szCs w:val="24"/>
              </w:rPr>
            </w:pPr>
            <w:r>
              <w:rPr>
                <w:rFonts w:hint="default" w:asciiTheme="minorEastAsia" w:hAnsiTheme="minorEastAsia" w:eastAsiaTheme="minorEastAsia" w:cstheme="minorEastAsia"/>
                <w:sz w:val="24"/>
                <w:szCs w:val="24"/>
                <w:lang w:val="en-US" w:eastAsia="zh-CN"/>
              </w:rPr>
              <w:t>减：本年以闲置募集资金购买的结构性存款</w:t>
            </w:r>
          </w:p>
        </w:tc>
        <w:tc>
          <w:tcPr>
            <w:tcW w:w="2497" w:type="dxa"/>
            <w:vAlign w:val="center"/>
          </w:tcPr>
          <w:p>
            <w:pPr>
              <w:keepNext w:val="0"/>
              <w:keepLines w:val="0"/>
              <w:widowControl/>
              <w:suppressLineNumbers w:val="0"/>
              <w:jc w:val="right"/>
              <w:textAlignment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等线" w:cs="Times New Roman"/>
                <w:i w:val="0"/>
                <w:iCs w:val="0"/>
                <w:color w:val="000000" w:themeColor="text1"/>
                <w:kern w:val="0"/>
                <w:sz w:val="24"/>
                <w:szCs w:val="24"/>
                <w:u w:val="none"/>
                <w:lang w:val="en-US" w:eastAsia="zh-CN" w:bidi="ar"/>
                <w14:textFill>
                  <w14:solidFill>
                    <w14:schemeClr w14:val="tx1"/>
                  </w14:solidFill>
                </w14:textFill>
              </w:rPr>
              <w:t>60,000,000.00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9" w:type="dxa"/>
            <w:vAlign w:val="center"/>
          </w:tcPr>
          <w:p>
            <w:pPr>
              <w:snapToGrid w:val="0"/>
              <w:spacing w:line="240" w:lineRule="auto"/>
              <w:ind w:firstLine="420" w:firstLineChars="175"/>
              <w:rPr>
                <w:rFonts w:hint="default" w:asciiTheme="minorEastAsia" w:hAnsiTheme="minorEastAsia" w:eastAsiaTheme="minorEastAsia" w:cstheme="minorEastAsia"/>
                <w:sz w:val="24"/>
                <w:szCs w:val="24"/>
              </w:rPr>
            </w:pPr>
            <w:r>
              <w:rPr>
                <w:rFonts w:hint="default" w:asciiTheme="minorEastAsia" w:hAnsiTheme="minorEastAsia" w:eastAsiaTheme="minorEastAsia" w:cstheme="minorEastAsia"/>
                <w:sz w:val="24"/>
                <w:szCs w:val="24"/>
                <w:lang w:val="en-US" w:eastAsia="zh-CN"/>
              </w:rPr>
              <w:t>减：募投项目支出</w:t>
            </w:r>
          </w:p>
        </w:tc>
        <w:tc>
          <w:tcPr>
            <w:tcW w:w="2497" w:type="dxa"/>
            <w:vAlign w:val="center"/>
          </w:tcPr>
          <w:p>
            <w:pPr>
              <w:keepNext w:val="0"/>
              <w:keepLines w:val="0"/>
              <w:widowControl/>
              <w:suppressLineNumbers w:val="0"/>
              <w:jc w:val="right"/>
              <w:textAlignment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等线" w:cs="Times New Roman"/>
                <w:i w:val="0"/>
                <w:iCs w:val="0"/>
                <w:color w:val="000000" w:themeColor="text1"/>
                <w:kern w:val="0"/>
                <w:sz w:val="24"/>
                <w:szCs w:val="24"/>
                <w:u w:val="none"/>
                <w:lang w:val="en-US" w:eastAsia="zh-CN" w:bidi="ar"/>
                <w14:textFill>
                  <w14:solidFill>
                    <w14:schemeClr w14:val="tx1"/>
                  </w14:solidFill>
                </w14:textFill>
              </w:rPr>
              <w:t>11,294,755.60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9" w:type="dxa"/>
            <w:vAlign w:val="center"/>
          </w:tcPr>
          <w:p>
            <w:pPr>
              <w:snapToGrid w:val="0"/>
              <w:spacing w:line="240" w:lineRule="auto"/>
              <w:ind w:firstLine="420" w:firstLineChars="175"/>
              <w:rPr>
                <w:rFonts w:hint="default" w:asciiTheme="minorEastAsia" w:hAnsiTheme="minorEastAsia" w:eastAsiaTheme="minorEastAsia" w:cstheme="minorEastAsia"/>
                <w:sz w:val="24"/>
                <w:szCs w:val="24"/>
              </w:rPr>
            </w:pPr>
            <w:r>
              <w:rPr>
                <w:rFonts w:hint="default" w:asciiTheme="minorEastAsia" w:hAnsiTheme="minorEastAsia" w:eastAsiaTheme="minorEastAsia" w:cstheme="minorEastAsia"/>
                <w:sz w:val="24"/>
                <w:szCs w:val="24"/>
                <w:lang w:val="en-US" w:eastAsia="zh-CN"/>
              </w:rPr>
              <w:t>减：手续费支出</w:t>
            </w:r>
          </w:p>
        </w:tc>
        <w:tc>
          <w:tcPr>
            <w:tcW w:w="2497" w:type="dxa"/>
            <w:vAlign w:val="center"/>
          </w:tcPr>
          <w:p>
            <w:pPr>
              <w:keepNext w:val="0"/>
              <w:keepLines w:val="0"/>
              <w:widowControl/>
              <w:suppressLineNumbers w:val="0"/>
              <w:jc w:val="right"/>
              <w:textAlignment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等线" w:cs="Times New Roman"/>
                <w:i w:val="0"/>
                <w:iCs w:val="0"/>
                <w:color w:val="000000" w:themeColor="text1"/>
                <w:kern w:val="0"/>
                <w:sz w:val="24"/>
                <w:szCs w:val="24"/>
                <w:u w:val="none"/>
                <w:lang w:val="en-US" w:eastAsia="zh-CN" w:bidi="ar"/>
                <w14:textFill>
                  <w14:solidFill>
                    <w14:schemeClr w14:val="tx1"/>
                  </w14:solidFill>
                </w14:textFill>
              </w:rPr>
              <w:t>635.10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99" w:type="dxa"/>
            <w:vAlign w:val="center"/>
          </w:tcPr>
          <w:p>
            <w:pPr>
              <w:snapToGrid w:val="0"/>
              <w:spacing w:line="240" w:lineRule="auto"/>
              <w:rPr>
                <w:rFonts w:hint="default" w:asciiTheme="minorEastAsia" w:hAnsiTheme="minorEastAsia" w:eastAsiaTheme="minorEastAsia" w:cstheme="minorEastAsia"/>
                <w:sz w:val="24"/>
                <w:szCs w:val="24"/>
              </w:rPr>
            </w:pPr>
            <w:r>
              <w:rPr>
                <w:rFonts w:hint="default" w:ascii="Times New Roman" w:hAnsi="Times New Roman" w:cs="Times New Roman" w:eastAsiaTheme="minorEastAsia"/>
                <w:sz w:val="24"/>
                <w:szCs w:val="24"/>
                <w:lang w:val="en-US" w:eastAsia="zh-CN"/>
              </w:rPr>
              <w:t>2022年06月30日</w:t>
            </w:r>
            <w:r>
              <w:rPr>
                <w:rFonts w:hint="default" w:asciiTheme="minorEastAsia" w:hAnsiTheme="minorEastAsia" w:eastAsiaTheme="minorEastAsia" w:cstheme="minorEastAsia"/>
                <w:sz w:val="24"/>
                <w:szCs w:val="24"/>
                <w:lang w:val="en-US" w:eastAsia="zh-CN"/>
              </w:rPr>
              <w:t>募集资金专户余额</w:t>
            </w:r>
          </w:p>
        </w:tc>
        <w:tc>
          <w:tcPr>
            <w:tcW w:w="2497" w:type="dxa"/>
            <w:vAlign w:val="center"/>
          </w:tcPr>
          <w:p>
            <w:pPr>
              <w:keepNext w:val="0"/>
              <w:keepLines w:val="0"/>
              <w:widowControl/>
              <w:suppressLineNumbers w:val="0"/>
              <w:jc w:val="right"/>
              <w:textAlignment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等线" w:cs="Times New Roman"/>
                <w:i w:val="0"/>
                <w:iCs w:val="0"/>
                <w:color w:val="000000" w:themeColor="text1"/>
                <w:kern w:val="0"/>
                <w:sz w:val="24"/>
                <w:szCs w:val="24"/>
                <w:u w:val="none"/>
                <w:lang w:val="en-US" w:eastAsia="zh-CN" w:bidi="ar"/>
                <w14:textFill>
                  <w14:solidFill>
                    <w14:schemeClr w14:val="tx1"/>
                  </w14:solidFill>
                </w14:textFill>
              </w:rPr>
              <w:t>41,767,224.80</w:t>
            </w:r>
          </w:p>
        </w:tc>
      </w:tr>
    </w:tbl>
    <w:p>
      <w:pPr>
        <w:snapToGrid w:val="0"/>
        <w:spacing w:line="360" w:lineRule="auto"/>
        <w:ind w:firstLine="420" w:firstLineChars="175"/>
        <w:jc w:val="right"/>
        <w:rPr>
          <w:rFonts w:hint="eastAsia"/>
          <w:color w:val="000000"/>
          <w:kern w:val="0"/>
          <w:sz w:val="24"/>
          <w:szCs w:val="24"/>
        </w:rPr>
      </w:pPr>
    </w:p>
    <w:p>
      <w:pPr>
        <w:snapToGrid w:val="0"/>
        <w:spacing w:line="360" w:lineRule="auto"/>
        <w:ind w:firstLine="422" w:firstLineChars="175"/>
        <w:jc w:val="left"/>
        <w:rPr>
          <w:b/>
          <w:bCs/>
          <w:color w:val="000000"/>
          <w:kern w:val="0"/>
          <w:sz w:val="24"/>
          <w:szCs w:val="24"/>
        </w:rPr>
      </w:pPr>
      <w:bookmarkStart w:id="1" w:name="_Hlk511995861"/>
      <w:r>
        <w:rPr>
          <w:rFonts w:hint="eastAsia"/>
          <w:b/>
          <w:bCs/>
          <w:color w:val="000000"/>
          <w:kern w:val="0"/>
          <w:sz w:val="24"/>
          <w:szCs w:val="24"/>
        </w:rPr>
        <w:t>二、募集资金管理以及存放情况</w:t>
      </w:r>
    </w:p>
    <w:p>
      <w:p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（一）募集资金管理情况</w:t>
      </w:r>
      <w:bookmarkEnd w:id="1"/>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规范公司募集资金管理，保护广大投资者的合法权益，根据中国证监会、上海证券交易所对募集资金管理的法律法规，公司制订了《募集资金管理办法》，对募集资金的存放及实际使用情况的监督等方面均作出明确的规定，公司严格按照《募集资金管理办法》的规定管理募集资金，募集资金的存放、使用、管理均符合《募集资金管理办法》有关的相关规定。</w:t>
      </w:r>
    </w:p>
    <w:p>
      <w:pPr>
        <w:snapToGrid w:val="0"/>
        <w:spacing w:line="360" w:lineRule="auto"/>
        <w:ind w:firstLine="420" w:firstLineChars="175"/>
        <w:jc w:val="left"/>
        <w:rPr>
          <w:sz w:val="24"/>
        </w:rPr>
      </w:pPr>
      <w:r>
        <w:rPr>
          <w:rFonts w:hint="eastAsia" w:asciiTheme="minorEastAsia" w:hAnsiTheme="minorEastAsia" w:eastAsiaTheme="minorEastAsia" w:cstheme="minorEastAsia"/>
          <w:sz w:val="24"/>
          <w:szCs w:val="24"/>
        </w:rPr>
        <w:t>非公开发行募集资金到位后，</w:t>
      </w:r>
      <w:r>
        <w:rPr>
          <w:sz w:val="24"/>
        </w:rPr>
        <w:t>公司和</w:t>
      </w:r>
      <w:r>
        <w:rPr>
          <w:rFonts w:hint="eastAsia"/>
          <w:sz w:val="24"/>
        </w:rPr>
        <w:t>中信证券股份有限公司（以下简称“</w:t>
      </w:r>
      <w:r>
        <w:rPr>
          <w:sz w:val="24"/>
        </w:rPr>
        <w:t>保荐机构</w:t>
      </w:r>
      <w:r>
        <w:rPr>
          <w:rFonts w:hint="eastAsia"/>
          <w:sz w:val="24"/>
        </w:rPr>
        <w:t>”）</w:t>
      </w:r>
      <w:r>
        <w:rPr>
          <w:sz w:val="24"/>
        </w:rPr>
        <w:t>与中国民生银行股份有限公司上海分行签署了《募集资金专户存储三方监管协议》，开设了募集资金专项账户，对募集资金实行专户存储。</w:t>
      </w:r>
    </w:p>
    <w:p>
      <w:pPr>
        <w:adjustRightInd w:val="0"/>
        <w:snapToGrid w:val="0"/>
        <w:spacing w:line="360" w:lineRule="auto"/>
        <w:ind w:firstLine="480" w:firstLineChars="200"/>
        <w:rPr>
          <w:b/>
          <w:bCs/>
          <w:sz w:val="24"/>
        </w:rPr>
      </w:pPr>
      <w:r>
        <w:rPr>
          <w:rFonts w:hint="eastAsia"/>
          <w:sz w:val="24"/>
        </w:rPr>
        <w:t>2020年9月11日，公司</w:t>
      </w:r>
      <w:r>
        <w:rPr>
          <w:color w:val="000000"/>
          <w:kern w:val="0"/>
          <w:sz w:val="24"/>
          <w:szCs w:val="24"/>
        </w:rPr>
        <w:t>召开第七届董事会第</w:t>
      </w:r>
      <w:r>
        <w:rPr>
          <w:rFonts w:hint="eastAsia"/>
          <w:color w:val="000000"/>
          <w:kern w:val="0"/>
          <w:sz w:val="24"/>
          <w:szCs w:val="24"/>
        </w:rPr>
        <w:t>十二</w:t>
      </w:r>
      <w:r>
        <w:rPr>
          <w:color w:val="000000"/>
          <w:kern w:val="0"/>
          <w:sz w:val="24"/>
          <w:szCs w:val="24"/>
        </w:rPr>
        <w:t>次会议、第七届监事会第</w:t>
      </w:r>
      <w:r>
        <w:rPr>
          <w:rFonts w:hint="eastAsia"/>
          <w:color w:val="000000"/>
          <w:kern w:val="0"/>
          <w:sz w:val="24"/>
          <w:szCs w:val="24"/>
        </w:rPr>
        <w:t>九</w:t>
      </w:r>
      <w:r>
        <w:rPr>
          <w:color w:val="000000"/>
          <w:kern w:val="0"/>
          <w:sz w:val="24"/>
          <w:szCs w:val="24"/>
        </w:rPr>
        <w:t>次会议，审议通过了《</w:t>
      </w:r>
      <w:r>
        <w:rPr>
          <w:rFonts w:ascii="宋体" w:hAnsi="宋体" w:cs="宋体"/>
          <w:sz w:val="24"/>
          <w:szCs w:val="24"/>
        </w:rPr>
        <w:t>关于使用募集资金向全资子公司增资的</w:t>
      </w:r>
      <w:r>
        <w:rPr>
          <w:color w:val="000000"/>
          <w:kern w:val="0"/>
          <w:sz w:val="24"/>
          <w:szCs w:val="24"/>
        </w:rPr>
        <w:t>议案》。</w:t>
      </w:r>
      <w:r>
        <w:rPr>
          <w:rFonts w:hint="eastAsia"/>
          <w:color w:val="000000"/>
          <w:kern w:val="0"/>
          <w:sz w:val="24"/>
          <w:szCs w:val="24"/>
        </w:rPr>
        <w:t>同意</w:t>
      </w:r>
      <w:r>
        <w:rPr>
          <w:rFonts w:eastAsiaTheme="minorEastAsia"/>
          <w:sz w:val="24"/>
        </w:rPr>
        <w:t>公司使用募集资金455,955,867.32元向全资子公司</w:t>
      </w:r>
      <w:r>
        <w:rPr>
          <w:rFonts w:hint="eastAsia" w:eastAsiaTheme="minorEastAsia"/>
          <w:sz w:val="24"/>
        </w:rPr>
        <w:t>上海格尔安全科技有限公司（以下简称“格尔安全”）</w:t>
      </w:r>
      <w:r>
        <w:rPr>
          <w:rFonts w:eastAsiaTheme="minorEastAsia"/>
          <w:sz w:val="24"/>
        </w:rPr>
        <w:t>进行增资，用于实施下一代数字信任产品研发与产业化项目及智联网安全技术研发与产业化项目，其中500万元用于增加格尔安全的注册资本，其余部分计入格尔安全资本公积。本次增资完成后，格尔安全注册资本将由人民币5,000万元增加至人民币5,500万元，仍为公司全资子公司。</w:t>
      </w:r>
    </w:p>
    <w:p>
      <w:pPr>
        <w:adjustRightInd w:val="0"/>
        <w:snapToGrid w:val="0"/>
        <w:spacing w:line="360" w:lineRule="auto"/>
        <w:ind w:firstLine="480" w:firstLineChars="200"/>
        <w:rPr>
          <w:sz w:val="24"/>
        </w:rPr>
      </w:pPr>
      <w:r>
        <w:rPr>
          <w:rFonts w:hint="eastAsia"/>
          <w:sz w:val="24"/>
        </w:rPr>
        <w:t>根据公司《非公开发行A股股票预案》，本次非公开发行募集资金投资项目下一代数字信任产品研发与产业化项目及智联网安全技术研发与产业化项目实施主体为公司全资子公司格尔安全。2020年9月26日，公司、保荐机构及募投项目实施主体格尔安全，分别与招商银行股份有限公司上海川北支行及中国民生银行股份有限公司上海分行签署了《募集资金专户存储四方监管协议》，并分别开设了募集资金专项账户，对募集资金实行专户存储。</w:t>
      </w:r>
    </w:p>
    <w:p>
      <w:pPr>
        <w:snapToGrid w:val="0"/>
        <w:spacing w:line="360" w:lineRule="auto"/>
        <w:ind w:firstLine="439" w:firstLineChars="182"/>
        <w:jc w:val="left"/>
        <w:rPr>
          <w:b/>
          <w:bCs/>
          <w:color w:val="000000"/>
          <w:kern w:val="0"/>
          <w:sz w:val="24"/>
          <w:szCs w:val="24"/>
        </w:rPr>
      </w:pPr>
      <w:r>
        <w:rPr>
          <w:rFonts w:hint="eastAsia"/>
          <w:b/>
          <w:bCs/>
          <w:color w:val="000000"/>
          <w:kern w:val="0"/>
          <w:sz w:val="24"/>
          <w:szCs w:val="24"/>
        </w:rPr>
        <w:t>（二）募集资金专户存储情况</w:t>
      </w:r>
    </w:p>
    <w:p>
      <w:pPr>
        <w:snapToGrid w:val="0"/>
        <w:spacing w:line="360" w:lineRule="auto"/>
        <w:ind w:firstLine="436" w:firstLineChars="182"/>
        <w:jc w:val="left"/>
        <w:rPr>
          <w:rFonts w:asciiTheme="minorEastAsia" w:hAnsiTheme="minorEastAsia" w:eastAsiaTheme="minorEastAsia" w:cstheme="minorEastAsia"/>
          <w:sz w:val="24"/>
          <w:szCs w:val="24"/>
        </w:rPr>
      </w:pPr>
      <w:r>
        <w:rPr>
          <w:rFonts w:eastAsiaTheme="minorEastAsia"/>
          <w:sz w:val="24"/>
          <w:szCs w:val="24"/>
        </w:rPr>
        <w:t>截至202</w:t>
      </w:r>
      <w:r>
        <w:rPr>
          <w:rFonts w:hint="eastAsia" w:eastAsiaTheme="minorEastAsia"/>
          <w:sz w:val="24"/>
          <w:szCs w:val="24"/>
        </w:rPr>
        <w:t>2</w:t>
      </w:r>
      <w:r>
        <w:rPr>
          <w:rFonts w:eastAsiaTheme="minorEastAsia"/>
          <w:sz w:val="24"/>
          <w:szCs w:val="24"/>
        </w:rPr>
        <w:t>年</w:t>
      </w:r>
      <w:r>
        <w:rPr>
          <w:rFonts w:hint="eastAsia" w:eastAsiaTheme="minorEastAsia"/>
          <w:sz w:val="24"/>
          <w:szCs w:val="24"/>
        </w:rPr>
        <w:t>6</w:t>
      </w:r>
      <w:r>
        <w:rPr>
          <w:rFonts w:eastAsiaTheme="minorEastAsia"/>
          <w:sz w:val="24"/>
          <w:szCs w:val="24"/>
        </w:rPr>
        <w:t>月3</w:t>
      </w:r>
      <w:r>
        <w:rPr>
          <w:rFonts w:hint="eastAsia" w:eastAsiaTheme="minorEastAsia"/>
          <w:sz w:val="24"/>
          <w:szCs w:val="24"/>
        </w:rPr>
        <w:t>0</w:t>
      </w:r>
      <w:r>
        <w:rPr>
          <w:rFonts w:eastAsiaTheme="minorEastAsia"/>
          <w:sz w:val="24"/>
          <w:szCs w:val="24"/>
        </w:rPr>
        <w:t>日，</w:t>
      </w:r>
      <w:r>
        <w:rPr>
          <w:rFonts w:hint="eastAsia" w:asciiTheme="minorEastAsia" w:hAnsiTheme="minorEastAsia" w:eastAsiaTheme="minorEastAsia" w:cstheme="minorEastAsia"/>
          <w:sz w:val="24"/>
          <w:szCs w:val="24"/>
        </w:rPr>
        <w:t>公司签订监管协议的募集资金专户存储情况如下：</w:t>
      </w:r>
    </w:p>
    <w:p>
      <w:pPr>
        <w:adjustRightInd w:val="0"/>
        <w:snapToGrid w:val="0"/>
        <w:spacing w:line="360" w:lineRule="auto"/>
        <w:ind w:firstLine="480" w:firstLineChars="200"/>
        <w:jc w:val="right"/>
      </w:pPr>
      <w:r>
        <w:rPr>
          <w:rFonts w:hint="eastAsia"/>
          <w:sz w:val="24"/>
        </w:rPr>
        <w:t>金额单位：人民币元</w:t>
      </w:r>
    </w:p>
    <w:tbl>
      <w:tblPr>
        <w:tblStyle w:val="4"/>
        <w:tblW w:w="54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37"/>
        <w:gridCol w:w="2661"/>
        <w:gridCol w:w="2578"/>
        <w:gridCol w:w="1727"/>
        <w:gridCol w:w="1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7" w:type="dxa"/>
            <w:shd w:val="clear" w:color="auto" w:fill="auto"/>
          </w:tcPr>
          <w:p>
            <w:pPr>
              <w:jc w:val="center"/>
              <w:rPr>
                <w:rFonts w:asciiTheme="minorEastAsia" w:hAnsiTheme="minorEastAsia" w:eastAsiaTheme="minorEastAsia" w:cstheme="minorEastAsia"/>
                <w:szCs w:val="22"/>
              </w:rPr>
            </w:pPr>
            <w:r>
              <w:rPr>
                <w:rFonts w:hint="eastAsia" w:asciiTheme="minorEastAsia" w:hAnsiTheme="minorEastAsia" w:eastAsiaTheme="minorEastAsia" w:cstheme="minorEastAsia"/>
                <w:szCs w:val="22"/>
              </w:rPr>
              <w:t>序号</w:t>
            </w:r>
          </w:p>
        </w:tc>
        <w:tc>
          <w:tcPr>
            <w:tcW w:w="2662" w:type="dxa"/>
            <w:shd w:val="clear" w:color="auto" w:fill="auto"/>
          </w:tcPr>
          <w:p>
            <w:pPr>
              <w:jc w:val="center"/>
              <w:rPr>
                <w:rFonts w:asciiTheme="minorEastAsia" w:hAnsiTheme="minorEastAsia" w:eastAsiaTheme="minorEastAsia" w:cstheme="minorEastAsia"/>
                <w:szCs w:val="22"/>
              </w:rPr>
            </w:pPr>
            <w:r>
              <w:rPr>
                <w:rFonts w:asciiTheme="minorEastAsia" w:hAnsiTheme="minorEastAsia" w:eastAsiaTheme="minorEastAsia" w:cstheme="minorEastAsia"/>
                <w:szCs w:val="22"/>
              </w:rPr>
              <w:t>银行名称</w:t>
            </w:r>
          </w:p>
        </w:tc>
        <w:tc>
          <w:tcPr>
            <w:tcW w:w="2579" w:type="dxa"/>
            <w:shd w:val="clear" w:color="auto" w:fill="auto"/>
          </w:tcPr>
          <w:p>
            <w:pPr>
              <w:jc w:val="center"/>
              <w:rPr>
                <w:rFonts w:asciiTheme="minorEastAsia" w:hAnsiTheme="minorEastAsia" w:eastAsiaTheme="minorEastAsia" w:cstheme="minorEastAsia"/>
                <w:szCs w:val="22"/>
              </w:rPr>
            </w:pPr>
            <w:r>
              <w:rPr>
                <w:rFonts w:asciiTheme="minorEastAsia" w:hAnsiTheme="minorEastAsia" w:eastAsiaTheme="minorEastAsia" w:cstheme="minorEastAsia"/>
                <w:szCs w:val="22"/>
              </w:rPr>
              <w:t>账户名称</w:t>
            </w:r>
          </w:p>
        </w:tc>
        <w:tc>
          <w:tcPr>
            <w:tcW w:w="1727" w:type="dxa"/>
            <w:shd w:val="clear" w:color="auto" w:fill="auto"/>
          </w:tcPr>
          <w:p>
            <w:pPr>
              <w:jc w:val="center"/>
              <w:rPr>
                <w:rFonts w:asciiTheme="minorEastAsia" w:hAnsiTheme="minorEastAsia" w:eastAsiaTheme="minorEastAsia" w:cstheme="minorEastAsia"/>
                <w:szCs w:val="22"/>
              </w:rPr>
            </w:pPr>
            <w:r>
              <w:rPr>
                <w:rFonts w:asciiTheme="minorEastAsia" w:hAnsiTheme="minorEastAsia" w:eastAsiaTheme="minorEastAsia" w:cstheme="minorEastAsia"/>
                <w:szCs w:val="22"/>
              </w:rPr>
              <w:t>银行账号</w:t>
            </w:r>
          </w:p>
        </w:tc>
        <w:tc>
          <w:tcPr>
            <w:tcW w:w="1556" w:type="dxa"/>
            <w:shd w:val="clear" w:color="auto" w:fill="auto"/>
          </w:tcPr>
          <w:p>
            <w:pPr>
              <w:jc w:val="center"/>
              <w:rPr>
                <w:rFonts w:asciiTheme="minorEastAsia" w:hAnsiTheme="minorEastAsia" w:eastAsiaTheme="minorEastAsia" w:cstheme="minorEastAsia"/>
                <w:szCs w:val="22"/>
              </w:rPr>
            </w:pPr>
            <w:r>
              <w:rPr>
                <w:rFonts w:asciiTheme="minorEastAsia" w:hAnsiTheme="minorEastAsia" w:eastAsiaTheme="minorEastAsia" w:cstheme="minorEastAsia"/>
                <w:szCs w:val="22"/>
              </w:rPr>
              <w:t>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7" w:type="dxa"/>
            <w:shd w:val="clear" w:color="auto" w:fill="auto"/>
            <w:vAlign w:val="center"/>
          </w:tcPr>
          <w:p>
            <w:pPr>
              <w:jc w:val="center"/>
              <w:rPr>
                <w:rFonts w:eastAsiaTheme="minorEastAsia"/>
                <w:szCs w:val="21"/>
              </w:rPr>
            </w:pPr>
            <w:r>
              <w:rPr>
                <w:rFonts w:eastAsiaTheme="minorEastAsia"/>
                <w:szCs w:val="21"/>
              </w:rPr>
              <w:t>1</w:t>
            </w:r>
          </w:p>
        </w:tc>
        <w:tc>
          <w:tcPr>
            <w:tcW w:w="2662" w:type="dxa"/>
            <w:shd w:val="clear" w:color="auto" w:fill="auto"/>
            <w:vAlign w:val="center"/>
          </w:tcPr>
          <w:p>
            <w:pPr>
              <w:jc w:val="center"/>
              <w:rPr>
                <w:rFonts w:eastAsiaTheme="minorEastAsia"/>
                <w:szCs w:val="21"/>
              </w:rPr>
            </w:pPr>
            <w:r>
              <w:rPr>
                <w:rFonts w:eastAsiaTheme="minorEastAsia"/>
                <w:szCs w:val="21"/>
              </w:rPr>
              <w:t>中国民生银行股份有限公司上海分行营业部</w:t>
            </w:r>
          </w:p>
        </w:tc>
        <w:tc>
          <w:tcPr>
            <w:tcW w:w="2579" w:type="dxa"/>
            <w:shd w:val="clear" w:color="auto" w:fill="auto"/>
            <w:vAlign w:val="center"/>
          </w:tcPr>
          <w:p>
            <w:pPr>
              <w:jc w:val="center"/>
              <w:rPr>
                <w:rFonts w:eastAsiaTheme="minorEastAsia"/>
                <w:szCs w:val="21"/>
              </w:rPr>
            </w:pPr>
            <w:r>
              <w:rPr>
                <w:rFonts w:eastAsiaTheme="minorEastAsia"/>
                <w:szCs w:val="21"/>
              </w:rPr>
              <w:t>上海格尔安全科技有限公司</w:t>
            </w:r>
          </w:p>
        </w:tc>
        <w:tc>
          <w:tcPr>
            <w:tcW w:w="1727" w:type="dxa"/>
            <w:shd w:val="clear" w:color="auto" w:fill="auto"/>
            <w:vAlign w:val="center"/>
          </w:tcPr>
          <w:p>
            <w:pPr>
              <w:jc w:val="center"/>
              <w:rPr>
                <w:color w:val="000000"/>
                <w:szCs w:val="21"/>
                <w:shd w:val="clear" w:color="auto" w:fill="FFFFFF"/>
              </w:rPr>
            </w:pPr>
            <w:r>
              <w:rPr>
                <w:color w:val="000000"/>
                <w:szCs w:val="21"/>
                <w:shd w:val="clear" w:color="auto" w:fill="FFFFFF"/>
              </w:rPr>
              <w:t>632368807</w:t>
            </w:r>
          </w:p>
        </w:tc>
        <w:tc>
          <w:tcPr>
            <w:tcW w:w="1556" w:type="dxa"/>
            <w:shd w:val="clear" w:color="auto" w:fill="auto"/>
            <w:vAlign w:val="center"/>
          </w:tcPr>
          <w:p>
            <w:pPr>
              <w:jc w:val="center"/>
              <w:rPr>
                <w:rFonts w:hint="eastAsia" w:eastAsiaTheme="minorEastAsia"/>
                <w:szCs w:val="21"/>
                <w:lang w:val="en-US" w:eastAsia="zh-CN"/>
              </w:rPr>
            </w:pPr>
            <w:r>
              <w:rPr>
                <w:rFonts w:hint="eastAsia" w:eastAsiaTheme="minorEastAsia"/>
                <w:szCs w:val="21"/>
                <w:lang w:val="en-US" w:eastAsia="zh-CN"/>
              </w:rPr>
              <w:t>27,864,018.47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7" w:type="dxa"/>
            <w:shd w:val="clear" w:color="auto" w:fill="auto"/>
            <w:vAlign w:val="center"/>
          </w:tcPr>
          <w:p>
            <w:pPr>
              <w:jc w:val="center"/>
              <w:rPr>
                <w:rFonts w:eastAsiaTheme="minorEastAsia"/>
                <w:szCs w:val="21"/>
              </w:rPr>
            </w:pPr>
            <w:r>
              <w:rPr>
                <w:rFonts w:eastAsiaTheme="minorEastAsia"/>
                <w:szCs w:val="21"/>
              </w:rPr>
              <w:t>2</w:t>
            </w:r>
          </w:p>
        </w:tc>
        <w:tc>
          <w:tcPr>
            <w:tcW w:w="2662" w:type="dxa"/>
            <w:shd w:val="clear" w:color="auto" w:fill="auto"/>
            <w:vAlign w:val="center"/>
          </w:tcPr>
          <w:p>
            <w:pPr>
              <w:jc w:val="center"/>
              <w:rPr>
                <w:rFonts w:eastAsiaTheme="minorEastAsia"/>
                <w:szCs w:val="21"/>
              </w:rPr>
            </w:pPr>
            <w:r>
              <w:rPr>
                <w:rFonts w:eastAsiaTheme="minorEastAsia"/>
                <w:szCs w:val="21"/>
              </w:rPr>
              <w:t>招商银行股份有限公司上海分行川北支行</w:t>
            </w:r>
          </w:p>
        </w:tc>
        <w:tc>
          <w:tcPr>
            <w:tcW w:w="2579" w:type="dxa"/>
            <w:shd w:val="clear" w:color="auto" w:fill="auto"/>
            <w:vAlign w:val="center"/>
          </w:tcPr>
          <w:p>
            <w:pPr>
              <w:jc w:val="center"/>
              <w:rPr>
                <w:rFonts w:eastAsiaTheme="minorEastAsia"/>
                <w:szCs w:val="21"/>
              </w:rPr>
            </w:pPr>
            <w:r>
              <w:rPr>
                <w:rFonts w:eastAsiaTheme="minorEastAsia"/>
                <w:szCs w:val="21"/>
              </w:rPr>
              <w:t>上海格尔安全科技有限公司</w:t>
            </w:r>
          </w:p>
        </w:tc>
        <w:tc>
          <w:tcPr>
            <w:tcW w:w="1727" w:type="dxa"/>
            <w:shd w:val="clear" w:color="auto" w:fill="auto"/>
            <w:vAlign w:val="center"/>
          </w:tcPr>
          <w:p>
            <w:pPr>
              <w:jc w:val="center"/>
              <w:rPr>
                <w:color w:val="000000"/>
                <w:szCs w:val="21"/>
                <w:shd w:val="clear" w:color="auto" w:fill="FFFFFF"/>
              </w:rPr>
            </w:pPr>
            <w:r>
              <w:rPr>
                <w:color w:val="000000"/>
                <w:szCs w:val="21"/>
                <w:shd w:val="clear" w:color="auto" w:fill="FFFFFF"/>
              </w:rPr>
              <w:t>121920088510401</w:t>
            </w:r>
          </w:p>
        </w:tc>
        <w:tc>
          <w:tcPr>
            <w:tcW w:w="1556" w:type="dxa"/>
            <w:shd w:val="clear" w:color="auto" w:fill="auto"/>
            <w:vAlign w:val="center"/>
          </w:tcPr>
          <w:p>
            <w:pPr>
              <w:jc w:val="center"/>
              <w:rPr>
                <w:rFonts w:eastAsiaTheme="minorEastAsia"/>
                <w:szCs w:val="21"/>
              </w:rPr>
            </w:pPr>
            <w:r>
              <w:rPr>
                <w:rFonts w:hint="eastAsia" w:eastAsiaTheme="minorEastAsia"/>
                <w:szCs w:val="21"/>
              </w:rPr>
              <w:t>13,840,043.19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7" w:hRule="atLeast"/>
          <w:jc w:val="center"/>
        </w:trPr>
        <w:tc>
          <w:tcPr>
            <w:tcW w:w="537" w:type="dxa"/>
            <w:shd w:val="clear" w:color="auto" w:fill="auto"/>
            <w:vAlign w:val="center"/>
          </w:tcPr>
          <w:p>
            <w:pPr>
              <w:jc w:val="center"/>
              <w:rPr>
                <w:rFonts w:eastAsiaTheme="minorEastAsia"/>
                <w:szCs w:val="21"/>
              </w:rPr>
            </w:pPr>
            <w:r>
              <w:rPr>
                <w:rFonts w:eastAsiaTheme="minorEastAsia"/>
                <w:szCs w:val="21"/>
              </w:rPr>
              <w:t>3</w:t>
            </w:r>
          </w:p>
        </w:tc>
        <w:tc>
          <w:tcPr>
            <w:tcW w:w="2662" w:type="dxa"/>
            <w:shd w:val="clear" w:color="auto" w:fill="auto"/>
            <w:vAlign w:val="center"/>
          </w:tcPr>
          <w:p>
            <w:pPr>
              <w:jc w:val="center"/>
              <w:rPr>
                <w:rFonts w:eastAsiaTheme="minorEastAsia"/>
                <w:szCs w:val="21"/>
              </w:rPr>
            </w:pPr>
            <w:r>
              <w:rPr>
                <w:rFonts w:eastAsiaTheme="minorEastAsia"/>
                <w:szCs w:val="21"/>
              </w:rPr>
              <w:t>中国民生银行股份有限公司上海分行营业部</w:t>
            </w:r>
          </w:p>
        </w:tc>
        <w:tc>
          <w:tcPr>
            <w:tcW w:w="2579" w:type="dxa"/>
            <w:shd w:val="clear" w:color="auto" w:fill="auto"/>
            <w:vAlign w:val="center"/>
          </w:tcPr>
          <w:p>
            <w:pPr>
              <w:jc w:val="center"/>
              <w:rPr>
                <w:rFonts w:eastAsiaTheme="minorEastAsia"/>
                <w:szCs w:val="21"/>
              </w:rPr>
            </w:pPr>
            <w:r>
              <w:rPr>
                <w:rFonts w:eastAsiaTheme="minorEastAsia"/>
                <w:szCs w:val="21"/>
              </w:rPr>
              <w:t>格尔软件股份有限公司</w:t>
            </w:r>
          </w:p>
        </w:tc>
        <w:tc>
          <w:tcPr>
            <w:tcW w:w="1727" w:type="dxa"/>
            <w:shd w:val="clear" w:color="auto" w:fill="auto"/>
            <w:vAlign w:val="center"/>
          </w:tcPr>
          <w:p>
            <w:pPr>
              <w:jc w:val="center"/>
              <w:rPr>
                <w:rFonts w:eastAsiaTheme="minorEastAsia"/>
                <w:szCs w:val="21"/>
              </w:rPr>
            </w:pPr>
            <w:r>
              <w:rPr>
                <w:color w:val="000000"/>
                <w:szCs w:val="21"/>
                <w:shd w:val="clear" w:color="auto" w:fill="FFFFFF"/>
              </w:rPr>
              <w:t>632369553</w:t>
            </w:r>
          </w:p>
        </w:tc>
        <w:tc>
          <w:tcPr>
            <w:tcW w:w="1556" w:type="dxa"/>
            <w:shd w:val="clear" w:color="auto" w:fill="auto"/>
            <w:vAlign w:val="center"/>
          </w:tcPr>
          <w:p>
            <w:pPr>
              <w:jc w:val="center"/>
              <w:rPr>
                <w:rFonts w:hint="default" w:eastAsia="宋体"/>
                <w:color w:val="000000"/>
                <w:szCs w:val="21"/>
                <w:shd w:val="clear" w:color="auto" w:fill="FFFFFF"/>
                <w:lang w:val="en-US" w:eastAsia="zh-CN"/>
              </w:rPr>
            </w:pPr>
            <w:r>
              <w:rPr>
                <w:color w:val="000000"/>
                <w:szCs w:val="21"/>
                <w:shd w:val="clear" w:color="auto" w:fill="FFFFFF"/>
              </w:rPr>
              <w:t>63,</w:t>
            </w:r>
            <w:r>
              <w:rPr>
                <w:rFonts w:hint="eastAsia"/>
                <w:color w:val="000000"/>
                <w:szCs w:val="21"/>
                <w:shd w:val="clear" w:color="auto" w:fill="FFFFFF"/>
                <w:lang w:val="en-US" w:eastAsia="zh-CN"/>
              </w:rPr>
              <w:t>163</w:t>
            </w:r>
            <w:r>
              <w:rPr>
                <w:color w:val="000000"/>
                <w:szCs w:val="21"/>
                <w:shd w:val="clear" w:color="auto" w:fill="FFFFFF"/>
              </w:rPr>
              <w:t>.</w:t>
            </w:r>
            <w:r>
              <w:rPr>
                <w:rFonts w:hint="eastAsia"/>
                <w:color w:val="000000"/>
                <w:szCs w:val="21"/>
                <w:shd w:val="clear" w:color="auto" w:fill="FFFFFF"/>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7" w:type="dxa"/>
            <w:shd w:val="clear" w:color="auto" w:fill="auto"/>
          </w:tcPr>
          <w:p>
            <w:pPr>
              <w:jc w:val="center"/>
              <w:rPr>
                <w:b/>
                <w:bCs/>
                <w:color w:val="000000"/>
                <w:szCs w:val="21"/>
                <w:shd w:val="clear" w:color="auto" w:fill="FFFFFF"/>
              </w:rPr>
            </w:pPr>
            <w:r>
              <w:rPr>
                <w:b/>
                <w:bCs/>
                <w:color w:val="000000"/>
                <w:szCs w:val="21"/>
                <w:shd w:val="clear" w:color="auto" w:fill="FFFFFF"/>
              </w:rPr>
              <w:t>合计</w:t>
            </w:r>
          </w:p>
        </w:tc>
        <w:tc>
          <w:tcPr>
            <w:tcW w:w="2662" w:type="dxa"/>
            <w:shd w:val="clear" w:color="auto" w:fill="auto"/>
          </w:tcPr>
          <w:p>
            <w:pPr>
              <w:rPr>
                <w:b/>
                <w:bCs/>
                <w:color w:val="000000"/>
                <w:szCs w:val="21"/>
                <w:shd w:val="clear" w:color="auto" w:fill="FFFFFF"/>
              </w:rPr>
            </w:pPr>
          </w:p>
        </w:tc>
        <w:tc>
          <w:tcPr>
            <w:tcW w:w="2579" w:type="dxa"/>
            <w:shd w:val="clear" w:color="auto" w:fill="auto"/>
          </w:tcPr>
          <w:p>
            <w:pPr>
              <w:rPr>
                <w:rFonts w:eastAsiaTheme="minorEastAsia"/>
                <w:b/>
                <w:bCs/>
                <w:szCs w:val="21"/>
              </w:rPr>
            </w:pPr>
          </w:p>
        </w:tc>
        <w:tc>
          <w:tcPr>
            <w:tcW w:w="1727" w:type="dxa"/>
            <w:shd w:val="clear" w:color="auto" w:fill="auto"/>
          </w:tcPr>
          <w:p>
            <w:pPr>
              <w:rPr>
                <w:b/>
                <w:bCs/>
                <w:color w:val="000000"/>
                <w:szCs w:val="21"/>
                <w:shd w:val="clear" w:color="auto" w:fill="FFFFFF"/>
              </w:rPr>
            </w:pPr>
          </w:p>
        </w:tc>
        <w:tc>
          <w:tcPr>
            <w:tcW w:w="1556" w:type="dxa"/>
            <w:shd w:val="clear" w:color="auto" w:fill="auto"/>
          </w:tcPr>
          <w:p>
            <w:pPr>
              <w:jc w:val="right"/>
              <w:rPr>
                <w:rFonts w:hint="default" w:eastAsiaTheme="minorEastAsia"/>
                <w:b/>
                <w:bCs/>
                <w:szCs w:val="21"/>
                <w:highlight w:val="yellow"/>
                <w:lang w:val="en-US" w:eastAsia="zh-CN"/>
              </w:rPr>
            </w:pPr>
            <w:r>
              <w:rPr>
                <w:rFonts w:hint="eastAsia" w:eastAsiaTheme="minorEastAsia"/>
                <w:b/>
                <w:bCs/>
                <w:szCs w:val="21"/>
                <w:lang w:val="en-US" w:eastAsia="zh-CN"/>
              </w:rPr>
              <w:t>41,767,224.80</w:t>
            </w:r>
          </w:p>
        </w:tc>
      </w:tr>
    </w:tbl>
    <w:p>
      <w:pPr>
        <w:snapToGrid w:val="0"/>
        <w:spacing w:before="156" w:beforeLines="50" w:line="360" w:lineRule="auto"/>
        <w:ind w:firstLine="422" w:firstLineChars="175"/>
        <w:jc w:val="left"/>
        <w:rPr>
          <w:b/>
          <w:bCs/>
          <w:color w:val="000000"/>
          <w:kern w:val="0"/>
          <w:sz w:val="24"/>
          <w:szCs w:val="24"/>
        </w:rPr>
      </w:pPr>
      <w:r>
        <w:rPr>
          <w:rFonts w:hint="eastAsia"/>
          <w:b/>
          <w:bCs/>
          <w:color w:val="000000"/>
          <w:kern w:val="0"/>
          <w:sz w:val="24"/>
          <w:szCs w:val="24"/>
        </w:rPr>
        <w:t>三、本年度募集资金的实际使用情况</w:t>
      </w:r>
    </w:p>
    <w:p>
      <w:p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（一）募集资金投资项目（以下简称“募投项目”）的资金使用情况</w:t>
      </w:r>
    </w:p>
    <w:p>
      <w:pPr>
        <w:snapToGrid w:val="0"/>
        <w:spacing w:line="360" w:lineRule="auto"/>
        <w:ind w:firstLine="420" w:firstLineChars="175"/>
        <w:rPr>
          <w:rFonts w:asciiTheme="minorEastAsia" w:hAnsiTheme="minorEastAsia" w:eastAsiaTheme="minorEastAsia" w:cstheme="minorEastAsia"/>
          <w:sz w:val="24"/>
          <w:szCs w:val="24"/>
        </w:rPr>
      </w:pPr>
      <w:r>
        <w:rPr>
          <w:rFonts w:eastAsiaTheme="minorEastAsia"/>
          <w:sz w:val="24"/>
          <w:szCs w:val="24"/>
        </w:rPr>
        <w:t>本报告期内，公司非公开发行实际使用募集资金人民币1</w:t>
      </w:r>
      <w:r>
        <w:rPr>
          <w:rFonts w:hint="eastAsia" w:eastAsiaTheme="minorEastAsia"/>
          <w:sz w:val="24"/>
          <w:szCs w:val="24"/>
        </w:rPr>
        <w:t>,129</w:t>
      </w:r>
      <w:r>
        <w:rPr>
          <w:rFonts w:eastAsiaTheme="minorEastAsia"/>
          <w:sz w:val="24"/>
          <w:szCs w:val="24"/>
        </w:rPr>
        <w:t>.</w:t>
      </w:r>
      <w:r>
        <w:rPr>
          <w:rFonts w:hint="eastAsia" w:eastAsiaTheme="minorEastAsia"/>
          <w:sz w:val="24"/>
          <w:szCs w:val="24"/>
        </w:rPr>
        <w:t>48</w:t>
      </w:r>
      <w:r>
        <w:rPr>
          <w:rFonts w:eastAsiaTheme="minorEastAsia"/>
          <w:sz w:val="24"/>
          <w:szCs w:val="24"/>
        </w:rPr>
        <w:t>万元，具体使用情况详见附表1的《募集资金使用情况对照表》。</w:t>
      </w:r>
    </w:p>
    <w:p>
      <w:pPr>
        <w:numPr>
          <w:ilvl w:val="0"/>
          <w:numId w:val="1"/>
        </w:num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募投项目先期投入及置换情况</w:t>
      </w:r>
    </w:p>
    <w:p>
      <w:pPr>
        <w:snapToGrid w:val="0"/>
        <w:spacing w:line="360" w:lineRule="auto"/>
        <w:ind w:firstLine="420" w:firstLineChars="17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不适用</w:t>
      </w:r>
      <w:r>
        <w:rPr>
          <w:rFonts w:hint="eastAsia" w:asciiTheme="minorEastAsia" w:hAnsiTheme="minorEastAsia" w:eastAsiaTheme="minorEastAsia" w:cstheme="minorEastAsia"/>
          <w:sz w:val="24"/>
          <w:szCs w:val="24"/>
          <w:lang w:eastAsia="zh-CN"/>
        </w:rPr>
        <w:t>。</w:t>
      </w:r>
    </w:p>
    <w:p>
      <w:pPr>
        <w:numPr>
          <w:ilvl w:val="0"/>
          <w:numId w:val="1"/>
        </w:num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用闲置募集资金暂时补充流动资金情况</w:t>
      </w:r>
    </w:p>
    <w:p>
      <w:pPr>
        <w:snapToGrid w:val="0"/>
        <w:spacing w:line="360" w:lineRule="auto"/>
        <w:ind w:firstLine="420" w:firstLineChars="175"/>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不适用</w:t>
      </w:r>
      <w:r>
        <w:rPr>
          <w:rFonts w:hint="eastAsia" w:asciiTheme="minorEastAsia" w:hAnsiTheme="minorEastAsia" w:eastAsiaTheme="minorEastAsia" w:cstheme="minorEastAsia"/>
          <w:sz w:val="24"/>
          <w:szCs w:val="24"/>
          <w:lang w:eastAsia="zh-CN"/>
        </w:rPr>
        <w:t>。</w:t>
      </w:r>
    </w:p>
    <w:p>
      <w:p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（四）对闲置募集资金进行现金管理，投资相关产品情况</w:t>
      </w:r>
    </w:p>
    <w:p>
      <w:pPr>
        <w:snapToGrid w:val="0"/>
        <w:spacing w:line="360" w:lineRule="auto"/>
        <w:ind w:firstLine="420" w:firstLineChars="175"/>
        <w:rPr>
          <w:rFonts w:eastAsiaTheme="minorEastAsia"/>
          <w:sz w:val="24"/>
          <w:szCs w:val="24"/>
        </w:rPr>
      </w:pPr>
      <w:r>
        <w:rPr>
          <w:rFonts w:eastAsiaTheme="minorEastAsia"/>
          <w:sz w:val="24"/>
          <w:szCs w:val="24"/>
        </w:rPr>
        <w:t>公司第七届董事会第</w:t>
      </w:r>
      <w:r>
        <w:rPr>
          <w:rFonts w:hint="eastAsia" w:eastAsiaTheme="minorEastAsia"/>
          <w:sz w:val="24"/>
          <w:szCs w:val="24"/>
        </w:rPr>
        <w:t>二十三</w:t>
      </w:r>
      <w:r>
        <w:rPr>
          <w:rFonts w:eastAsiaTheme="minorEastAsia"/>
          <w:sz w:val="24"/>
          <w:szCs w:val="24"/>
        </w:rPr>
        <w:t>次会议、第七届监事会第</w:t>
      </w:r>
      <w:r>
        <w:rPr>
          <w:rFonts w:hint="eastAsia" w:eastAsiaTheme="minorEastAsia"/>
          <w:sz w:val="24"/>
          <w:szCs w:val="24"/>
        </w:rPr>
        <w:t>二十</w:t>
      </w:r>
      <w:r>
        <w:rPr>
          <w:rFonts w:eastAsiaTheme="minorEastAsia"/>
          <w:sz w:val="24"/>
          <w:szCs w:val="24"/>
        </w:rPr>
        <w:t>次会议，审议通过了《关于使用部分闲置募集资金进行现金管理的议案》。同意公司使用总额不超过人民币</w:t>
      </w:r>
      <w:r>
        <w:rPr>
          <w:rFonts w:hint="eastAsia" w:eastAsiaTheme="minorEastAsia"/>
          <w:sz w:val="24"/>
          <w:szCs w:val="24"/>
        </w:rPr>
        <w:t>5</w:t>
      </w:r>
      <w:r>
        <w:rPr>
          <w:rFonts w:eastAsiaTheme="minorEastAsia"/>
          <w:sz w:val="24"/>
          <w:szCs w:val="24"/>
        </w:rPr>
        <w:t>亿元（含</w:t>
      </w:r>
      <w:r>
        <w:rPr>
          <w:rFonts w:hint="eastAsia" w:eastAsiaTheme="minorEastAsia"/>
          <w:sz w:val="24"/>
          <w:szCs w:val="24"/>
        </w:rPr>
        <w:t>5</w:t>
      </w:r>
      <w:r>
        <w:rPr>
          <w:rFonts w:eastAsiaTheme="minorEastAsia"/>
          <w:sz w:val="24"/>
          <w:szCs w:val="24"/>
        </w:rPr>
        <w:t>亿元）的闲置募集资金进行现金管理，同时</w:t>
      </w:r>
      <w:r>
        <w:rPr>
          <w:rFonts w:hint="eastAsia" w:eastAsiaTheme="minorEastAsia"/>
          <w:sz w:val="24"/>
          <w:szCs w:val="24"/>
        </w:rPr>
        <w:t>自该届董事会议</w:t>
      </w:r>
      <w:r>
        <w:rPr>
          <w:rFonts w:eastAsiaTheme="minorEastAsia"/>
          <w:sz w:val="24"/>
          <w:szCs w:val="24"/>
        </w:rPr>
        <w:t>审议通过后</w:t>
      </w:r>
      <w:r>
        <w:rPr>
          <w:rFonts w:hint="eastAsia" w:eastAsiaTheme="minorEastAsia"/>
          <w:sz w:val="24"/>
          <w:szCs w:val="24"/>
        </w:rPr>
        <w:t>12个月</w:t>
      </w:r>
      <w:r>
        <w:rPr>
          <w:rFonts w:eastAsiaTheme="minorEastAsia"/>
          <w:sz w:val="24"/>
          <w:szCs w:val="24"/>
        </w:rPr>
        <w:t>内（含</w:t>
      </w:r>
      <w:r>
        <w:rPr>
          <w:rFonts w:hint="eastAsia" w:eastAsiaTheme="minorEastAsia"/>
          <w:sz w:val="24"/>
          <w:szCs w:val="24"/>
        </w:rPr>
        <w:t>12个月</w:t>
      </w:r>
      <w:r>
        <w:rPr>
          <w:rFonts w:eastAsiaTheme="minorEastAsia"/>
          <w:sz w:val="24"/>
          <w:szCs w:val="24"/>
        </w:rPr>
        <w:t>）资金可以滚动使用（该滚动使用以保证募集资金项目建设和使用为前提），并授权公司董事长在上述额度范围和时效内行使该项投资决策权并签署相关合同文件，并由公司管理层组织相关部门实施。公司独立董事、监事会及保荐机构已分别对此发表了同意的意见。</w:t>
      </w:r>
    </w:p>
    <w:p>
      <w:pPr>
        <w:snapToGrid w:val="0"/>
        <w:spacing w:line="360" w:lineRule="auto"/>
        <w:ind w:firstLine="420" w:firstLineChars="175"/>
        <w:rPr>
          <w:rFonts w:hint="eastAsia" w:eastAsiaTheme="minorEastAsia"/>
          <w:sz w:val="24"/>
          <w:szCs w:val="24"/>
          <w:lang w:eastAsia="zh-CN"/>
        </w:rPr>
      </w:pPr>
      <w:r>
        <w:rPr>
          <w:rFonts w:eastAsiaTheme="minorEastAsia"/>
          <w:sz w:val="24"/>
          <w:szCs w:val="24"/>
        </w:rPr>
        <w:t>截止202</w:t>
      </w:r>
      <w:r>
        <w:rPr>
          <w:rFonts w:hint="eastAsia" w:eastAsiaTheme="minorEastAsia"/>
          <w:sz w:val="24"/>
          <w:szCs w:val="24"/>
        </w:rPr>
        <w:t>2</w:t>
      </w:r>
      <w:r>
        <w:rPr>
          <w:rFonts w:eastAsiaTheme="minorEastAsia"/>
          <w:sz w:val="24"/>
          <w:szCs w:val="24"/>
        </w:rPr>
        <w:t>年</w:t>
      </w:r>
      <w:r>
        <w:rPr>
          <w:rFonts w:hint="eastAsia" w:eastAsiaTheme="minorEastAsia"/>
          <w:sz w:val="24"/>
          <w:szCs w:val="24"/>
        </w:rPr>
        <w:t>6</w:t>
      </w:r>
      <w:r>
        <w:rPr>
          <w:rFonts w:eastAsiaTheme="minorEastAsia"/>
          <w:sz w:val="24"/>
          <w:szCs w:val="24"/>
        </w:rPr>
        <w:t>月3</w:t>
      </w:r>
      <w:r>
        <w:rPr>
          <w:rFonts w:hint="eastAsia" w:eastAsiaTheme="minorEastAsia"/>
          <w:sz w:val="24"/>
          <w:szCs w:val="24"/>
        </w:rPr>
        <w:t>0</w:t>
      </w:r>
      <w:r>
        <w:rPr>
          <w:rFonts w:eastAsiaTheme="minorEastAsia"/>
          <w:sz w:val="24"/>
          <w:szCs w:val="24"/>
        </w:rPr>
        <w:t>日，公司使用部分闲置募集资金购买保本型理财产品的余额情况如下</w:t>
      </w:r>
      <w:r>
        <w:rPr>
          <w:rFonts w:hint="eastAsia" w:eastAsiaTheme="minorEastAsia"/>
          <w:sz w:val="24"/>
          <w:szCs w:val="24"/>
          <w:lang w:eastAsia="zh-CN"/>
        </w:rPr>
        <w:t>：</w:t>
      </w:r>
    </w:p>
    <w:p>
      <w:pPr>
        <w:snapToGrid w:val="0"/>
        <w:spacing w:line="360" w:lineRule="auto"/>
        <w:ind w:firstLine="420" w:firstLineChars="175"/>
        <w:rPr>
          <w:rFonts w:eastAsiaTheme="minorEastAsia"/>
          <w:sz w:val="24"/>
          <w:szCs w:val="24"/>
        </w:rPr>
      </w:pPr>
      <w:r>
        <w:rPr>
          <w:rFonts w:eastAsiaTheme="minorEastAsia"/>
          <w:color w:val="000000"/>
          <w:kern w:val="0"/>
          <w:sz w:val="24"/>
          <w:szCs w:val="24"/>
        </w:rPr>
        <w:t>附表</w:t>
      </w:r>
      <w:r>
        <w:rPr>
          <w:rFonts w:hint="eastAsia" w:eastAsiaTheme="minorEastAsia"/>
          <w:color w:val="000000"/>
          <w:kern w:val="0"/>
          <w:sz w:val="24"/>
          <w:szCs w:val="24"/>
        </w:rPr>
        <w:t>2</w:t>
      </w:r>
      <w:r>
        <w:rPr>
          <w:rFonts w:eastAsiaTheme="minorEastAsia"/>
          <w:color w:val="000000"/>
          <w:kern w:val="0"/>
          <w:sz w:val="24"/>
          <w:szCs w:val="24"/>
        </w:rPr>
        <w:t>：</w:t>
      </w:r>
      <w:r>
        <w:rPr>
          <w:rFonts w:eastAsiaTheme="minorEastAsia"/>
          <w:sz w:val="24"/>
          <w:szCs w:val="24"/>
        </w:rPr>
        <w:t>截至202</w:t>
      </w:r>
      <w:r>
        <w:rPr>
          <w:rFonts w:hint="eastAsia" w:eastAsiaTheme="minorEastAsia"/>
          <w:sz w:val="24"/>
          <w:szCs w:val="24"/>
        </w:rPr>
        <w:t>2</w:t>
      </w:r>
      <w:r>
        <w:rPr>
          <w:rFonts w:eastAsiaTheme="minorEastAsia"/>
          <w:sz w:val="24"/>
          <w:szCs w:val="24"/>
        </w:rPr>
        <w:t>年</w:t>
      </w:r>
      <w:r>
        <w:rPr>
          <w:rFonts w:hint="eastAsia" w:eastAsiaTheme="minorEastAsia"/>
          <w:sz w:val="24"/>
          <w:szCs w:val="24"/>
        </w:rPr>
        <w:t>6</w:t>
      </w:r>
      <w:r>
        <w:rPr>
          <w:rFonts w:eastAsiaTheme="minorEastAsia"/>
          <w:sz w:val="24"/>
          <w:szCs w:val="24"/>
        </w:rPr>
        <w:t>月3</w:t>
      </w:r>
      <w:r>
        <w:rPr>
          <w:rFonts w:hint="eastAsia" w:eastAsiaTheme="minorEastAsia"/>
          <w:sz w:val="24"/>
          <w:szCs w:val="24"/>
        </w:rPr>
        <w:t>0</w:t>
      </w:r>
      <w:r>
        <w:rPr>
          <w:rFonts w:eastAsiaTheme="minorEastAsia"/>
          <w:sz w:val="24"/>
          <w:szCs w:val="24"/>
        </w:rPr>
        <w:t>日，募集资金购买保本型理财产品余额情况</w:t>
      </w:r>
    </w:p>
    <w:tbl>
      <w:tblPr>
        <w:tblStyle w:val="4"/>
        <w:tblW w:w="5000" w:type="pct"/>
        <w:jc w:val="center"/>
        <w:tblLayout w:type="fixed"/>
        <w:tblCellMar>
          <w:top w:w="0" w:type="dxa"/>
          <w:left w:w="108" w:type="dxa"/>
          <w:bottom w:w="0" w:type="dxa"/>
          <w:right w:w="108" w:type="dxa"/>
        </w:tblCellMar>
      </w:tblPr>
      <w:tblGrid>
        <w:gridCol w:w="654"/>
        <w:gridCol w:w="667"/>
        <w:gridCol w:w="1345"/>
        <w:gridCol w:w="1158"/>
        <w:gridCol w:w="930"/>
        <w:gridCol w:w="825"/>
        <w:gridCol w:w="775"/>
        <w:gridCol w:w="761"/>
        <w:gridCol w:w="673"/>
        <w:gridCol w:w="733"/>
      </w:tblGrid>
      <w:tr>
        <w:tblPrEx>
          <w:tblCellMar>
            <w:top w:w="0" w:type="dxa"/>
            <w:left w:w="108" w:type="dxa"/>
            <w:bottom w:w="0" w:type="dxa"/>
            <w:right w:w="108" w:type="dxa"/>
          </w:tblCellMar>
        </w:tblPrEx>
        <w:trPr>
          <w:trHeight w:val="397"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360"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626"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503"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446"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419"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（天）</w:t>
            </w:r>
          </w:p>
          <w:p>
            <w:pPr>
              <w:autoSpaceDE w:val="0"/>
              <w:autoSpaceDN w:val="0"/>
              <w:adjustRightInd w:val="0"/>
              <w:jc w:val="center"/>
              <w:rPr>
                <w:rFonts w:asciiTheme="minorEastAsia" w:hAnsiTheme="minorEastAsia" w:eastAsiaTheme="minorEastAsia" w:cstheme="minorEastAsia"/>
                <w:b/>
                <w:color w:val="000000"/>
                <w:kern w:val="0"/>
                <w:szCs w:val="21"/>
              </w:rPr>
            </w:pPr>
          </w:p>
        </w:tc>
        <w:tc>
          <w:tcPr>
            <w:tcW w:w="411"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364"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396"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hint="eastAsia" w:asciiTheme="minorEastAsia" w:hAnsiTheme="minorEastAsia" w:eastAsiaTheme="minorEastAsia"/>
                <w:szCs w:val="22"/>
              </w:rPr>
              <w:t>国融证券</w:t>
            </w:r>
          </w:p>
        </w:tc>
        <w:tc>
          <w:tcPr>
            <w:tcW w:w="36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heme="minorEastAsia" w:hAnsiTheme="minorEastAsia" w:eastAsiaTheme="minorEastAsia"/>
                <w:szCs w:val="22"/>
              </w:rPr>
            </w:pPr>
            <w:r>
              <w:rPr>
                <w:rFonts w:hint="eastAsia" w:asciiTheme="minorEastAsia" w:hAnsiTheme="minorEastAsia" w:eastAsiaTheme="minorEastAsia"/>
                <w:szCs w:val="22"/>
              </w:rPr>
              <w:t>券商收益凭证</w:t>
            </w:r>
          </w:p>
        </w:tc>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Theme="minorEastAsia"/>
                <w:szCs w:val="22"/>
              </w:rPr>
            </w:pPr>
            <w:r>
              <w:rPr>
                <w:rFonts w:hAnsiTheme="minorEastAsia" w:eastAsiaTheme="minorEastAsia"/>
                <w:szCs w:val="22"/>
              </w:rPr>
              <w:t>安享收益凭证</w:t>
            </w:r>
            <w:r>
              <w:rPr>
                <w:rFonts w:eastAsiaTheme="minorEastAsia"/>
                <w:szCs w:val="22"/>
              </w:rPr>
              <w:t>2164</w:t>
            </w:r>
            <w:r>
              <w:rPr>
                <w:rFonts w:hAnsiTheme="minorEastAsia" w:eastAsiaTheme="minorEastAsia"/>
                <w:szCs w:val="22"/>
              </w:rPr>
              <w:t>号</w:t>
            </w:r>
          </w:p>
        </w:tc>
        <w:tc>
          <w:tcPr>
            <w:tcW w:w="626"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20,000.00</w:t>
            </w:r>
          </w:p>
        </w:tc>
        <w:tc>
          <w:tcPr>
            <w:tcW w:w="503"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4.50%</w:t>
            </w:r>
          </w:p>
        </w:tc>
        <w:tc>
          <w:tcPr>
            <w:tcW w:w="446"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895.07</w:t>
            </w:r>
          </w:p>
        </w:tc>
        <w:tc>
          <w:tcPr>
            <w:tcW w:w="419"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363</w:t>
            </w:r>
          </w:p>
        </w:tc>
        <w:tc>
          <w:tcPr>
            <w:tcW w:w="411"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hint="eastAsia" w:asciiTheme="minorEastAsia" w:hAnsiTheme="minorEastAsia" w:eastAsiaTheme="minorEastAsia"/>
                <w:szCs w:val="22"/>
              </w:rPr>
              <w:t>本金保障固定收益型</w:t>
            </w:r>
          </w:p>
        </w:tc>
        <w:tc>
          <w:tcPr>
            <w:tcW w:w="364"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无</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否</w:t>
            </w:r>
          </w:p>
        </w:tc>
      </w:tr>
      <w:tr>
        <w:tblPrEx>
          <w:tblCellMar>
            <w:top w:w="0" w:type="dxa"/>
            <w:left w:w="108" w:type="dxa"/>
            <w:bottom w:w="0" w:type="dxa"/>
            <w:right w:w="108" w:type="dxa"/>
          </w:tblCellMar>
        </w:tblPrEx>
        <w:trPr>
          <w:trHeight w:val="397"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国融证券</w:t>
            </w:r>
          </w:p>
        </w:tc>
        <w:tc>
          <w:tcPr>
            <w:tcW w:w="360"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券商收益凭证</w:t>
            </w:r>
          </w:p>
        </w:tc>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Theme="minorEastAsia"/>
                <w:szCs w:val="22"/>
              </w:rPr>
            </w:pPr>
            <w:r>
              <w:rPr>
                <w:rFonts w:hAnsiTheme="minorEastAsia" w:eastAsiaTheme="minorEastAsia"/>
                <w:szCs w:val="22"/>
              </w:rPr>
              <w:t>国融证券安享收益凭证</w:t>
            </w:r>
            <w:r>
              <w:rPr>
                <w:rFonts w:eastAsiaTheme="minorEastAsia"/>
                <w:szCs w:val="22"/>
              </w:rPr>
              <w:t>2242</w:t>
            </w:r>
            <w:r>
              <w:rPr>
                <w:rFonts w:hAnsiTheme="minorEastAsia" w:eastAsiaTheme="minorEastAsia"/>
                <w:szCs w:val="22"/>
              </w:rPr>
              <w:t>号</w:t>
            </w:r>
          </w:p>
        </w:tc>
        <w:tc>
          <w:tcPr>
            <w:tcW w:w="626"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7,500.00</w:t>
            </w:r>
          </w:p>
        </w:tc>
        <w:tc>
          <w:tcPr>
            <w:tcW w:w="503"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4.50%</w:t>
            </w:r>
          </w:p>
        </w:tc>
        <w:tc>
          <w:tcPr>
            <w:tcW w:w="446"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335.65</w:t>
            </w:r>
          </w:p>
        </w:tc>
        <w:tc>
          <w:tcPr>
            <w:tcW w:w="419"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363</w:t>
            </w:r>
          </w:p>
        </w:tc>
        <w:tc>
          <w:tcPr>
            <w:tcW w:w="411"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hint="eastAsia" w:asciiTheme="minorEastAsia" w:hAnsiTheme="minorEastAsia" w:eastAsiaTheme="minorEastAsia"/>
                <w:szCs w:val="22"/>
              </w:rPr>
              <w:t>本金保障固定收益型</w:t>
            </w:r>
          </w:p>
        </w:tc>
        <w:tc>
          <w:tcPr>
            <w:tcW w:w="364"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无</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否</w:t>
            </w:r>
          </w:p>
        </w:tc>
      </w:tr>
      <w:tr>
        <w:tblPrEx>
          <w:tblCellMar>
            <w:top w:w="0" w:type="dxa"/>
            <w:left w:w="108" w:type="dxa"/>
            <w:bottom w:w="0" w:type="dxa"/>
            <w:right w:w="108" w:type="dxa"/>
          </w:tblCellMar>
        </w:tblPrEx>
        <w:trPr>
          <w:trHeight w:val="397"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hint="eastAsia" w:asciiTheme="minorEastAsia" w:hAnsiTheme="minorEastAsia" w:eastAsiaTheme="minorEastAsia"/>
                <w:szCs w:val="22"/>
              </w:rPr>
              <w:t>民生银行</w:t>
            </w:r>
          </w:p>
        </w:tc>
        <w:tc>
          <w:tcPr>
            <w:tcW w:w="360"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hint="eastAsia" w:asciiTheme="minorEastAsia" w:hAnsiTheme="minorEastAsia" w:eastAsiaTheme="minorEastAsia"/>
                <w:szCs w:val="22"/>
              </w:rPr>
              <w:t>银行理财产品</w:t>
            </w:r>
          </w:p>
        </w:tc>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Theme="minorEastAsia"/>
                <w:szCs w:val="22"/>
              </w:rPr>
            </w:pPr>
            <w:r>
              <w:rPr>
                <w:rFonts w:hAnsiTheme="minorEastAsia" w:eastAsiaTheme="minorEastAsia"/>
                <w:szCs w:val="22"/>
              </w:rPr>
              <w:t>聚赢汇率</w:t>
            </w:r>
            <w:r>
              <w:rPr>
                <w:rFonts w:eastAsiaTheme="minorEastAsia"/>
                <w:szCs w:val="22"/>
              </w:rPr>
              <w:t>-</w:t>
            </w:r>
            <w:r>
              <w:rPr>
                <w:rFonts w:hAnsiTheme="minorEastAsia" w:eastAsiaTheme="minorEastAsia"/>
                <w:szCs w:val="22"/>
              </w:rPr>
              <w:t>挂钩</w:t>
            </w:r>
            <w:r>
              <w:rPr>
                <w:rFonts w:eastAsiaTheme="minorEastAsia"/>
                <w:szCs w:val="22"/>
              </w:rPr>
              <w:t>USD/JPY</w:t>
            </w:r>
            <w:r>
              <w:rPr>
                <w:rFonts w:hAnsiTheme="minorEastAsia" w:eastAsiaTheme="minorEastAsia"/>
                <w:szCs w:val="22"/>
              </w:rPr>
              <w:t>结构性存款</w:t>
            </w:r>
          </w:p>
        </w:tc>
        <w:tc>
          <w:tcPr>
            <w:tcW w:w="626"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2,500.00</w:t>
            </w:r>
          </w:p>
        </w:tc>
        <w:tc>
          <w:tcPr>
            <w:tcW w:w="503"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1.55%-3.20%</w:t>
            </w:r>
          </w:p>
        </w:tc>
        <w:tc>
          <w:tcPr>
            <w:tcW w:w="446"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w:t>
            </w:r>
          </w:p>
        </w:tc>
        <w:tc>
          <w:tcPr>
            <w:tcW w:w="419"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94</w:t>
            </w:r>
          </w:p>
        </w:tc>
        <w:tc>
          <w:tcPr>
            <w:tcW w:w="411"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hint="eastAsia" w:asciiTheme="minorEastAsia" w:hAnsiTheme="minorEastAsia" w:eastAsiaTheme="minorEastAsia"/>
                <w:szCs w:val="22"/>
              </w:rPr>
              <w:t>保本浮动收益型</w:t>
            </w:r>
          </w:p>
        </w:tc>
        <w:tc>
          <w:tcPr>
            <w:tcW w:w="364"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无</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否</w:t>
            </w:r>
          </w:p>
        </w:tc>
      </w:tr>
      <w:tr>
        <w:tblPrEx>
          <w:tblCellMar>
            <w:top w:w="0" w:type="dxa"/>
            <w:left w:w="108" w:type="dxa"/>
            <w:bottom w:w="0" w:type="dxa"/>
            <w:right w:w="108" w:type="dxa"/>
          </w:tblCellMar>
        </w:tblPrEx>
        <w:trPr>
          <w:trHeight w:val="90"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hint="eastAsia" w:asciiTheme="minorEastAsia" w:hAnsiTheme="minorEastAsia" w:eastAsiaTheme="minorEastAsia"/>
                <w:szCs w:val="22"/>
              </w:rPr>
              <w:t>招商银行</w:t>
            </w:r>
          </w:p>
        </w:tc>
        <w:tc>
          <w:tcPr>
            <w:tcW w:w="360"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hint="eastAsia" w:asciiTheme="minorEastAsia" w:hAnsiTheme="minorEastAsia" w:eastAsiaTheme="minorEastAsia"/>
                <w:szCs w:val="22"/>
              </w:rPr>
              <w:t>银行理财产品</w:t>
            </w:r>
          </w:p>
        </w:tc>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Theme="minorEastAsia"/>
                <w:szCs w:val="22"/>
              </w:rPr>
            </w:pPr>
            <w:r>
              <w:rPr>
                <w:rFonts w:hAnsiTheme="minorEastAsia" w:eastAsiaTheme="minorEastAsia"/>
                <w:szCs w:val="22"/>
              </w:rPr>
              <w:t>点金系列看跌</w:t>
            </w:r>
            <w:r>
              <w:rPr>
                <w:rFonts w:eastAsiaTheme="minorEastAsia"/>
                <w:szCs w:val="22"/>
              </w:rPr>
              <w:t>91</w:t>
            </w:r>
            <w:r>
              <w:rPr>
                <w:rFonts w:hAnsiTheme="minorEastAsia" w:eastAsiaTheme="minorEastAsia"/>
                <w:szCs w:val="22"/>
              </w:rPr>
              <w:t>天结构性存款</w:t>
            </w:r>
          </w:p>
        </w:tc>
        <w:tc>
          <w:tcPr>
            <w:tcW w:w="626"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3,500.00</w:t>
            </w:r>
          </w:p>
        </w:tc>
        <w:tc>
          <w:tcPr>
            <w:tcW w:w="503"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1.60%/3.05%/3.25%</w:t>
            </w:r>
          </w:p>
        </w:tc>
        <w:tc>
          <w:tcPr>
            <w:tcW w:w="446"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w:t>
            </w:r>
          </w:p>
        </w:tc>
        <w:tc>
          <w:tcPr>
            <w:tcW w:w="419"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91</w:t>
            </w:r>
          </w:p>
        </w:tc>
        <w:tc>
          <w:tcPr>
            <w:tcW w:w="411"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hint="eastAsia" w:asciiTheme="minorEastAsia" w:hAnsiTheme="minorEastAsia" w:eastAsiaTheme="minorEastAsia"/>
                <w:szCs w:val="22"/>
              </w:rPr>
              <w:t>保本浮动收益型</w:t>
            </w:r>
          </w:p>
        </w:tc>
        <w:tc>
          <w:tcPr>
            <w:tcW w:w="364"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无</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否</w:t>
            </w:r>
          </w:p>
        </w:tc>
      </w:tr>
      <w:tr>
        <w:tblPrEx>
          <w:tblCellMar>
            <w:top w:w="0" w:type="dxa"/>
            <w:left w:w="108" w:type="dxa"/>
            <w:bottom w:w="0" w:type="dxa"/>
            <w:right w:w="108" w:type="dxa"/>
          </w:tblCellMar>
        </w:tblPrEx>
        <w:trPr>
          <w:trHeight w:val="397"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国融证券</w:t>
            </w:r>
          </w:p>
        </w:tc>
        <w:tc>
          <w:tcPr>
            <w:tcW w:w="360"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券商收益凭证</w:t>
            </w:r>
          </w:p>
        </w:tc>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Theme="minorEastAsia"/>
                <w:szCs w:val="22"/>
              </w:rPr>
            </w:pPr>
            <w:r>
              <w:rPr>
                <w:rFonts w:hAnsiTheme="minorEastAsia" w:eastAsiaTheme="minorEastAsia"/>
                <w:szCs w:val="22"/>
              </w:rPr>
              <w:t>国融证券安享收益凭证</w:t>
            </w:r>
            <w:r>
              <w:rPr>
                <w:rFonts w:eastAsiaTheme="minorEastAsia"/>
                <w:szCs w:val="22"/>
              </w:rPr>
              <w:t>22</w:t>
            </w:r>
            <w:r>
              <w:rPr>
                <w:rFonts w:hint="eastAsia" w:eastAsiaTheme="minorEastAsia"/>
                <w:szCs w:val="22"/>
              </w:rPr>
              <w:t>69</w:t>
            </w:r>
            <w:r>
              <w:rPr>
                <w:rFonts w:hAnsiTheme="minorEastAsia" w:eastAsiaTheme="minorEastAsia"/>
                <w:szCs w:val="22"/>
              </w:rPr>
              <w:t>号</w:t>
            </w:r>
          </w:p>
        </w:tc>
        <w:tc>
          <w:tcPr>
            <w:tcW w:w="626"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6,000.00</w:t>
            </w:r>
          </w:p>
        </w:tc>
        <w:tc>
          <w:tcPr>
            <w:tcW w:w="503"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4.20%</w:t>
            </w:r>
          </w:p>
        </w:tc>
        <w:tc>
          <w:tcPr>
            <w:tcW w:w="446"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142.22</w:t>
            </w:r>
          </w:p>
        </w:tc>
        <w:tc>
          <w:tcPr>
            <w:tcW w:w="419" w:type="pct"/>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2"/>
              </w:rPr>
            </w:pPr>
            <w:r>
              <w:rPr>
                <w:rFonts w:eastAsiaTheme="minorEastAsia"/>
                <w:szCs w:val="22"/>
              </w:rPr>
              <w:t>206</w:t>
            </w:r>
          </w:p>
        </w:tc>
        <w:tc>
          <w:tcPr>
            <w:tcW w:w="411"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本金保障固定收益型</w:t>
            </w:r>
          </w:p>
        </w:tc>
        <w:tc>
          <w:tcPr>
            <w:tcW w:w="364"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无</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2"/>
              </w:rPr>
            </w:pPr>
            <w:r>
              <w:rPr>
                <w:rFonts w:asciiTheme="minorEastAsia" w:hAnsiTheme="minorEastAsia" w:eastAsiaTheme="minorEastAsia"/>
                <w:szCs w:val="22"/>
              </w:rPr>
              <w:t>否</w:t>
            </w:r>
          </w:p>
        </w:tc>
      </w:tr>
    </w:tbl>
    <w:p>
      <w:pPr>
        <w:pStyle w:val="9"/>
        <w:autoSpaceDE/>
        <w:autoSpaceDN/>
        <w:snapToGrid w:val="0"/>
        <w:spacing w:line="360" w:lineRule="auto"/>
        <w:ind w:firstLine="420" w:firstLineChars="175"/>
        <w:jc w:val="both"/>
        <w:rPr>
          <w:rFonts w:asciiTheme="minorEastAsia" w:hAnsiTheme="minorEastAsia" w:eastAsiaTheme="minorEastAsia" w:cstheme="minorEastAsia"/>
        </w:rPr>
      </w:pPr>
      <w:r>
        <w:rPr>
          <w:rFonts w:ascii="Times New Roman" w:hAnsi="Times New Roman" w:cs="Times New Roman" w:eastAsiaTheme="minorEastAsia"/>
        </w:rPr>
        <w:t>截至202</w:t>
      </w:r>
      <w:r>
        <w:rPr>
          <w:rFonts w:hint="eastAsia" w:ascii="Times New Roman" w:hAnsi="Times New Roman" w:cs="Times New Roman" w:eastAsiaTheme="minorEastAsia"/>
        </w:rPr>
        <w:t>2</w:t>
      </w:r>
      <w:r>
        <w:rPr>
          <w:rFonts w:ascii="Times New Roman" w:hAnsi="Times New Roman" w:cs="Times New Roman" w:eastAsiaTheme="minorEastAsia"/>
        </w:rPr>
        <w:t>年</w:t>
      </w:r>
      <w:r>
        <w:rPr>
          <w:rFonts w:hint="eastAsia" w:ascii="Times New Roman" w:hAnsi="Times New Roman" w:cs="Times New Roman" w:eastAsiaTheme="minorEastAsia"/>
        </w:rPr>
        <w:t>6</w:t>
      </w:r>
      <w:r>
        <w:rPr>
          <w:rFonts w:ascii="Times New Roman" w:hAnsi="Times New Roman" w:cs="Times New Roman" w:eastAsiaTheme="minorEastAsia"/>
        </w:rPr>
        <w:t>月3</w:t>
      </w:r>
      <w:r>
        <w:rPr>
          <w:rFonts w:hint="eastAsia" w:ascii="Times New Roman" w:hAnsi="Times New Roman" w:cs="Times New Roman" w:eastAsiaTheme="minorEastAsia"/>
        </w:rPr>
        <w:t>0</w:t>
      </w:r>
      <w:r>
        <w:rPr>
          <w:rFonts w:ascii="Times New Roman" w:hAnsi="Times New Roman" w:cs="Times New Roman" w:eastAsiaTheme="minorEastAsia"/>
        </w:rPr>
        <w:t>日，公司使用部分闲置募集资金购买理财产品余额为</w:t>
      </w:r>
      <w:r>
        <w:rPr>
          <w:rFonts w:ascii="Times New Roman" w:hAnsi="Times New Roman" w:cs="Times New Roman"/>
        </w:rPr>
        <w:t>395,000,000.00</w:t>
      </w:r>
      <w:r>
        <w:rPr>
          <w:rFonts w:ascii="Times New Roman" w:hAnsi="Times New Roman" w:cs="Times New Roman" w:eastAsiaTheme="minorEastAsia"/>
        </w:rPr>
        <w:t>元</w:t>
      </w:r>
      <w:r>
        <w:rPr>
          <w:rFonts w:hint="eastAsia" w:ascii="Times New Roman" w:hAnsi="Times New Roman" w:cs="Times New Roman" w:eastAsiaTheme="minorEastAsia"/>
        </w:rPr>
        <w:t>。报告期内</w:t>
      </w:r>
      <w:r>
        <w:rPr>
          <w:rFonts w:ascii="Times New Roman" w:hAnsi="Times New Roman" w:cs="Times New Roman" w:eastAsiaTheme="minorEastAsia"/>
        </w:rPr>
        <w:t>，</w:t>
      </w:r>
      <w:r>
        <w:rPr>
          <w:rFonts w:hint="eastAsia" w:ascii="Times New Roman" w:hAnsi="Times New Roman" w:cs="Times New Roman" w:eastAsiaTheme="minorEastAsia"/>
        </w:rPr>
        <w:t>确认理财产品赎回产生的投资收益7,382,295.67</w:t>
      </w:r>
      <w:r>
        <w:rPr>
          <w:rFonts w:ascii="Times New Roman" w:hAnsi="Times New Roman" w:cs="Times New Roman" w:eastAsiaTheme="minorEastAsia"/>
        </w:rPr>
        <w:t>元</w:t>
      </w:r>
      <w:r>
        <w:rPr>
          <w:rFonts w:hint="eastAsia" w:asciiTheme="minorEastAsia" w:hAnsiTheme="minorEastAsia" w:eastAsiaTheme="minorEastAsia" w:cstheme="minorEastAsia"/>
        </w:rPr>
        <w:t>。</w:t>
      </w:r>
    </w:p>
    <w:p>
      <w:pPr>
        <w:snapToGrid w:val="0"/>
        <w:spacing w:line="360" w:lineRule="auto"/>
        <w:ind w:firstLine="422" w:firstLineChars="175"/>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（五）用超募资金永久补充流动资金或归还银行贷款情况</w:t>
      </w:r>
    </w:p>
    <w:p>
      <w:pPr>
        <w:snapToGrid w:val="0"/>
        <w:spacing w:line="360" w:lineRule="auto"/>
        <w:ind w:firstLine="420" w:firstLineChars="175"/>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不适用</w:t>
      </w:r>
      <w:r>
        <w:rPr>
          <w:rFonts w:hint="eastAsia" w:asciiTheme="minorEastAsia" w:hAnsiTheme="minorEastAsia" w:eastAsiaTheme="minorEastAsia" w:cstheme="minorEastAsia"/>
          <w:sz w:val="24"/>
          <w:szCs w:val="24"/>
          <w:lang w:eastAsia="zh-CN"/>
        </w:rPr>
        <w:t>。</w:t>
      </w:r>
    </w:p>
    <w:p>
      <w:pPr>
        <w:snapToGrid w:val="0"/>
        <w:spacing w:line="360" w:lineRule="auto"/>
        <w:ind w:firstLine="422" w:firstLineChars="175"/>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（六）超募资金用于在建项目及新项目（包括收购资产）的情况</w:t>
      </w:r>
    </w:p>
    <w:p>
      <w:pPr>
        <w:snapToGrid w:val="0"/>
        <w:spacing w:line="360" w:lineRule="auto"/>
        <w:ind w:firstLine="420" w:firstLineChars="175"/>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不适用</w:t>
      </w:r>
      <w:r>
        <w:rPr>
          <w:rFonts w:hint="eastAsia" w:asciiTheme="minorEastAsia" w:hAnsiTheme="minorEastAsia" w:eastAsiaTheme="minorEastAsia" w:cstheme="minorEastAsia"/>
          <w:sz w:val="24"/>
          <w:szCs w:val="24"/>
          <w:lang w:eastAsia="zh-CN"/>
        </w:rPr>
        <w:t>。</w:t>
      </w:r>
    </w:p>
    <w:p>
      <w:pPr>
        <w:snapToGrid w:val="0"/>
        <w:spacing w:line="360" w:lineRule="auto"/>
        <w:ind w:firstLine="422" w:firstLineChars="175"/>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（七）节余募集资金使用情况</w:t>
      </w:r>
    </w:p>
    <w:p>
      <w:pPr>
        <w:snapToGrid w:val="0"/>
        <w:spacing w:line="360" w:lineRule="auto"/>
        <w:ind w:firstLine="420" w:firstLineChars="175"/>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不适用</w:t>
      </w:r>
      <w:r>
        <w:rPr>
          <w:rFonts w:hint="eastAsia" w:asciiTheme="minorEastAsia" w:hAnsiTheme="minorEastAsia" w:eastAsiaTheme="minorEastAsia" w:cstheme="minorEastAsia"/>
          <w:sz w:val="24"/>
          <w:szCs w:val="24"/>
          <w:lang w:eastAsia="zh-CN"/>
        </w:rPr>
        <w:t>。</w:t>
      </w:r>
    </w:p>
    <w:p>
      <w:pPr>
        <w:snapToGrid w:val="0"/>
        <w:spacing w:line="360" w:lineRule="auto"/>
        <w:ind w:firstLine="422" w:firstLineChars="175"/>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（八）募集资金使用的其他情况</w:t>
      </w:r>
    </w:p>
    <w:p>
      <w:pPr>
        <w:snapToGrid w:val="0"/>
        <w:spacing w:line="360" w:lineRule="auto"/>
        <w:ind w:firstLine="420" w:firstLineChars="175"/>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不适用</w:t>
      </w:r>
      <w:r>
        <w:rPr>
          <w:rFonts w:hint="eastAsia" w:asciiTheme="minorEastAsia" w:hAnsiTheme="minorEastAsia" w:eastAsiaTheme="minorEastAsia" w:cstheme="minorEastAsia"/>
          <w:sz w:val="24"/>
          <w:szCs w:val="24"/>
          <w:lang w:eastAsia="zh-CN"/>
        </w:rPr>
        <w:t>。</w:t>
      </w:r>
    </w:p>
    <w:p>
      <w:pPr>
        <w:snapToGrid w:val="0"/>
        <w:spacing w:line="360" w:lineRule="auto"/>
        <w:ind w:firstLine="422" w:firstLineChars="175"/>
        <w:rPr>
          <w:rFonts w:asciiTheme="minorEastAsia" w:hAnsiTheme="minorEastAsia" w:eastAsiaTheme="minorEastAsia" w:cstheme="minorEastAsia"/>
          <w:b/>
          <w:snapToGrid w:val="0"/>
          <w:sz w:val="24"/>
          <w:szCs w:val="24"/>
        </w:rPr>
      </w:pPr>
      <w:r>
        <w:rPr>
          <w:rFonts w:hint="eastAsia" w:asciiTheme="minorEastAsia" w:hAnsiTheme="minorEastAsia" w:eastAsiaTheme="minorEastAsia" w:cstheme="minorEastAsia"/>
          <w:b/>
          <w:sz w:val="24"/>
          <w:szCs w:val="24"/>
        </w:rPr>
        <w:t>四、变更募投项目的资金使用情况</w:t>
      </w:r>
    </w:p>
    <w:p>
      <w:pPr>
        <w:pStyle w:val="10"/>
        <w:numPr>
          <w:ilvl w:val="0"/>
          <w:numId w:val="2"/>
        </w:numPr>
        <w:tabs>
          <w:tab w:val="left" w:pos="0"/>
        </w:tabs>
        <w:adjustRightInd w:val="0"/>
        <w:snapToGrid w:val="0"/>
        <w:spacing w:line="360" w:lineRule="auto"/>
        <w:ind w:firstLine="422" w:firstLineChars="175"/>
        <w:textAlignment w:val="center"/>
        <w:rPr>
          <w:rFonts w:asciiTheme="minorEastAsia" w:hAnsiTheme="minorEastAsia" w:eastAsiaTheme="minorEastAsia" w:cstheme="minorEastAsia"/>
          <w:b/>
          <w:snapToGrid w:val="0"/>
          <w:sz w:val="24"/>
          <w:szCs w:val="24"/>
        </w:rPr>
      </w:pPr>
      <w:r>
        <w:rPr>
          <w:rFonts w:hint="eastAsia" w:asciiTheme="minorEastAsia" w:hAnsiTheme="minorEastAsia" w:eastAsiaTheme="minorEastAsia" w:cstheme="minorEastAsia"/>
          <w:b/>
          <w:snapToGrid w:val="0"/>
          <w:sz w:val="24"/>
          <w:szCs w:val="24"/>
        </w:rPr>
        <w:t>变更募集资金投资项目情况</w:t>
      </w:r>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pStyle w:val="10"/>
        <w:numPr>
          <w:ilvl w:val="0"/>
          <w:numId w:val="2"/>
        </w:numPr>
        <w:tabs>
          <w:tab w:val="left" w:pos="709"/>
        </w:tabs>
        <w:adjustRightInd w:val="0"/>
        <w:snapToGrid w:val="0"/>
        <w:spacing w:line="360" w:lineRule="auto"/>
        <w:ind w:firstLine="422" w:firstLineChars="175"/>
        <w:textAlignment w:val="center"/>
        <w:rPr>
          <w:rFonts w:asciiTheme="minorEastAsia" w:hAnsiTheme="minorEastAsia" w:eastAsiaTheme="minorEastAsia" w:cstheme="minorEastAsia"/>
          <w:b/>
          <w:snapToGrid w:val="0"/>
          <w:color w:val="000000"/>
          <w:sz w:val="24"/>
          <w:szCs w:val="24"/>
        </w:rPr>
      </w:pPr>
      <w:r>
        <w:rPr>
          <w:rFonts w:hint="eastAsia" w:asciiTheme="minorEastAsia" w:hAnsiTheme="minorEastAsia" w:eastAsiaTheme="minorEastAsia" w:cstheme="minorEastAsia"/>
          <w:b/>
          <w:snapToGrid w:val="0"/>
          <w:color w:val="000000"/>
          <w:sz w:val="24"/>
          <w:szCs w:val="24"/>
        </w:rPr>
        <w:t>变更后的募集资金投资项目无法单独核算效益的原因及其情况</w:t>
      </w:r>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pStyle w:val="10"/>
        <w:numPr>
          <w:ilvl w:val="0"/>
          <w:numId w:val="2"/>
        </w:numPr>
        <w:tabs>
          <w:tab w:val="left" w:pos="709"/>
        </w:tabs>
        <w:adjustRightInd w:val="0"/>
        <w:snapToGrid w:val="0"/>
        <w:spacing w:line="360" w:lineRule="auto"/>
        <w:ind w:firstLine="422" w:firstLineChars="175"/>
        <w:textAlignment w:val="center"/>
        <w:rPr>
          <w:rFonts w:asciiTheme="minorEastAsia" w:hAnsiTheme="minorEastAsia" w:eastAsiaTheme="minorEastAsia" w:cstheme="minorEastAsia"/>
          <w:b/>
          <w:snapToGrid w:val="0"/>
          <w:color w:val="000000"/>
          <w:sz w:val="24"/>
          <w:szCs w:val="24"/>
        </w:rPr>
      </w:pPr>
      <w:r>
        <w:rPr>
          <w:rFonts w:hint="eastAsia" w:asciiTheme="minorEastAsia" w:hAnsiTheme="minorEastAsia" w:eastAsiaTheme="minorEastAsia" w:cstheme="minorEastAsia"/>
          <w:b/>
          <w:snapToGrid w:val="0"/>
          <w:color w:val="000000"/>
          <w:sz w:val="24"/>
          <w:szCs w:val="24"/>
        </w:rPr>
        <w:t>变更后的募集资金投资项目已对外转让或置换情况</w:t>
      </w:r>
    </w:p>
    <w:p>
      <w:pPr>
        <w:tabs>
          <w:tab w:val="left" w:pos="709"/>
        </w:tabs>
        <w:adjustRightInd w:val="0"/>
        <w:snapToGrid w:val="0"/>
        <w:spacing w:line="360" w:lineRule="auto"/>
        <w:ind w:firstLine="420" w:firstLineChars="175"/>
        <w:textAlignment w:val="center"/>
        <w:rPr>
          <w:rFonts w:asciiTheme="minorEastAsia" w:hAnsiTheme="minorEastAsia" w:eastAsiaTheme="minorEastAsia" w:cstheme="minorEastAsia"/>
          <w:snapToGrid w:val="0"/>
          <w:color w:val="000000"/>
          <w:sz w:val="24"/>
          <w:szCs w:val="24"/>
        </w:rPr>
      </w:pPr>
      <w:r>
        <w:rPr>
          <w:rFonts w:hint="eastAsia" w:asciiTheme="minorEastAsia" w:hAnsiTheme="minorEastAsia" w:eastAsiaTheme="minorEastAsia" w:cstheme="minorEastAsia"/>
          <w:sz w:val="24"/>
          <w:szCs w:val="24"/>
        </w:rPr>
        <w:t>不适用</w:t>
      </w:r>
      <w:r>
        <w:rPr>
          <w:rFonts w:hint="eastAsia" w:asciiTheme="minorEastAsia" w:hAnsiTheme="minorEastAsia" w:eastAsiaTheme="minorEastAsia" w:cstheme="minorEastAsia"/>
          <w:snapToGrid w:val="0"/>
          <w:color w:val="000000"/>
          <w:sz w:val="24"/>
          <w:szCs w:val="24"/>
        </w:rPr>
        <w:t>。</w:t>
      </w:r>
    </w:p>
    <w:p>
      <w:pPr>
        <w:pStyle w:val="10"/>
        <w:numPr>
          <w:ilvl w:val="0"/>
          <w:numId w:val="2"/>
        </w:numPr>
        <w:tabs>
          <w:tab w:val="left" w:pos="709"/>
        </w:tabs>
        <w:adjustRightInd w:val="0"/>
        <w:snapToGrid w:val="0"/>
        <w:spacing w:line="360" w:lineRule="auto"/>
        <w:ind w:firstLine="422" w:firstLineChars="175"/>
        <w:textAlignment w:val="center"/>
        <w:rPr>
          <w:rFonts w:asciiTheme="minorEastAsia" w:hAnsiTheme="minorEastAsia" w:eastAsiaTheme="minorEastAsia" w:cstheme="minorEastAsia"/>
          <w:b/>
          <w:snapToGrid w:val="0"/>
          <w:color w:val="000000"/>
          <w:sz w:val="24"/>
          <w:szCs w:val="24"/>
        </w:rPr>
      </w:pPr>
      <w:r>
        <w:rPr>
          <w:rFonts w:hint="eastAsia" w:asciiTheme="minorEastAsia" w:hAnsiTheme="minorEastAsia" w:eastAsiaTheme="minorEastAsia" w:cstheme="minorEastAsia"/>
          <w:b/>
          <w:snapToGrid w:val="0"/>
          <w:color w:val="000000"/>
          <w:sz w:val="24"/>
          <w:szCs w:val="24"/>
        </w:rPr>
        <w:t>本年变更募集资金投资项目情况</w:t>
      </w:r>
    </w:p>
    <w:p>
      <w:pPr>
        <w:tabs>
          <w:tab w:val="left" w:pos="709"/>
        </w:tabs>
        <w:adjustRightInd w:val="0"/>
        <w:snapToGrid w:val="0"/>
        <w:spacing w:line="360" w:lineRule="auto"/>
        <w:ind w:firstLine="420" w:firstLineChars="175"/>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r>
        <w:rPr>
          <w:rFonts w:hint="eastAsia" w:asciiTheme="minorEastAsia" w:hAnsiTheme="minorEastAsia" w:eastAsiaTheme="minorEastAsia" w:cstheme="minorEastAsia"/>
          <w:snapToGrid w:val="0"/>
          <w:color w:val="000000"/>
          <w:sz w:val="24"/>
          <w:szCs w:val="24"/>
        </w:rPr>
        <w:t>。</w:t>
      </w:r>
    </w:p>
    <w:p>
      <w:pPr>
        <w:snapToGrid w:val="0"/>
        <w:spacing w:line="360" w:lineRule="auto"/>
        <w:ind w:firstLine="475" w:firstLineChars="197"/>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五、募集资金使用及披露中存在的问题</w:t>
      </w:r>
    </w:p>
    <w:p>
      <w:pPr>
        <w:snapToGrid w:val="0"/>
        <w:spacing w:line="360" w:lineRule="auto"/>
        <w:ind w:firstLine="472" w:firstLineChars="19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公司严格按照中国证监会《上市公司监管指引第</w:t>
      </w:r>
      <w:r>
        <w:rPr>
          <w:rFonts w:eastAsiaTheme="minorEastAsia"/>
          <w:sz w:val="24"/>
          <w:szCs w:val="24"/>
        </w:rPr>
        <w:t>2号——上市公司募集资金管理和使用的监管要求》</w:t>
      </w:r>
      <w:r>
        <w:rPr>
          <w:rFonts w:hint="eastAsia" w:eastAsiaTheme="minorEastAsia"/>
          <w:sz w:val="24"/>
          <w:szCs w:val="24"/>
        </w:rPr>
        <w:t>（2022年修订）</w:t>
      </w:r>
      <w:r>
        <w:rPr>
          <w:rFonts w:eastAsiaTheme="minorEastAsia"/>
          <w:sz w:val="24"/>
          <w:szCs w:val="24"/>
        </w:rPr>
        <w:t>及上海证券交易所发布的《上海证券交易所上市公司自律监管指引第1号——规范运作》</w:t>
      </w:r>
      <w:r>
        <w:rPr>
          <w:rFonts w:hint="eastAsia" w:eastAsiaTheme="minorEastAsia"/>
          <w:sz w:val="24"/>
          <w:szCs w:val="24"/>
        </w:rPr>
        <w:t>（</w:t>
      </w:r>
      <w:r>
        <w:rPr>
          <w:rFonts w:eastAsiaTheme="minorEastAsia"/>
          <w:sz w:val="24"/>
          <w:szCs w:val="24"/>
        </w:rPr>
        <w:t>上证发[2022]2号</w:t>
      </w:r>
      <w:r>
        <w:rPr>
          <w:rFonts w:hint="eastAsia" w:eastAsiaTheme="minorEastAsia"/>
          <w:sz w:val="24"/>
          <w:szCs w:val="24"/>
        </w:rPr>
        <w:t>）</w:t>
      </w:r>
      <w:r>
        <w:rPr>
          <w:rFonts w:hint="eastAsia" w:asciiTheme="minorEastAsia" w:hAnsiTheme="minorEastAsia" w:eastAsiaTheme="minorEastAsia" w:cstheme="minorEastAsia"/>
          <w:sz w:val="24"/>
          <w:szCs w:val="24"/>
        </w:rPr>
        <w:t>等相关法律法规、规范性文件的有关规定管理和使用募集资金。公司募集资金的使用与管理合法、有效，且严格履行了信息披露义务，及时、真实、准确、完整地披露了募集资金使用情况，不存在募集资金管理违规的情况。</w:t>
      </w:r>
    </w:p>
    <w:p>
      <w:pPr>
        <w:snapToGrid w:val="0"/>
        <w:spacing w:line="360" w:lineRule="auto"/>
        <w:ind w:firstLine="472" w:firstLineChars="197"/>
        <w:rPr>
          <w:rFonts w:asciiTheme="minorEastAsia" w:hAnsiTheme="minorEastAsia" w:eastAsiaTheme="minorEastAsia" w:cstheme="minorEastAsia"/>
          <w:sz w:val="24"/>
          <w:szCs w:val="24"/>
        </w:rPr>
      </w:pPr>
    </w:p>
    <w:p>
      <w:pPr>
        <w:snapToGrid w:val="0"/>
        <w:spacing w:line="360" w:lineRule="auto"/>
        <w:ind w:firstLine="472" w:firstLineChars="197"/>
        <w:rPr>
          <w:rFonts w:cstheme="minorBidi"/>
          <w:bCs/>
          <w:color w:val="000000"/>
          <w:sz w:val="24"/>
          <w:szCs w:val="24"/>
        </w:rPr>
      </w:pPr>
      <w:r>
        <w:rPr>
          <w:rFonts w:hint="eastAsia" w:asciiTheme="minorEastAsia" w:hAnsiTheme="minorEastAsia" w:eastAsiaTheme="minorEastAsia" w:cstheme="minorEastAsia"/>
          <w:sz w:val="24"/>
          <w:szCs w:val="24"/>
        </w:rPr>
        <w:t>特此公告。</w:t>
      </w:r>
      <w:bookmarkStart w:id="2" w:name="_GoBack"/>
      <w:bookmarkEnd w:id="2"/>
    </w:p>
    <w:p>
      <w:pPr>
        <w:autoSpaceDE w:val="0"/>
        <w:autoSpaceDN w:val="0"/>
        <w:adjustRightInd w:val="0"/>
        <w:spacing w:line="360" w:lineRule="auto"/>
        <w:jc w:val="right"/>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格尔软件股份有限公司董事会</w:t>
      </w:r>
    </w:p>
    <w:p>
      <w:pPr>
        <w:autoSpaceDE w:val="0"/>
        <w:autoSpaceDN w:val="0"/>
        <w:adjustRightInd w:val="0"/>
        <w:spacing w:line="360" w:lineRule="auto"/>
        <w:jc w:val="right"/>
        <w:rPr>
          <w:rFonts w:eastAsiaTheme="minorEastAsia"/>
          <w:kern w:val="0"/>
          <w:sz w:val="24"/>
          <w:szCs w:val="24"/>
        </w:rPr>
        <w:sectPr>
          <w:pgSz w:w="11906" w:h="16838"/>
          <w:pgMar w:top="1440" w:right="1800" w:bottom="1440" w:left="1800" w:header="851" w:footer="992" w:gutter="0"/>
          <w:cols w:space="425" w:num="1"/>
          <w:docGrid w:type="lines" w:linePitch="312" w:charSpace="0"/>
        </w:sectPr>
      </w:pPr>
      <w:r>
        <w:rPr>
          <w:rFonts w:eastAsiaTheme="minorEastAsia"/>
          <w:kern w:val="0"/>
          <w:sz w:val="24"/>
          <w:szCs w:val="24"/>
        </w:rPr>
        <w:t>202</w:t>
      </w:r>
      <w:r>
        <w:rPr>
          <w:rFonts w:hint="eastAsia" w:eastAsiaTheme="minorEastAsia"/>
          <w:kern w:val="0"/>
          <w:sz w:val="24"/>
          <w:szCs w:val="24"/>
        </w:rPr>
        <w:t>2</w:t>
      </w:r>
      <w:r>
        <w:rPr>
          <w:rFonts w:eastAsiaTheme="minorEastAsia"/>
          <w:kern w:val="0"/>
          <w:sz w:val="24"/>
          <w:szCs w:val="24"/>
        </w:rPr>
        <w:t>年</w:t>
      </w:r>
      <w:r>
        <w:rPr>
          <w:rFonts w:hint="eastAsia" w:eastAsiaTheme="minorEastAsia"/>
          <w:kern w:val="0"/>
          <w:sz w:val="24"/>
          <w:szCs w:val="24"/>
        </w:rPr>
        <w:t>8</w:t>
      </w:r>
      <w:r>
        <w:rPr>
          <w:rFonts w:eastAsiaTheme="minorEastAsia"/>
          <w:kern w:val="0"/>
          <w:sz w:val="24"/>
          <w:szCs w:val="24"/>
        </w:rPr>
        <w:t>月2</w:t>
      </w:r>
      <w:r>
        <w:rPr>
          <w:rFonts w:hint="eastAsia" w:eastAsiaTheme="minorEastAsia"/>
          <w:kern w:val="0"/>
          <w:sz w:val="24"/>
          <w:szCs w:val="24"/>
        </w:rPr>
        <w:t>4</w:t>
      </w:r>
      <w:r>
        <w:rPr>
          <w:rFonts w:eastAsiaTheme="minorEastAsia"/>
          <w:kern w:val="0"/>
          <w:sz w:val="24"/>
          <w:szCs w:val="24"/>
        </w:rPr>
        <w:t>日</w:t>
      </w:r>
    </w:p>
    <w:p>
      <w:pPr>
        <w:widowControl/>
        <w:jc w:val="left"/>
        <w:rPr>
          <w:color w:val="000000"/>
          <w:sz w:val="20"/>
        </w:rPr>
      </w:pPr>
      <w:r>
        <w:rPr>
          <w:rFonts w:hint="eastAsia"/>
          <w:color w:val="000000"/>
          <w:sz w:val="20"/>
        </w:rPr>
        <w:t>附表1</w:t>
      </w:r>
    </w:p>
    <w:p>
      <w:pPr>
        <w:snapToGrid w:val="0"/>
        <w:spacing w:line="370" w:lineRule="atLeast"/>
        <w:jc w:val="center"/>
        <w:rPr>
          <w:b/>
          <w:color w:val="000000"/>
          <w:kern w:val="0"/>
          <w:sz w:val="32"/>
          <w:szCs w:val="32"/>
        </w:rPr>
      </w:pPr>
      <w:r>
        <w:rPr>
          <w:b/>
          <w:color w:val="000000"/>
          <w:kern w:val="0"/>
          <w:sz w:val="32"/>
          <w:szCs w:val="32"/>
        </w:rPr>
        <w:t>募集资金使用情况对照表</w:t>
      </w:r>
    </w:p>
    <w:p>
      <w:pPr>
        <w:snapToGrid w:val="0"/>
        <w:jc w:val="center"/>
        <w:rPr>
          <w:color w:val="000000"/>
          <w:sz w:val="20"/>
        </w:rPr>
      </w:pPr>
      <w:r>
        <w:rPr>
          <w:rFonts w:hint="eastAsia"/>
          <w:color w:val="000000"/>
          <w:sz w:val="20"/>
        </w:rPr>
        <w:t>2022</w:t>
      </w:r>
      <w:r>
        <w:rPr>
          <w:color w:val="000000"/>
          <w:sz w:val="20"/>
        </w:rPr>
        <w:t>年</w:t>
      </w:r>
      <w:r>
        <w:rPr>
          <w:rFonts w:hint="eastAsia"/>
          <w:color w:val="000000"/>
          <w:sz w:val="20"/>
        </w:rPr>
        <w:t>半年</w:t>
      </w:r>
      <w:r>
        <w:rPr>
          <w:color w:val="000000"/>
          <w:sz w:val="20"/>
        </w:rPr>
        <w:t>度</w:t>
      </w:r>
    </w:p>
    <w:p>
      <w:pPr>
        <w:snapToGrid w:val="0"/>
        <w:jc w:val="left"/>
        <w:rPr>
          <w:color w:val="000000"/>
          <w:sz w:val="20"/>
        </w:rPr>
      </w:pPr>
      <w:r>
        <w:rPr>
          <w:rFonts w:hint="eastAsia"/>
          <w:color w:val="000000"/>
          <w:sz w:val="20"/>
        </w:rPr>
        <w:t>编制单位：格尔软件股份有限公司</w:t>
      </w:r>
    </w:p>
    <w:p>
      <w:pPr>
        <w:snapToGrid w:val="0"/>
        <w:jc w:val="left"/>
        <w:rPr>
          <w:color w:val="000000"/>
          <w:sz w:val="20"/>
        </w:rPr>
      </w:pPr>
      <w:r>
        <w:rPr>
          <w:rFonts w:hint="eastAsia"/>
          <w:color w:val="000000"/>
          <w:sz w:val="20"/>
        </w:rPr>
        <w:t>非公开发行募集资金</w:t>
      </w:r>
    </w:p>
    <w:p>
      <w:pPr>
        <w:snapToGrid w:val="0"/>
        <w:jc w:val="right"/>
        <w:rPr>
          <w:sz w:val="20"/>
        </w:rPr>
      </w:pPr>
      <w:r>
        <w:rPr>
          <w:sz w:val="20"/>
        </w:rPr>
        <w:t>单位：人民币万元</w:t>
      </w:r>
    </w:p>
    <w:tbl>
      <w:tblPr>
        <w:tblStyle w:val="4"/>
        <w:tblW w:w="14174" w:type="dxa"/>
        <w:jc w:val="center"/>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
      <w:tblGrid>
        <w:gridCol w:w="1384"/>
        <w:gridCol w:w="955"/>
        <w:gridCol w:w="1134"/>
        <w:gridCol w:w="992"/>
        <w:gridCol w:w="1276"/>
        <w:gridCol w:w="1171"/>
        <w:gridCol w:w="955"/>
        <w:gridCol w:w="1276"/>
        <w:gridCol w:w="1134"/>
        <w:gridCol w:w="1134"/>
        <w:gridCol w:w="961"/>
        <w:gridCol w:w="1000"/>
        <w:gridCol w:w="802"/>
      </w:tblGrid>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jc w:val="center"/>
        </w:trPr>
        <w:tc>
          <w:tcPr>
            <w:tcW w:w="4465" w:type="dxa"/>
            <w:gridSpan w:val="4"/>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募集资金总额</w:t>
            </w:r>
          </w:p>
        </w:tc>
        <w:tc>
          <w:tcPr>
            <w:tcW w:w="2447" w:type="dxa"/>
            <w:gridSpan w:val="2"/>
            <w:shd w:val="clear" w:color="auto" w:fill="auto"/>
            <w:vAlign w:val="center"/>
          </w:tcPr>
          <w:p>
            <w:pPr>
              <w:widowControl/>
              <w:jc w:val="center"/>
              <w:rPr>
                <w:rFonts w:ascii="Garamond" w:hAnsi="Garamond"/>
                <w:kern w:val="0"/>
                <w:sz w:val="24"/>
                <w:szCs w:val="22"/>
              </w:rPr>
            </w:pPr>
            <w:r>
              <w:rPr>
                <w:sz w:val="18"/>
                <w:szCs w:val="16"/>
              </w:rPr>
              <w:t>63,595.5</w:t>
            </w:r>
            <w:r>
              <w:rPr>
                <w:rFonts w:hint="eastAsia"/>
                <w:sz w:val="18"/>
                <w:szCs w:val="16"/>
              </w:rPr>
              <w:t>9</w:t>
            </w:r>
          </w:p>
        </w:tc>
        <w:tc>
          <w:tcPr>
            <w:tcW w:w="5460" w:type="dxa"/>
            <w:gridSpan w:val="5"/>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本年度投入募集资金总额</w:t>
            </w:r>
          </w:p>
        </w:tc>
        <w:tc>
          <w:tcPr>
            <w:tcW w:w="1802" w:type="dxa"/>
            <w:gridSpan w:val="2"/>
            <w:shd w:val="clear" w:color="auto" w:fill="auto"/>
            <w:vAlign w:val="center"/>
          </w:tcPr>
          <w:p>
            <w:pPr>
              <w:widowControl/>
              <w:jc w:val="center"/>
              <w:rPr>
                <w:kern w:val="0"/>
                <w:sz w:val="18"/>
                <w:szCs w:val="18"/>
              </w:rPr>
            </w:pPr>
            <w:r>
              <w:rPr>
                <w:sz w:val="18"/>
                <w:szCs w:val="18"/>
              </w:rPr>
              <w:t>1</w:t>
            </w:r>
            <w:r>
              <w:rPr>
                <w:rFonts w:hint="eastAsia"/>
                <w:sz w:val="18"/>
                <w:szCs w:val="18"/>
              </w:rPr>
              <w:t>,129</w:t>
            </w:r>
            <w:r>
              <w:rPr>
                <w:sz w:val="18"/>
                <w:szCs w:val="18"/>
              </w:rPr>
              <w:t>.</w:t>
            </w:r>
            <w:r>
              <w:rPr>
                <w:rFonts w:hint="eastAsia"/>
                <w:sz w:val="18"/>
                <w:szCs w:val="18"/>
              </w:rPr>
              <w:t>48</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jc w:val="center"/>
        </w:trPr>
        <w:tc>
          <w:tcPr>
            <w:tcW w:w="4465" w:type="dxa"/>
            <w:gridSpan w:val="4"/>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变更用途的募集资金总额</w:t>
            </w:r>
          </w:p>
        </w:tc>
        <w:tc>
          <w:tcPr>
            <w:tcW w:w="2447" w:type="dxa"/>
            <w:gridSpan w:val="2"/>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w:t>
            </w:r>
          </w:p>
        </w:tc>
        <w:tc>
          <w:tcPr>
            <w:tcW w:w="5460" w:type="dxa"/>
            <w:gridSpan w:val="5"/>
            <w:vMerge w:val="restart"/>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已累计投入募集资金总额</w:t>
            </w:r>
          </w:p>
        </w:tc>
        <w:tc>
          <w:tcPr>
            <w:tcW w:w="1802" w:type="dxa"/>
            <w:gridSpan w:val="2"/>
            <w:vMerge w:val="restart"/>
            <w:shd w:val="clear" w:color="auto" w:fill="auto"/>
            <w:vAlign w:val="center"/>
          </w:tcPr>
          <w:p>
            <w:pPr>
              <w:jc w:val="center"/>
              <w:rPr>
                <w:sz w:val="18"/>
                <w:szCs w:val="18"/>
              </w:rPr>
            </w:pPr>
            <w:r>
              <w:rPr>
                <w:rFonts w:hint="eastAsia"/>
                <w:sz w:val="18"/>
                <w:szCs w:val="18"/>
              </w:rPr>
              <w:t>22,521.04</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jc w:val="center"/>
        </w:trPr>
        <w:tc>
          <w:tcPr>
            <w:tcW w:w="4465" w:type="dxa"/>
            <w:gridSpan w:val="4"/>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变更用途的募集资金总额比例</w:t>
            </w:r>
          </w:p>
        </w:tc>
        <w:tc>
          <w:tcPr>
            <w:tcW w:w="2447" w:type="dxa"/>
            <w:gridSpan w:val="2"/>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w:t>
            </w:r>
          </w:p>
        </w:tc>
        <w:tc>
          <w:tcPr>
            <w:tcW w:w="5460" w:type="dxa"/>
            <w:gridSpan w:val="5"/>
            <w:vMerge w:val="continue"/>
            <w:shd w:val="clear" w:color="auto" w:fill="auto"/>
            <w:vAlign w:val="center"/>
          </w:tcPr>
          <w:p>
            <w:pPr>
              <w:widowControl/>
              <w:snapToGrid w:val="0"/>
              <w:spacing w:line="280" w:lineRule="exact"/>
              <w:jc w:val="center"/>
              <w:rPr>
                <w:color w:val="000000"/>
                <w:kern w:val="0"/>
                <w:sz w:val="18"/>
                <w:szCs w:val="18"/>
              </w:rPr>
            </w:pPr>
          </w:p>
        </w:tc>
        <w:tc>
          <w:tcPr>
            <w:tcW w:w="1802" w:type="dxa"/>
            <w:gridSpan w:val="2"/>
            <w:vMerge w:val="continue"/>
            <w:shd w:val="clear" w:color="auto" w:fill="auto"/>
            <w:vAlign w:val="center"/>
          </w:tcPr>
          <w:p>
            <w:pPr>
              <w:widowControl/>
              <w:snapToGrid w:val="0"/>
              <w:spacing w:line="280" w:lineRule="exact"/>
              <w:jc w:val="left"/>
              <w:rPr>
                <w:color w:val="000000"/>
                <w:kern w:val="0"/>
                <w:sz w:val="18"/>
                <w:szCs w:val="18"/>
              </w:rPr>
            </w:pP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701" w:hRule="atLeast"/>
          <w:jc w:val="center"/>
        </w:trPr>
        <w:tc>
          <w:tcPr>
            <w:tcW w:w="1384"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承诺投资项目</w:t>
            </w:r>
          </w:p>
        </w:tc>
        <w:tc>
          <w:tcPr>
            <w:tcW w:w="955"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已变更项目，含部分变更（如有）</w:t>
            </w:r>
          </w:p>
        </w:tc>
        <w:tc>
          <w:tcPr>
            <w:tcW w:w="1134"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募集资金承诺投资总额</w:t>
            </w:r>
          </w:p>
        </w:tc>
        <w:tc>
          <w:tcPr>
            <w:tcW w:w="992"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调整后投资总额</w:t>
            </w:r>
          </w:p>
        </w:tc>
        <w:tc>
          <w:tcPr>
            <w:tcW w:w="1276"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截至期末承诺投入金额(1)</w:t>
            </w:r>
          </w:p>
        </w:tc>
        <w:tc>
          <w:tcPr>
            <w:tcW w:w="1171"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本年度投入金额</w:t>
            </w:r>
          </w:p>
        </w:tc>
        <w:tc>
          <w:tcPr>
            <w:tcW w:w="955"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截至期末累计投入金额(2)</w:t>
            </w:r>
          </w:p>
        </w:tc>
        <w:tc>
          <w:tcPr>
            <w:tcW w:w="1276"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截至期末累计投入金额与承诺投入金额的差额(3)＝(2)-(1)</w:t>
            </w:r>
          </w:p>
        </w:tc>
        <w:tc>
          <w:tcPr>
            <w:tcW w:w="1134"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截至期末投入进度（%）(4)＝(2)/(1)</w:t>
            </w:r>
          </w:p>
        </w:tc>
        <w:tc>
          <w:tcPr>
            <w:tcW w:w="1134"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项目达到预定可使用状态日期</w:t>
            </w:r>
          </w:p>
        </w:tc>
        <w:tc>
          <w:tcPr>
            <w:tcW w:w="961"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本年度实现的效益</w:t>
            </w:r>
          </w:p>
        </w:tc>
        <w:tc>
          <w:tcPr>
            <w:tcW w:w="1000"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是否达到预计效益</w:t>
            </w:r>
          </w:p>
        </w:tc>
        <w:tc>
          <w:tcPr>
            <w:tcW w:w="802"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项目可行性是否发生重大</w:t>
            </w:r>
          </w:p>
          <w:p>
            <w:pPr>
              <w:widowControl/>
              <w:snapToGrid w:val="0"/>
              <w:spacing w:line="280" w:lineRule="exact"/>
              <w:jc w:val="center"/>
              <w:rPr>
                <w:color w:val="000000"/>
                <w:kern w:val="0"/>
                <w:sz w:val="18"/>
                <w:szCs w:val="18"/>
              </w:rPr>
            </w:pPr>
            <w:r>
              <w:rPr>
                <w:color w:val="000000"/>
                <w:kern w:val="0"/>
                <w:sz w:val="18"/>
                <w:szCs w:val="18"/>
              </w:rPr>
              <w:t>变化</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99" w:hRule="atLeast"/>
          <w:jc w:val="center"/>
        </w:trPr>
        <w:tc>
          <w:tcPr>
            <w:tcW w:w="1384" w:type="dxa"/>
            <w:shd w:val="clear" w:color="auto" w:fill="auto"/>
            <w:vAlign w:val="center"/>
          </w:tcPr>
          <w:p>
            <w:pPr>
              <w:widowControl/>
              <w:spacing w:line="280" w:lineRule="exact"/>
              <w:rPr>
                <w:color w:val="000000"/>
                <w:kern w:val="0"/>
                <w:sz w:val="18"/>
                <w:szCs w:val="18"/>
              </w:rPr>
            </w:pPr>
            <w:r>
              <w:rPr>
                <w:rFonts w:hint="eastAsia"/>
                <w:color w:val="000000"/>
                <w:kern w:val="0"/>
                <w:sz w:val="18"/>
                <w:szCs w:val="18"/>
              </w:rPr>
              <w:t>智联网安全技术研发与产业化项目</w:t>
            </w:r>
          </w:p>
        </w:tc>
        <w:tc>
          <w:tcPr>
            <w:tcW w:w="955" w:type="dxa"/>
            <w:shd w:val="clear" w:color="auto" w:fill="auto"/>
            <w:vAlign w:val="center"/>
          </w:tcPr>
          <w:p>
            <w:pPr>
              <w:jc w:val="center"/>
              <w:rPr>
                <w:rFonts w:cs="宋体"/>
                <w:sz w:val="18"/>
                <w:szCs w:val="18"/>
              </w:rPr>
            </w:pPr>
            <w:r>
              <w:rPr>
                <w:rFonts w:hint="eastAsia"/>
                <w:sz w:val="18"/>
                <w:szCs w:val="18"/>
              </w:rPr>
              <w:t>否</w:t>
            </w:r>
          </w:p>
        </w:tc>
        <w:tc>
          <w:tcPr>
            <w:tcW w:w="1134" w:type="dxa"/>
            <w:shd w:val="clear" w:color="auto" w:fill="auto"/>
            <w:vAlign w:val="center"/>
          </w:tcPr>
          <w:p>
            <w:pPr>
              <w:jc w:val="center"/>
              <w:rPr>
                <w:sz w:val="18"/>
                <w:szCs w:val="18"/>
              </w:rPr>
            </w:pPr>
            <w:r>
              <w:rPr>
                <w:sz w:val="18"/>
                <w:szCs w:val="18"/>
              </w:rPr>
              <w:t>20,957.79</w:t>
            </w:r>
          </w:p>
        </w:tc>
        <w:tc>
          <w:tcPr>
            <w:tcW w:w="992" w:type="dxa"/>
            <w:shd w:val="clear" w:color="auto" w:fill="auto"/>
            <w:vAlign w:val="center"/>
          </w:tcPr>
          <w:p>
            <w:pPr>
              <w:jc w:val="center"/>
              <w:rPr>
                <w:sz w:val="18"/>
                <w:szCs w:val="18"/>
              </w:rPr>
            </w:pPr>
            <w:r>
              <w:rPr>
                <w:sz w:val="18"/>
                <w:szCs w:val="18"/>
              </w:rPr>
              <w:t>20,957.79</w:t>
            </w:r>
          </w:p>
        </w:tc>
        <w:tc>
          <w:tcPr>
            <w:tcW w:w="1276" w:type="dxa"/>
            <w:shd w:val="clear" w:color="auto" w:fill="auto"/>
            <w:vAlign w:val="center"/>
          </w:tcPr>
          <w:p>
            <w:pPr>
              <w:jc w:val="center"/>
              <w:rPr>
                <w:sz w:val="18"/>
                <w:szCs w:val="18"/>
              </w:rPr>
            </w:pPr>
            <w:r>
              <w:rPr>
                <w:sz w:val="18"/>
                <w:szCs w:val="18"/>
              </w:rPr>
              <w:t>20,957.79</w:t>
            </w:r>
          </w:p>
        </w:tc>
        <w:tc>
          <w:tcPr>
            <w:tcW w:w="1171" w:type="dxa"/>
            <w:shd w:val="clear" w:color="auto" w:fill="auto"/>
            <w:vAlign w:val="center"/>
          </w:tcPr>
          <w:p>
            <w:pPr>
              <w:jc w:val="center"/>
              <w:rPr>
                <w:sz w:val="18"/>
                <w:szCs w:val="18"/>
              </w:rPr>
            </w:pPr>
            <w:r>
              <w:rPr>
                <w:rFonts w:hint="eastAsia"/>
                <w:sz w:val="18"/>
                <w:szCs w:val="18"/>
              </w:rPr>
              <w:t>155.9</w:t>
            </w:r>
          </w:p>
        </w:tc>
        <w:tc>
          <w:tcPr>
            <w:tcW w:w="955" w:type="dxa"/>
            <w:shd w:val="clear" w:color="auto" w:fill="auto"/>
            <w:vAlign w:val="center"/>
          </w:tcPr>
          <w:p>
            <w:pPr>
              <w:jc w:val="center"/>
              <w:rPr>
                <w:sz w:val="18"/>
                <w:szCs w:val="18"/>
              </w:rPr>
            </w:pPr>
            <w:r>
              <w:rPr>
                <w:rFonts w:hint="eastAsia"/>
                <w:sz w:val="18"/>
                <w:szCs w:val="18"/>
              </w:rPr>
              <w:t>1,237.87</w:t>
            </w:r>
          </w:p>
        </w:tc>
        <w:tc>
          <w:tcPr>
            <w:tcW w:w="1276" w:type="dxa"/>
            <w:shd w:val="clear" w:color="auto" w:fill="auto"/>
            <w:vAlign w:val="center"/>
          </w:tcPr>
          <w:p>
            <w:pPr>
              <w:jc w:val="center"/>
              <w:rPr>
                <w:sz w:val="18"/>
                <w:szCs w:val="18"/>
              </w:rPr>
            </w:pPr>
            <w:r>
              <w:rPr>
                <w:rFonts w:hint="eastAsia"/>
                <w:sz w:val="18"/>
                <w:szCs w:val="18"/>
              </w:rPr>
              <w:t>-19,719.72</w:t>
            </w:r>
          </w:p>
        </w:tc>
        <w:tc>
          <w:tcPr>
            <w:tcW w:w="1134" w:type="dxa"/>
            <w:shd w:val="clear" w:color="auto" w:fill="auto"/>
            <w:vAlign w:val="center"/>
          </w:tcPr>
          <w:p>
            <w:pPr>
              <w:jc w:val="center"/>
              <w:rPr>
                <w:sz w:val="18"/>
                <w:szCs w:val="18"/>
              </w:rPr>
            </w:pPr>
            <w:r>
              <w:rPr>
                <w:rFonts w:hint="eastAsia"/>
                <w:sz w:val="18"/>
                <w:szCs w:val="18"/>
              </w:rPr>
              <w:t>5.91</w:t>
            </w:r>
          </w:p>
        </w:tc>
        <w:tc>
          <w:tcPr>
            <w:tcW w:w="1134" w:type="dxa"/>
            <w:shd w:val="clear" w:color="auto" w:fill="auto"/>
            <w:vAlign w:val="center"/>
          </w:tcPr>
          <w:p>
            <w:pPr>
              <w:jc w:val="center"/>
              <w:rPr>
                <w:sz w:val="18"/>
                <w:szCs w:val="18"/>
              </w:rPr>
            </w:pPr>
            <w:r>
              <w:rPr>
                <w:rFonts w:hint="eastAsia"/>
                <w:sz w:val="18"/>
                <w:szCs w:val="18"/>
              </w:rPr>
              <w:t>2023年12月31日</w:t>
            </w:r>
          </w:p>
        </w:tc>
        <w:tc>
          <w:tcPr>
            <w:tcW w:w="961" w:type="dxa"/>
            <w:shd w:val="clear" w:color="auto" w:fill="auto"/>
            <w:vAlign w:val="center"/>
          </w:tcPr>
          <w:p>
            <w:pPr>
              <w:jc w:val="center"/>
              <w:rPr>
                <w:sz w:val="18"/>
                <w:szCs w:val="18"/>
              </w:rPr>
            </w:pPr>
            <w:r>
              <w:rPr>
                <w:rFonts w:hint="eastAsia"/>
                <w:sz w:val="18"/>
                <w:szCs w:val="18"/>
              </w:rPr>
              <w:t>不适用</w:t>
            </w:r>
          </w:p>
        </w:tc>
        <w:tc>
          <w:tcPr>
            <w:tcW w:w="1000" w:type="dxa"/>
            <w:shd w:val="clear" w:color="auto" w:fill="auto"/>
            <w:vAlign w:val="center"/>
          </w:tcPr>
          <w:p>
            <w:pPr>
              <w:jc w:val="center"/>
              <w:rPr>
                <w:sz w:val="18"/>
                <w:szCs w:val="18"/>
              </w:rPr>
            </w:pPr>
            <w:r>
              <w:rPr>
                <w:rFonts w:hint="eastAsia"/>
                <w:sz w:val="18"/>
                <w:szCs w:val="18"/>
              </w:rPr>
              <w:t>不适用</w:t>
            </w:r>
          </w:p>
        </w:tc>
        <w:tc>
          <w:tcPr>
            <w:tcW w:w="802" w:type="dxa"/>
            <w:shd w:val="clear" w:color="auto" w:fill="auto"/>
            <w:vAlign w:val="center"/>
          </w:tcPr>
          <w:p>
            <w:pPr>
              <w:jc w:val="center"/>
              <w:rPr>
                <w:sz w:val="18"/>
                <w:szCs w:val="18"/>
              </w:rPr>
            </w:pPr>
            <w:r>
              <w:rPr>
                <w:rFonts w:hint="eastAsia"/>
                <w:sz w:val="18"/>
                <w:szCs w:val="18"/>
              </w:rPr>
              <w:t>否</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534" w:hRule="atLeast"/>
          <w:jc w:val="center"/>
        </w:trPr>
        <w:tc>
          <w:tcPr>
            <w:tcW w:w="1384" w:type="dxa"/>
            <w:shd w:val="clear" w:color="auto" w:fill="auto"/>
            <w:vAlign w:val="center"/>
          </w:tcPr>
          <w:p>
            <w:pPr>
              <w:widowControl/>
              <w:spacing w:line="280" w:lineRule="exact"/>
              <w:rPr>
                <w:color w:val="000000"/>
                <w:kern w:val="0"/>
                <w:sz w:val="18"/>
                <w:szCs w:val="18"/>
              </w:rPr>
            </w:pPr>
            <w:r>
              <w:rPr>
                <w:rFonts w:hint="eastAsia"/>
                <w:color w:val="000000"/>
                <w:kern w:val="0"/>
                <w:sz w:val="18"/>
                <w:szCs w:val="18"/>
              </w:rPr>
              <w:t>下一代数字信任产品研发与产业化项目</w:t>
            </w:r>
          </w:p>
        </w:tc>
        <w:tc>
          <w:tcPr>
            <w:tcW w:w="955" w:type="dxa"/>
            <w:shd w:val="clear" w:color="auto" w:fill="auto"/>
            <w:vAlign w:val="center"/>
          </w:tcPr>
          <w:p>
            <w:pPr>
              <w:jc w:val="center"/>
              <w:rPr>
                <w:rFonts w:cs="宋体"/>
                <w:sz w:val="18"/>
                <w:szCs w:val="18"/>
              </w:rPr>
            </w:pPr>
            <w:r>
              <w:rPr>
                <w:rFonts w:hint="eastAsia"/>
                <w:sz w:val="18"/>
                <w:szCs w:val="18"/>
              </w:rPr>
              <w:t>否</w:t>
            </w:r>
          </w:p>
        </w:tc>
        <w:tc>
          <w:tcPr>
            <w:tcW w:w="1134" w:type="dxa"/>
            <w:shd w:val="clear" w:color="auto" w:fill="auto"/>
            <w:vAlign w:val="center"/>
          </w:tcPr>
          <w:p>
            <w:pPr>
              <w:jc w:val="center"/>
              <w:rPr>
                <w:sz w:val="18"/>
                <w:szCs w:val="18"/>
              </w:rPr>
            </w:pPr>
            <w:r>
              <w:rPr>
                <w:sz w:val="18"/>
                <w:szCs w:val="18"/>
              </w:rPr>
              <w:t>24,637.79</w:t>
            </w:r>
          </w:p>
        </w:tc>
        <w:tc>
          <w:tcPr>
            <w:tcW w:w="992" w:type="dxa"/>
            <w:shd w:val="clear" w:color="auto" w:fill="auto"/>
            <w:vAlign w:val="center"/>
          </w:tcPr>
          <w:p>
            <w:pPr>
              <w:jc w:val="center"/>
              <w:rPr>
                <w:sz w:val="18"/>
                <w:szCs w:val="18"/>
              </w:rPr>
            </w:pPr>
            <w:r>
              <w:rPr>
                <w:sz w:val="18"/>
                <w:szCs w:val="18"/>
              </w:rPr>
              <w:t>24,637.79</w:t>
            </w:r>
          </w:p>
        </w:tc>
        <w:tc>
          <w:tcPr>
            <w:tcW w:w="1276" w:type="dxa"/>
            <w:shd w:val="clear" w:color="auto" w:fill="auto"/>
            <w:vAlign w:val="center"/>
          </w:tcPr>
          <w:p>
            <w:pPr>
              <w:jc w:val="center"/>
              <w:rPr>
                <w:sz w:val="18"/>
                <w:szCs w:val="18"/>
              </w:rPr>
            </w:pPr>
            <w:r>
              <w:rPr>
                <w:sz w:val="18"/>
                <w:szCs w:val="18"/>
              </w:rPr>
              <w:t>24,637.79</w:t>
            </w:r>
          </w:p>
        </w:tc>
        <w:tc>
          <w:tcPr>
            <w:tcW w:w="1171" w:type="dxa"/>
            <w:shd w:val="clear" w:color="auto" w:fill="auto"/>
            <w:vAlign w:val="center"/>
          </w:tcPr>
          <w:p>
            <w:pPr>
              <w:jc w:val="center"/>
              <w:rPr>
                <w:sz w:val="18"/>
                <w:szCs w:val="18"/>
              </w:rPr>
            </w:pPr>
            <w:r>
              <w:rPr>
                <w:rFonts w:hint="eastAsia"/>
                <w:sz w:val="18"/>
                <w:szCs w:val="18"/>
              </w:rPr>
              <w:t>973.58</w:t>
            </w:r>
          </w:p>
        </w:tc>
        <w:tc>
          <w:tcPr>
            <w:tcW w:w="955" w:type="dxa"/>
            <w:shd w:val="clear" w:color="auto" w:fill="auto"/>
            <w:vAlign w:val="center"/>
          </w:tcPr>
          <w:p>
            <w:pPr>
              <w:jc w:val="center"/>
              <w:rPr>
                <w:sz w:val="18"/>
                <w:szCs w:val="18"/>
              </w:rPr>
            </w:pPr>
            <w:r>
              <w:rPr>
                <w:rFonts w:hint="eastAsia"/>
                <w:sz w:val="18"/>
                <w:szCs w:val="18"/>
              </w:rPr>
              <w:t>3,070.33</w:t>
            </w:r>
          </w:p>
        </w:tc>
        <w:tc>
          <w:tcPr>
            <w:tcW w:w="1276" w:type="dxa"/>
            <w:shd w:val="clear" w:color="auto" w:fill="auto"/>
            <w:vAlign w:val="center"/>
          </w:tcPr>
          <w:p>
            <w:pPr>
              <w:jc w:val="center"/>
              <w:rPr>
                <w:sz w:val="18"/>
                <w:szCs w:val="18"/>
              </w:rPr>
            </w:pPr>
            <w:r>
              <w:rPr>
                <w:sz w:val="18"/>
                <w:szCs w:val="18"/>
              </w:rPr>
              <w:t>-2</w:t>
            </w:r>
            <w:r>
              <w:rPr>
                <w:rFonts w:hint="eastAsia"/>
                <w:sz w:val="18"/>
                <w:szCs w:val="18"/>
              </w:rPr>
              <w:t>1</w:t>
            </w:r>
            <w:r>
              <w:rPr>
                <w:sz w:val="18"/>
                <w:szCs w:val="18"/>
              </w:rPr>
              <w:t>,</w:t>
            </w:r>
            <w:r>
              <w:rPr>
                <w:rFonts w:hint="eastAsia"/>
                <w:sz w:val="18"/>
                <w:szCs w:val="18"/>
              </w:rPr>
              <w:t>567</w:t>
            </w:r>
            <w:r>
              <w:rPr>
                <w:sz w:val="18"/>
                <w:szCs w:val="18"/>
              </w:rPr>
              <w:t>.</w:t>
            </w:r>
            <w:r>
              <w:rPr>
                <w:rFonts w:hint="eastAsia"/>
                <w:sz w:val="18"/>
                <w:szCs w:val="18"/>
              </w:rPr>
              <w:t>48</w:t>
            </w:r>
          </w:p>
        </w:tc>
        <w:tc>
          <w:tcPr>
            <w:tcW w:w="1134" w:type="dxa"/>
            <w:shd w:val="clear" w:color="auto" w:fill="auto"/>
            <w:vAlign w:val="center"/>
          </w:tcPr>
          <w:p>
            <w:pPr>
              <w:jc w:val="center"/>
              <w:rPr>
                <w:sz w:val="18"/>
                <w:szCs w:val="18"/>
              </w:rPr>
            </w:pPr>
            <w:r>
              <w:rPr>
                <w:rFonts w:hint="eastAsia"/>
                <w:sz w:val="18"/>
                <w:szCs w:val="18"/>
              </w:rPr>
              <w:t>12.46</w:t>
            </w:r>
          </w:p>
        </w:tc>
        <w:tc>
          <w:tcPr>
            <w:tcW w:w="1134" w:type="dxa"/>
            <w:shd w:val="clear" w:color="auto" w:fill="auto"/>
            <w:vAlign w:val="center"/>
          </w:tcPr>
          <w:p>
            <w:pPr>
              <w:jc w:val="center"/>
              <w:rPr>
                <w:sz w:val="18"/>
                <w:szCs w:val="18"/>
              </w:rPr>
            </w:pPr>
            <w:r>
              <w:rPr>
                <w:rFonts w:hint="eastAsia"/>
                <w:sz w:val="18"/>
                <w:szCs w:val="18"/>
              </w:rPr>
              <w:t>2023年12月31日</w:t>
            </w:r>
          </w:p>
        </w:tc>
        <w:tc>
          <w:tcPr>
            <w:tcW w:w="961" w:type="dxa"/>
            <w:shd w:val="clear" w:color="auto" w:fill="auto"/>
            <w:vAlign w:val="center"/>
          </w:tcPr>
          <w:p>
            <w:pPr>
              <w:jc w:val="center"/>
              <w:rPr>
                <w:sz w:val="18"/>
                <w:szCs w:val="18"/>
              </w:rPr>
            </w:pPr>
            <w:r>
              <w:rPr>
                <w:rFonts w:hint="eastAsia"/>
                <w:sz w:val="18"/>
                <w:szCs w:val="18"/>
              </w:rPr>
              <w:t>不适用</w:t>
            </w:r>
          </w:p>
        </w:tc>
        <w:tc>
          <w:tcPr>
            <w:tcW w:w="1000" w:type="dxa"/>
            <w:shd w:val="clear" w:color="auto" w:fill="auto"/>
            <w:vAlign w:val="center"/>
          </w:tcPr>
          <w:p>
            <w:pPr>
              <w:jc w:val="center"/>
              <w:rPr>
                <w:sz w:val="18"/>
                <w:szCs w:val="18"/>
              </w:rPr>
            </w:pPr>
            <w:r>
              <w:rPr>
                <w:rFonts w:hint="eastAsia"/>
                <w:sz w:val="18"/>
                <w:szCs w:val="18"/>
              </w:rPr>
              <w:t>不适用</w:t>
            </w:r>
          </w:p>
        </w:tc>
        <w:tc>
          <w:tcPr>
            <w:tcW w:w="802" w:type="dxa"/>
            <w:shd w:val="clear" w:color="auto" w:fill="auto"/>
            <w:vAlign w:val="center"/>
          </w:tcPr>
          <w:p>
            <w:pPr>
              <w:jc w:val="center"/>
              <w:rPr>
                <w:sz w:val="18"/>
                <w:szCs w:val="18"/>
              </w:rPr>
            </w:pPr>
            <w:r>
              <w:rPr>
                <w:rFonts w:hint="eastAsia"/>
                <w:sz w:val="18"/>
                <w:szCs w:val="18"/>
              </w:rPr>
              <w:t>否</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27" w:hRule="atLeast"/>
          <w:jc w:val="center"/>
        </w:trPr>
        <w:tc>
          <w:tcPr>
            <w:tcW w:w="1384" w:type="dxa"/>
            <w:shd w:val="clear" w:color="auto" w:fill="auto"/>
            <w:vAlign w:val="center"/>
          </w:tcPr>
          <w:p>
            <w:pPr>
              <w:widowControl/>
              <w:snapToGrid w:val="0"/>
              <w:spacing w:line="280" w:lineRule="exact"/>
              <w:rPr>
                <w:color w:val="000000"/>
                <w:kern w:val="0"/>
                <w:sz w:val="18"/>
                <w:szCs w:val="18"/>
              </w:rPr>
            </w:pPr>
            <w:r>
              <w:rPr>
                <w:rFonts w:hint="eastAsia"/>
                <w:color w:val="000000"/>
                <w:kern w:val="0"/>
                <w:sz w:val="18"/>
                <w:szCs w:val="18"/>
              </w:rPr>
              <w:t>补充流动资金</w:t>
            </w:r>
          </w:p>
        </w:tc>
        <w:tc>
          <w:tcPr>
            <w:tcW w:w="955" w:type="dxa"/>
            <w:shd w:val="clear" w:color="auto" w:fill="auto"/>
            <w:vAlign w:val="center"/>
          </w:tcPr>
          <w:p>
            <w:pPr>
              <w:jc w:val="center"/>
              <w:rPr>
                <w:rFonts w:cs="宋体"/>
                <w:sz w:val="18"/>
                <w:szCs w:val="18"/>
              </w:rPr>
            </w:pPr>
            <w:r>
              <w:rPr>
                <w:rFonts w:hint="eastAsia"/>
                <w:sz w:val="18"/>
                <w:szCs w:val="18"/>
              </w:rPr>
              <w:t>否</w:t>
            </w:r>
          </w:p>
        </w:tc>
        <w:tc>
          <w:tcPr>
            <w:tcW w:w="1134" w:type="dxa"/>
            <w:shd w:val="clear" w:color="auto" w:fill="auto"/>
            <w:vAlign w:val="center"/>
          </w:tcPr>
          <w:p>
            <w:pPr>
              <w:jc w:val="center"/>
              <w:rPr>
                <w:sz w:val="18"/>
                <w:szCs w:val="18"/>
              </w:rPr>
            </w:pPr>
            <w:r>
              <w:rPr>
                <w:sz w:val="18"/>
                <w:szCs w:val="18"/>
              </w:rPr>
              <w:t>18,000.00</w:t>
            </w:r>
          </w:p>
        </w:tc>
        <w:tc>
          <w:tcPr>
            <w:tcW w:w="992" w:type="dxa"/>
            <w:shd w:val="clear" w:color="auto" w:fill="auto"/>
            <w:vAlign w:val="center"/>
          </w:tcPr>
          <w:p>
            <w:pPr>
              <w:jc w:val="center"/>
              <w:rPr>
                <w:sz w:val="18"/>
                <w:szCs w:val="18"/>
              </w:rPr>
            </w:pPr>
            <w:r>
              <w:rPr>
                <w:sz w:val="18"/>
                <w:szCs w:val="18"/>
              </w:rPr>
              <w:t>18,000.00</w:t>
            </w:r>
          </w:p>
        </w:tc>
        <w:tc>
          <w:tcPr>
            <w:tcW w:w="1276" w:type="dxa"/>
            <w:shd w:val="clear" w:color="auto" w:fill="auto"/>
            <w:vAlign w:val="center"/>
          </w:tcPr>
          <w:p>
            <w:pPr>
              <w:jc w:val="center"/>
              <w:rPr>
                <w:sz w:val="18"/>
                <w:szCs w:val="18"/>
              </w:rPr>
            </w:pPr>
            <w:r>
              <w:rPr>
                <w:sz w:val="18"/>
                <w:szCs w:val="18"/>
              </w:rPr>
              <w:t>18,000.00</w:t>
            </w:r>
          </w:p>
        </w:tc>
        <w:tc>
          <w:tcPr>
            <w:tcW w:w="1171" w:type="dxa"/>
            <w:shd w:val="clear" w:color="auto" w:fill="auto"/>
            <w:vAlign w:val="center"/>
          </w:tcPr>
          <w:p>
            <w:pPr>
              <w:jc w:val="center"/>
              <w:rPr>
                <w:sz w:val="18"/>
                <w:szCs w:val="18"/>
              </w:rPr>
            </w:pPr>
            <w:r>
              <w:rPr>
                <w:rFonts w:hint="eastAsia"/>
                <w:sz w:val="18"/>
                <w:szCs w:val="18"/>
              </w:rPr>
              <w:t>0.00</w:t>
            </w:r>
          </w:p>
        </w:tc>
        <w:tc>
          <w:tcPr>
            <w:tcW w:w="955" w:type="dxa"/>
            <w:shd w:val="clear" w:color="auto" w:fill="auto"/>
            <w:vAlign w:val="center"/>
          </w:tcPr>
          <w:p>
            <w:pPr>
              <w:jc w:val="center"/>
              <w:rPr>
                <w:sz w:val="18"/>
                <w:szCs w:val="18"/>
              </w:rPr>
            </w:pPr>
            <w:r>
              <w:rPr>
                <w:rFonts w:hint="eastAsia"/>
                <w:sz w:val="18"/>
                <w:szCs w:val="18"/>
              </w:rPr>
              <w:t>18,212.84</w:t>
            </w:r>
          </w:p>
        </w:tc>
        <w:tc>
          <w:tcPr>
            <w:tcW w:w="1276" w:type="dxa"/>
            <w:shd w:val="clear" w:color="auto" w:fill="auto"/>
            <w:vAlign w:val="center"/>
          </w:tcPr>
          <w:p>
            <w:pPr>
              <w:jc w:val="center"/>
              <w:rPr>
                <w:sz w:val="18"/>
                <w:szCs w:val="18"/>
              </w:rPr>
            </w:pPr>
            <w:r>
              <w:rPr>
                <w:rFonts w:hint="eastAsia"/>
                <w:sz w:val="18"/>
                <w:szCs w:val="18"/>
              </w:rPr>
              <w:t>212.84</w:t>
            </w:r>
          </w:p>
        </w:tc>
        <w:tc>
          <w:tcPr>
            <w:tcW w:w="1134" w:type="dxa"/>
            <w:shd w:val="clear" w:color="auto" w:fill="auto"/>
            <w:vAlign w:val="center"/>
          </w:tcPr>
          <w:p>
            <w:pPr>
              <w:jc w:val="center"/>
              <w:rPr>
                <w:sz w:val="18"/>
                <w:szCs w:val="18"/>
              </w:rPr>
            </w:pPr>
            <w:r>
              <w:rPr>
                <w:rFonts w:hint="eastAsia"/>
                <w:sz w:val="18"/>
                <w:szCs w:val="18"/>
              </w:rPr>
              <w:t>101.18</w:t>
            </w:r>
          </w:p>
        </w:tc>
        <w:tc>
          <w:tcPr>
            <w:tcW w:w="1134" w:type="dxa"/>
            <w:shd w:val="clear" w:color="auto" w:fill="auto"/>
            <w:vAlign w:val="center"/>
          </w:tcPr>
          <w:p>
            <w:pPr>
              <w:jc w:val="center"/>
              <w:rPr>
                <w:sz w:val="18"/>
                <w:szCs w:val="18"/>
              </w:rPr>
            </w:pPr>
            <w:r>
              <w:rPr>
                <w:rFonts w:hint="eastAsia"/>
                <w:sz w:val="18"/>
                <w:szCs w:val="18"/>
              </w:rPr>
              <w:t>不适用</w:t>
            </w:r>
          </w:p>
        </w:tc>
        <w:tc>
          <w:tcPr>
            <w:tcW w:w="961" w:type="dxa"/>
            <w:shd w:val="clear" w:color="auto" w:fill="auto"/>
            <w:vAlign w:val="center"/>
          </w:tcPr>
          <w:p>
            <w:pPr>
              <w:jc w:val="center"/>
              <w:rPr>
                <w:sz w:val="18"/>
                <w:szCs w:val="18"/>
              </w:rPr>
            </w:pPr>
            <w:r>
              <w:rPr>
                <w:rFonts w:hint="eastAsia"/>
                <w:sz w:val="18"/>
                <w:szCs w:val="18"/>
              </w:rPr>
              <w:t>不适用</w:t>
            </w:r>
          </w:p>
        </w:tc>
        <w:tc>
          <w:tcPr>
            <w:tcW w:w="1000" w:type="dxa"/>
            <w:shd w:val="clear" w:color="auto" w:fill="auto"/>
            <w:vAlign w:val="center"/>
          </w:tcPr>
          <w:p>
            <w:pPr>
              <w:jc w:val="center"/>
              <w:rPr>
                <w:sz w:val="18"/>
                <w:szCs w:val="18"/>
              </w:rPr>
            </w:pPr>
            <w:r>
              <w:rPr>
                <w:rFonts w:hint="eastAsia"/>
                <w:sz w:val="18"/>
                <w:szCs w:val="18"/>
              </w:rPr>
              <w:t>不适用</w:t>
            </w:r>
          </w:p>
        </w:tc>
        <w:tc>
          <w:tcPr>
            <w:tcW w:w="802" w:type="dxa"/>
            <w:shd w:val="clear" w:color="auto" w:fill="auto"/>
            <w:vAlign w:val="center"/>
          </w:tcPr>
          <w:p>
            <w:pPr>
              <w:jc w:val="center"/>
              <w:rPr>
                <w:sz w:val="18"/>
                <w:szCs w:val="18"/>
              </w:rPr>
            </w:pPr>
            <w:r>
              <w:rPr>
                <w:rFonts w:hint="eastAsia"/>
                <w:sz w:val="18"/>
                <w:szCs w:val="18"/>
              </w:rPr>
              <w:t>否</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27" w:hRule="atLeast"/>
          <w:jc w:val="center"/>
        </w:trPr>
        <w:tc>
          <w:tcPr>
            <w:tcW w:w="1384"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合计</w:t>
            </w:r>
          </w:p>
        </w:tc>
        <w:tc>
          <w:tcPr>
            <w:tcW w:w="955" w:type="dxa"/>
            <w:shd w:val="clear" w:color="auto" w:fill="auto"/>
            <w:vAlign w:val="center"/>
          </w:tcPr>
          <w:p>
            <w:pPr>
              <w:jc w:val="center"/>
              <w:rPr>
                <w:b/>
                <w:bCs/>
                <w:sz w:val="18"/>
                <w:szCs w:val="18"/>
              </w:rPr>
            </w:pPr>
          </w:p>
        </w:tc>
        <w:tc>
          <w:tcPr>
            <w:tcW w:w="1134" w:type="dxa"/>
            <w:shd w:val="clear" w:color="auto" w:fill="auto"/>
            <w:vAlign w:val="center"/>
          </w:tcPr>
          <w:p>
            <w:pPr>
              <w:jc w:val="center"/>
              <w:rPr>
                <w:b/>
                <w:bCs/>
                <w:sz w:val="18"/>
                <w:szCs w:val="18"/>
              </w:rPr>
            </w:pPr>
            <w:r>
              <w:rPr>
                <w:b/>
                <w:bCs/>
                <w:sz w:val="18"/>
                <w:szCs w:val="18"/>
              </w:rPr>
              <w:t>63,595.5</w:t>
            </w:r>
            <w:r>
              <w:rPr>
                <w:rFonts w:hint="eastAsia"/>
                <w:b/>
                <w:bCs/>
                <w:sz w:val="18"/>
                <w:szCs w:val="18"/>
              </w:rPr>
              <w:t>9</w:t>
            </w:r>
          </w:p>
        </w:tc>
        <w:tc>
          <w:tcPr>
            <w:tcW w:w="992" w:type="dxa"/>
            <w:shd w:val="clear" w:color="auto" w:fill="auto"/>
            <w:vAlign w:val="center"/>
          </w:tcPr>
          <w:p>
            <w:pPr>
              <w:jc w:val="center"/>
              <w:rPr>
                <w:b/>
                <w:bCs/>
                <w:sz w:val="18"/>
                <w:szCs w:val="18"/>
              </w:rPr>
            </w:pPr>
            <w:r>
              <w:rPr>
                <w:b/>
                <w:bCs/>
                <w:sz w:val="18"/>
                <w:szCs w:val="18"/>
              </w:rPr>
              <w:t>63,595.5</w:t>
            </w:r>
            <w:r>
              <w:rPr>
                <w:rFonts w:hint="eastAsia"/>
                <w:b/>
                <w:bCs/>
                <w:sz w:val="18"/>
                <w:szCs w:val="18"/>
              </w:rPr>
              <w:t>9</w:t>
            </w:r>
          </w:p>
        </w:tc>
        <w:tc>
          <w:tcPr>
            <w:tcW w:w="1276" w:type="dxa"/>
            <w:shd w:val="clear" w:color="auto" w:fill="auto"/>
            <w:vAlign w:val="center"/>
          </w:tcPr>
          <w:p>
            <w:pPr>
              <w:jc w:val="center"/>
              <w:rPr>
                <w:b/>
                <w:bCs/>
                <w:sz w:val="18"/>
                <w:szCs w:val="18"/>
              </w:rPr>
            </w:pPr>
            <w:r>
              <w:rPr>
                <w:b/>
                <w:bCs/>
                <w:sz w:val="18"/>
                <w:szCs w:val="18"/>
              </w:rPr>
              <w:t>63,595.5</w:t>
            </w:r>
            <w:r>
              <w:rPr>
                <w:rFonts w:hint="eastAsia"/>
                <w:b/>
                <w:bCs/>
                <w:sz w:val="18"/>
                <w:szCs w:val="18"/>
              </w:rPr>
              <w:t>9</w:t>
            </w:r>
          </w:p>
        </w:tc>
        <w:tc>
          <w:tcPr>
            <w:tcW w:w="1171" w:type="dxa"/>
            <w:shd w:val="clear" w:color="auto" w:fill="auto"/>
            <w:vAlign w:val="center"/>
          </w:tcPr>
          <w:p>
            <w:pPr>
              <w:jc w:val="center"/>
              <w:rPr>
                <w:b/>
                <w:bCs/>
                <w:sz w:val="18"/>
                <w:szCs w:val="18"/>
              </w:rPr>
            </w:pPr>
            <w:r>
              <w:rPr>
                <w:rFonts w:hint="eastAsia"/>
                <w:b/>
                <w:bCs/>
                <w:sz w:val="18"/>
                <w:szCs w:val="18"/>
              </w:rPr>
              <w:t>1,129.48</w:t>
            </w:r>
          </w:p>
        </w:tc>
        <w:tc>
          <w:tcPr>
            <w:tcW w:w="955" w:type="dxa"/>
            <w:shd w:val="clear" w:color="auto" w:fill="auto"/>
            <w:vAlign w:val="center"/>
          </w:tcPr>
          <w:p>
            <w:pPr>
              <w:jc w:val="center"/>
              <w:rPr>
                <w:b/>
                <w:bCs/>
                <w:sz w:val="18"/>
                <w:szCs w:val="18"/>
              </w:rPr>
            </w:pPr>
            <w:r>
              <w:rPr>
                <w:rFonts w:hint="eastAsia"/>
                <w:b/>
                <w:bCs/>
                <w:sz w:val="18"/>
                <w:szCs w:val="18"/>
              </w:rPr>
              <w:t>22,521.04</w:t>
            </w:r>
          </w:p>
        </w:tc>
        <w:tc>
          <w:tcPr>
            <w:tcW w:w="1276" w:type="dxa"/>
            <w:shd w:val="clear" w:color="auto" w:fill="auto"/>
            <w:vAlign w:val="center"/>
          </w:tcPr>
          <w:p>
            <w:pPr>
              <w:jc w:val="center"/>
              <w:rPr>
                <w:b/>
                <w:bCs/>
                <w:sz w:val="18"/>
                <w:szCs w:val="18"/>
              </w:rPr>
            </w:pPr>
            <w:r>
              <w:rPr>
                <w:b/>
                <w:bCs/>
                <w:sz w:val="18"/>
                <w:szCs w:val="18"/>
              </w:rPr>
              <w:t>-4</w:t>
            </w:r>
            <w:r>
              <w:rPr>
                <w:rFonts w:hint="eastAsia"/>
                <w:b/>
                <w:bCs/>
                <w:sz w:val="18"/>
                <w:szCs w:val="18"/>
              </w:rPr>
              <w:t>1</w:t>
            </w:r>
            <w:r>
              <w:rPr>
                <w:b/>
                <w:bCs/>
                <w:sz w:val="18"/>
                <w:szCs w:val="18"/>
              </w:rPr>
              <w:t>,</w:t>
            </w:r>
            <w:r>
              <w:rPr>
                <w:rFonts w:hint="eastAsia"/>
                <w:b/>
                <w:bCs/>
                <w:sz w:val="18"/>
                <w:szCs w:val="18"/>
              </w:rPr>
              <w:t>074</w:t>
            </w:r>
            <w:r>
              <w:rPr>
                <w:b/>
                <w:bCs/>
                <w:sz w:val="18"/>
                <w:szCs w:val="18"/>
              </w:rPr>
              <w:t>.</w:t>
            </w:r>
            <w:r>
              <w:rPr>
                <w:rFonts w:hint="eastAsia"/>
                <w:b/>
                <w:bCs/>
                <w:sz w:val="18"/>
                <w:szCs w:val="18"/>
              </w:rPr>
              <w:t>54</w:t>
            </w:r>
          </w:p>
        </w:tc>
        <w:tc>
          <w:tcPr>
            <w:tcW w:w="1134" w:type="dxa"/>
            <w:shd w:val="clear" w:color="auto" w:fill="auto"/>
            <w:vAlign w:val="center"/>
          </w:tcPr>
          <w:p>
            <w:pPr>
              <w:jc w:val="center"/>
              <w:rPr>
                <w:b/>
                <w:bCs/>
                <w:sz w:val="18"/>
                <w:szCs w:val="18"/>
              </w:rPr>
            </w:pPr>
            <w:r>
              <w:rPr>
                <w:rFonts w:hint="eastAsia"/>
                <w:b/>
                <w:bCs/>
                <w:sz w:val="18"/>
                <w:szCs w:val="18"/>
              </w:rPr>
              <w:t>35.41</w:t>
            </w:r>
          </w:p>
        </w:tc>
        <w:tc>
          <w:tcPr>
            <w:tcW w:w="1134" w:type="dxa"/>
            <w:shd w:val="clear" w:color="auto" w:fill="auto"/>
            <w:vAlign w:val="center"/>
          </w:tcPr>
          <w:p>
            <w:pPr>
              <w:jc w:val="center"/>
              <w:rPr>
                <w:b/>
                <w:bCs/>
                <w:sz w:val="18"/>
                <w:szCs w:val="18"/>
              </w:rPr>
            </w:pPr>
          </w:p>
        </w:tc>
        <w:tc>
          <w:tcPr>
            <w:tcW w:w="961" w:type="dxa"/>
            <w:shd w:val="clear" w:color="auto" w:fill="auto"/>
            <w:vAlign w:val="center"/>
          </w:tcPr>
          <w:p>
            <w:pPr>
              <w:jc w:val="center"/>
              <w:rPr>
                <w:b/>
                <w:bCs/>
                <w:sz w:val="18"/>
                <w:szCs w:val="18"/>
              </w:rPr>
            </w:pPr>
          </w:p>
        </w:tc>
        <w:tc>
          <w:tcPr>
            <w:tcW w:w="1000" w:type="dxa"/>
            <w:shd w:val="clear" w:color="auto" w:fill="auto"/>
            <w:vAlign w:val="center"/>
          </w:tcPr>
          <w:p>
            <w:pPr>
              <w:jc w:val="center"/>
              <w:rPr>
                <w:b/>
                <w:bCs/>
                <w:sz w:val="18"/>
                <w:szCs w:val="18"/>
              </w:rPr>
            </w:pPr>
          </w:p>
        </w:tc>
        <w:tc>
          <w:tcPr>
            <w:tcW w:w="802" w:type="dxa"/>
            <w:shd w:val="clear" w:color="auto" w:fill="auto"/>
            <w:vAlign w:val="center"/>
          </w:tcPr>
          <w:p>
            <w:pPr>
              <w:jc w:val="center"/>
              <w:rPr>
                <w:b/>
                <w:bCs/>
                <w:sz w:val="18"/>
                <w:szCs w:val="18"/>
              </w:rPr>
            </w:pP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38" w:hRule="atLeas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未达到计划进度原因（分具体募投项目）</w:t>
            </w:r>
          </w:p>
        </w:tc>
        <w:tc>
          <w:tcPr>
            <w:tcW w:w="8433" w:type="dxa"/>
            <w:gridSpan w:val="8"/>
            <w:shd w:val="clear" w:color="auto" w:fill="auto"/>
            <w:vAlign w:val="center"/>
          </w:tcPr>
          <w:p>
            <w:pPr>
              <w:widowControl/>
              <w:snapToGrid w:val="0"/>
              <w:jc w:val="center"/>
              <w:rPr>
                <w:color w:val="000000"/>
                <w:kern w:val="0"/>
                <w:sz w:val="18"/>
                <w:szCs w:val="18"/>
              </w:rPr>
            </w:pPr>
            <w:r>
              <w:rPr>
                <w:rFonts w:hint="eastAsia"/>
                <w:color w:val="000000"/>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38" w:hRule="atLeas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项目可行性发生重大变化的情况说明</w:t>
            </w:r>
          </w:p>
        </w:tc>
        <w:tc>
          <w:tcPr>
            <w:tcW w:w="8433" w:type="dxa"/>
            <w:gridSpan w:val="8"/>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未发生重大变化</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76" w:hRule="atLeas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募集资金投资项目先期投入及置换情况</w:t>
            </w:r>
          </w:p>
        </w:tc>
        <w:tc>
          <w:tcPr>
            <w:tcW w:w="8433" w:type="dxa"/>
            <w:gridSpan w:val="8"/>
            <w:shd w:val="clear" w:color="auto" w:fill="auto"/>
            <w:vAlign w:val="center"/>
          </w:tcPr>
          <w:p>
            <w:pPr>
              <w:snapToGrid w:val="0"/>
              <w:jc w:val="center"/>
              <w:rPr>
                <w:rFonts w:cs="黑体"/>
                <w:sz w:val="18"/>
                <w:szCs w:val="18"/>
              </w:rPr>
            </w:pPr>
            <w:r>
              <w:rPr>
                <w:rFonts w:hint="eastAsia"/>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40" w:hRule="exac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用闲置募集资金暂时补充流动资金情况</w:t>
            </w:r>
          </w:p>
        </w:tc>
        <w:tc>
          <w:tcPr>
            <w:tcW w:w="8433" w:type="dxa"/>
            <w:gridSpan w:val="8"/>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637" w:hRule="atLeas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rFonts w:hint="eastAsia"/>
                <w:sz w:val="18"/>
                <w:szCs w:val="18"/>
              </w:rPr>
              <w:t>对闲置募集资金进行现金管理，投资相关产品情况</w:t>
            </w:r>
          </w:p>
        </w:tc>
        <w:tc>
          <w:tcPr>
            <w:tcW w:w="8433" w:type="dxa"/>
            <w:gridSpan w:val="8"/>
            <w:shd w:val="clear" w:color="auto" w:fill="auto"/>
            <w:vAlign w:val="center"/>
          </w:tcPr>
          <w:p>
            <w:pPr>
              <w:widowControl/>
              <w:snapToGrid w:val="0"/>
              <w:spacing w:line="280" w:lineRule="exact"/>
              <w:jc w:val="left"/>
              <w:rPr>
                <w:color w:val="000000"/>
                <w:kern w:val="0"/>
                <w:sz w:val="18"/>
                <w:szCs w:val="18"/>
              </w:rPr>
            </w:pPr>
            <w:r>
              <w:rPr>
                <w:rFonts w:hint="eastAsia"/>
                <w:sz w:val="18"/>
                <w:szCs w:val="18"/>
              </w:rPr>
              <w:t>2022年4月25日，经公司第七届董事会第二十三会议、第七届监事会第二十次会议审议通过，公司使用总额不超过人民币5亿元（含5亿元）的闲置募集资金进行现金管理，自该次会议审议通过后12个月内（含12个月）资金可以滚动使用（该滚动使用以保证募集资金项目建设和使用为前提）。</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40" w:hRule="exac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rFonts w:hint="eastAsia"/>
                <w:sz w:val="18"/>
                <w:szCs w:val="18"/>
              </w:rPr>
              <w:t>用超募资金永久补充流动资金或归还银行贷款情况</w:t>
            </w:r>
          </w:p>
        </w:tc>
        <w:tc>
          <w:tcPr>
            <w:tcW w:w="8433" w:type="dxa"/>
            <w:gridSpan w:val="8"/>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40" w:hRule="exac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募集资金结余的金额及形成原因</w:t>
            </w:r>
          </w:p>
        </w:tc>
        <w:tc>
          <w:tcPr>
            <w:tcW w:w="8433" w:type="dxa"/>
            <w:gridSpan w:val="8"/>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473" w:hRule="atLeas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募集资金其他使用情况</w:t>
            </w:r>
          </w:p>
        </w:tc>
        <w:tc>
          <w:tcPr>
            <w:tcW w:w="8433" w:type="dxa"/>
            <w:gridSpan w:val="8"/>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不适用</w:t>
            </w:r>
          </w:p>
        </w:tc>
      </w:tr>
    </w:tbl>
    <w:p>
      <w:pPr>
        <w:adjustRightInd w:val="0"/>
        <w:snapToGrid w:val="0"/>
        <w:jc w:val="left"/>
        <w:rPr>
          <w:rFonts w:ascii="Garamond" w:hAnsi="Garamond"/>
          <w:sz w:val="16"/>
          <w:szCs w:val="16"/>
        </w:rPr>
      </w:pPr>
      <w:r>
        <w:rPr>
          <w:rFonts w:hint="eastAsia" w:ascii="Garamond" w:hAnsi="Garamond"/>
          <w:sz w:val="16"/>
          <w:szCs w:val="16"/>
        </w:rPr>
        <w:t>注：存在个别数据加总后与相关汇总数据存在尾差，系数据计算时四舍五入造成。</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Garamond">
    <w:panose1 w:val="02020404030301010803"/>
    <w:charset w:val="00"/>
    <w:family w:val="roman"/>
    <w:pitch w:val="default"/>
    <w:sig w:usb0="00000287" w:usb1="00000000" w:usb2="00000000" w:usb3="00000000" w:csb0="0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8FC3D"/>
    <w:multiLevelType w:val="singleLevel"/>
    <w:tmpl w:val="F5F8FC3D"/>
    <w:lvl w:ilvl="0" w:tentative="0">
      <w:start w:val="2"/>
      <w:numFmt w:val="chineseCounting"/>
      <w:suff w:val="nothing"/>
      <w:lvlText w:val="（%1）"/>
      <w:lvlJc w:val="left"/>
      <w:rPr>
        <w:rFonts w:hint="eastAsia"/>
      </w:rPr>
    </w:lvl>
  </w:abstractNum>
  <w:abstractNum w:abstractNumId="1">
    <w:nsid w:val="033AFD9C"/>
    <w:multiLevelType w:val="singleLevel"/>
    <w:tmpl w:val="033AFD9C"/>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2NGEzY2E5YjE4NDIwNDY2ODJjNzRhYTZlYjMzZTIifQ=="/>
  </w:docVars>
  <w:rsids>
    <w:rsidRoot w:val="7D447693"/>
    <w:rsid w:val="001412EF"/>
    <w:rsid w:val="001F1F79"/>
    <w:rsid w:val="003466A8"/>
    <w:rsid w:val="00406724"/>
    <w:rsid w:val="00407D14"/>
    <w:rsid w:val="00491A48"/>
    <w:rsid w:val="00565B21"/>
    <w:rsid w:val="005C7BFF"/>
    <w:rsid w:val="00633D9D"/>
    <w:rsid w:val="00646399"/>
    <w:rsid w:val="007835F3"/>
    <w:rsid w:val="007B5F91"/>
    <w:rsid w:val="007D5D77"/>
    <w:rsid w:val="007F3622"/>
    <w:rsid w:val="0089740E"/>
    <w:rsid w:val="008E4069"/>
    <w:rsid w:val="00955F8A"/>
    <w:rsid w:val="00961EC7"/>
    <w:rsid w:val="00E20E55"/>
    <w:rsid w:val="00E5331B"/>
    <w:rsid w:val="01046B36"/>
    <w:rsid w:val="012004B8"/>
    <w:rsid w:val="014943C9"/>
    <w:rsid w:val="01514253"/>
    <w:rsid w:val="018E4822"/>
    <w:rsid w:val="019B553E"/>
    <w:rsid w:val="01B05B0D"/>
    <w:rsid w:val="01B752FA"/>
    <w:rsid w:val="01CD2B2B"/>
    <w:rsid w:val="01D428E1"/>
    <w:rsid w:val="01E55C12"/>
    <w:rsid w:val="02325B21"/>
    <w:rsid w:val="0248443E"/>
    <w:rsid w:val="025D6557"/>
    <w:rsid w:val="027576DF"/>
    <w:rsid w:val="02982C02"/>
    <w:rsid w:val="02AF4FED"/>
    <w:rsid w:val="03B4054E"/>
    <w:rsid w:val="03CF08DF"/>
    <w:rsid w:val="040D6E90"/>
    <w:rsid w:val="048F7ADE"/>
    <w:rsid w:val="049C0D81"/>
    <w:rsid w:val="04BC2DF0"/>
    <w:rsid w:val="04BD6B13"/>
    <w:rsid w:val="04D04344"/>
    <w:rsid w:val="04F87615"/>
    <w:rsid w:val="050F3BF1"/>
    <w:rsid w:val="051D5553"/>
    <w:rsid w:val="05202816"/>
    <w:rsid w:val="05305716"/>
    <w:rsid w:val="05846F5A"/>
    <w:rsid w:val="05A81D19"/>
    <w:rsid w:val="05B5678A"/>
    <w:rsid w:val="060416A7"/>
    <w:rsid w:val="062F6119"/>
    <w:rsid w:val="064B10EF"/>
    <w:rsid w:val="072E6603"/>
    <w:rsid w:val="07832D9E"/>
    <w:rsid w:val="07912289"/>
    <w:rsid w:val="07C13AF5"/>
    <w:rsid w:val="07C73762"/>
    <w:rsid w:val="08105099"/>
    <w:rsid w:val="083E47F0"/>
    <w:rsid w:val="08977F70"/>
    <w:rsid w:val="08AA1C74"/>
    <w:rsid w:val="08AA289A"/>
    <w:rsid w:val="08C60F31"/>
    <w:rsid w:val="09047A57"/>
    <w:rsid w:val="0936639C"/>
    <w:rsid w:val="097203F7"/>
    <w:rsid w:val="09A6028D"/>
    <w:rsid w:val="0A2A7BD7"/>
    <w:rsid w:val="0A684D06"/>
    <w:rsid w:val="0AC149D4"/>
    <w:rsid w:val="0AC25FFD"/>
    <w:rsid w:val="0AF10312"/>
    <w:rsid w:val="0B3108C1"/>
    <w:rsid w:val="0B702F58"/>
    <w:rsid w:val="0BB02B0B"/>
    <w:rsid w:val="0BC369E1"/>
    <w:rsid w:val="0BC4590D"/>
    <w:rsid w:val="0BCD600B"/>
    <w:rsid w:val="0BE8347C"/>
    <w:rsid w:val="0BF61875"/>
    <w:rsid w:val="0C6F3073"/>
    <w:rsid w:val="0C75428E"/>
    <w:rsid w:val="0C917A3E"/>
    <w:rsid w:val="0CFD4DC1"/>
    <w:rsid w:val="0D0B00EC"/>
    <w:rsid w:val="0D8A2593"/>
    <w:rsid w:val="0DD5749F"/>
    <w:rsid w:val="0E0A32BE"/>
    <w:rsid w:val="0E1E25FB"/>
    <w:rsid w:val="0F1914B5"/>
    <w:rsid w:val="0F314D6F"/>
    <w:rsid w:val="0F34760A"/>
    <w:rsid w:val="0F37618C"/>
    <w:rsid w:val="0F3D735E"/>
    <w:rsid w:val="0F9F53C9"/>
    <w:rsid w:val="0FBD3F46"/>
    <w:rsid w:val="0FEE6879"/>
    <w:rsid w:val="100311D6"/>
    <w:rsid w:val="100E2521"/>
    <w:rsid w:val="104C19C2"/>
    <w:rsid w:val="10622A64"/>
    <w:rsid w:val="111A2C24"/>
    <w:rsid w:val="112F2BB4"/>
    <w:rsid w:val="11535FD3"/>
    <w:rsid w:val="116256D8"/>
    <w:rsid w:val="116305F9"/>
    <w:rsid w:val="119506C7"/>
    <w:rsid w:val="11B55FCB"/>
    <w:rsid w:val="11D85012"/>
    <w:rsid w:val="11FA498B"/>
    <w:rsid w:val="12886B80"/>
    <w:rsid w:val="12A65EB9"/>
    <w:rsid w:val="12E317BF"/>
    <w:rsid w:val="13330AC2"/>
    <w:rsid w:val="13BB1D9A"/>
    <w:rsid w:val="13C8541B"/>
    <w:rsid w:val="13D06940"/>
    <w:rsid w:val="13E34C02"/>
    <w:rsid w:val="13ED276A"/>
    <w:rsid w:val="142762EF"/>
    <w:rsid w:val="14325C20"/>
    <w:rsid w:val="143E2EE3"/>
    <w:rsid w:val="149A4343"/>
    <w:rsid w:val="151313C6"/>
    <w:rsid w:val="15212654"/>
    <w:rsid w:val="15462F97"/>
    <w:rsid w:val="15632C16"/>
    <w:rsid w:val="15895A16"/>
    <w:rsid w:val="15BA3C42"/>
    <w:rsid w:val="15DD471C"/>
    <w:rsid w:val="15E54F66"/>
    <w:rsid w:val="1600437A"/>
    <w:rsid w:val="1644793F"/>
    <w:rsid w:val="16460004"/>
    <w:rsid w:val="16711ACF"/>
    <w:rsid w:val="168C5B78"/>
    <w:rsid w:val="16A423D1"/>
    <w:rsid w:val="16D96ED9"/>
    <w:rsid w:val="16FE701F"/>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F4677B"/>
    <w:rsid w:val="1A041605"/>
    <w:rsid w:val="1A447172"/>
    <w:rsid w:val="1A6C0366"/>
    <w:rsid w:val="1A7520C5"/>
    <w:rsid w:val="1A7B41F9"/>
    <w:rsid w:val="1AD31E1B"/>
    <w:rsid w:val="1AE378D1"/>
    <w:rsid w:val="1AE77568"/>
    <w:rsid w:val="1AF841BE"/>
    <w:rsid w:val="1B3131FB"/>
    <w:rsid w:val="1B4E20F0"/>
    <w:rsid w:val="1BF9228F"/>
    <w:rsid w:val="1C255C0D"/>
    <w:rsid w:val="1C3D2907"/>
    <w:rsid w:val="1C5C244E"/>
    <w:rsid w:val="1C7D2391"/>
    <w:rsid w:val="1CBA29E7"/>
    <w:rsid w:val="1CC81A8E"/>
    <w:rsid w:val="1CCD691D"/>
    <w:rsid w:val="1D0C701D"/>
    <w:rsid w:val="1D36117A"/>
    <w:rsid w:val="1D860E9D"/>
    <w:rsid w:val="1DE640C3"/>
    <w:rsid w:val="1DF15C7D"/>
    <w:rsid w:val="1E125A00"/>
    <w:rsid w:val="1E195D86"/>
    <w:rsid w:val="1E7B13C5"/>
    <w:rsid w:val="1F4D34F1"/>
    <w:rsid w:val="1F6C3676"/>
    <w:rsid w:val="1F742FCB"/>
    <w:rsid w:val="201C2745"/>
    <w:rsid w:val="204E2A84"/>
    <w:rsid w:val="206172E1"/>
    <w:rsid w:val="20873E15"/>
    <w:rsid w:val="20AB5FE8"/>
    <w:rsid w:val="21002234"/>
    <w:rsid w:val="210B4B8B"/>
    <w:rsid w:val="212C6943"/>
    <w:rsid w:val="213D657D"/>
    <w:rsid w:val="21431A7D"/>
    <w:rsid w:val="21A25532"/>
    <w:rsid w:val="21F42001"/>
    <w:rsid w:val="22842391"/>
    <w:rsid w:val="22B67ECE"/>
    <w:rsid w:val="22B72955"/>
    <w:rsid w:val="22EC73A6"/>
    <w:rsid w:val="23294C3C"/>
    <w:rsid w:val="234D0967"/>
    <w:rsid w:val="23590C2A"/>
    <w:rsid w:val="23E049ED"/>
    <w:rsid w:val="240F762B"/>
    <w:rsid w:val="244B0FA4"/>
    <w:rsid w:val="24561892"/>
    <w:rsid w:val="25053BCC"/>
    <w:rsid w:val="26010EE8"/>
    <w:rsid w:val="26023801"/>
    <w:rsid w:val="26114A34"/>
    <w:rsid w:val="26290859"/>
    <w:rsid w:val="265B05A2"/>
    <w:rsid w:val="268E7807"/>
    <w:rsid w:val="271E19F2"/>
    <w:rsid w:val="27756961"/>
    <w:rsid w:val="27D55CFC"/>
    <w:rsid w:val="27F07DF2"/>
    <w:rsid w:val="28B54147"/>
    <w:rsid w:val="28BB4B6F"/>
    <w:rsid w:val="29300240"/>
    <w:rsid w:val="29412132"/>
    <w:rsid w:val="2959488B"/>
    <w:rsid w:val="297C6CD1"/>
    <w:rsid w:val="29A7485D"/>
    <w:rsid w:val="29B6156B"/>
    <w:rsid w:val="2A570F2A"/>
    <w:rsid w:val="2A825479"/>
    <w:rsid w:val="2ADF10BD"/>
    <w:rsid w:val="2AF8642C"/>
    <w:rsid w:val="2B035939"/>
    <w:rsid w:val="2B1805E4"/>
    <w:rsid w:val="2B3B26B7"/>
    <w:rsid w:val="2B412143"/>
    <w:rsid w:val="2B4E778E"/>
    <w:rsid w:val="2BB110E6"/>
    <w:rsid w:val="2BF567D2"/>
    <w:rsid w:val="2BF87F43"/>
    <w:rsid w:val="2C30427D"/>
    <w:rsid w:val="2C38480E"/>
    <w:rsid w:val="2C8279BC"/>
    <w:rsid w:val="2CAF62D2"/>
    <w:rsid w:val="2CCE79B1"/>
    <w:rsid w:val="2CE95D7B"/>
    <w:rsid w:val="2CEC0D59"/>
    <w:rsid w:val="2D3F04F7"/>
    <w:rsid w:val="2D442EEB"/>
    <w:rsid w:val="2D752FAC"/>
    <w:rsid w:val="2DF44503"/>
    <w:rsid w:val="2E147EF0"/>
    <w:rsid w:val="2E4E7A2B"/>
    <w:rsid w:val="2E80779D"/>
    <w:rsid w:val="2ED263E2"/>
    <w:rsid w:val="2F0C2040"/>
    <w:rsid w:val="2F812C9E"/>
    <w:rsid w:val="2FAE79EF"/>
    <w:rsid w:val="303C2551"/>
    <w:rsid w:val="303D0490"/>
    <w:rsid w:val="305C12EA"/>
    <w:rsid w:val="30D71F64"/>
    <w:rsid w:val="31263059"/>
    <w:rsid w:val="315F41DE"/>
    <w:rsid w:val="317C64EF"/>
    <w:rsid w:val="31A1715E"/>
    <w:rsid w:val="31A53FD3"/>
    <w:rsid w:val="31B63457"/>
    <w:rsid w:val="31DD57E6"/>
    <w:rsid w:val="320A3645"/>
    <w:rsid w:val="33244241"/>
    <w:rsid w:val="332A7D95"/>
    <w:rsid w:val="3340749F"/>
    <w:rsid w:val="33562357"/>
    <w:rsid w:val="33743374"/>
    <w:rsid w:val="33BD7F41"/>
    <w:rsid w:val="341214D4"/>
    <w:rsid w:val="34182627"/>
    <w:rsid w:val="344F1E96"/>
    <w:rsid w:val="347C40F8"/>
    <w:rsid w:val="34E7249A"/>
    <w:rsid w:val="350C3A9F"/>
    <w:rsid w:val="351C2BF1"/>
    <w:rsid w:val="35BF55DC"/>
    <w:rsid w:val="362B7AD3"/>
    <w:rsid w:val="369C4690"/>
    <w:rsid w:val="36E92B9A"/>
    <w:rsid w:val="37307DD1"/>
    <w:rsid w:val="37B445B9"/>
    <w:rsid w:val="37BF5B2C"/>
    <w:rsid w:val="37E471B6"/>
    <w:rsid w:val="38083B66"/>
    <w:rsid w:val="38311D87"/>
    <w:rsid w:val="383B3276"/>
    <w:rsid w:val="384A473D"/>
    <w:rsid w:val="38586A39"/>
    <w:rsid w:val="38D05A6D"/>
    <w:rsid w:val="390212BA"/>
    <w:rsid w:val="397D10DC"/>
    <w:rsid w:val="398A09FF"/>
    <w:rsid w:val="39B02A11"/>
    <w:rsid w:val="39C778EE"/>
    <w:rsid w:val="39EC25A3"/>
    <w:rsid w:val="3A080F3D"/>
    <w:rsid w:val="3A2D1DBE"/>
    <w:rsid w:val="3A396B49"/>
    <w:rsid w:val="3A564B6E"/>
    <w:rsid w:val="3AB620B5"/>
    <w:rsid w:val="3AF7441B"/>
    <w:rsid w:val="3B09034C"/>
    <w:rsid w:val="3B2340FA"/>
    <w:rsid w:val="3B6A6B30"/>
    <w:rsid w:val="3BA0001E"/>
    <w:rsid w:val="3BE61780"/>
    <w:rsid w:val="3C295A99"/>
    <w:rsid w:val="3C491031"/>
    <w:rsid w:val="3C565CC7"/>
    <w:rsid w:val="3CAF7A61"/>
    <w:rsid w:val="3CF52986"/>
    <w:rsid w:val="3D2C5A80"/>
    <w:rsid w:val="3D417F43"/>
    <w:rsid w:val="3E736604"/>
    <w:rsid w:val="3E8F75E7"/>
    <w:rsid w:val="3E9C193E"/>
    <w:rsid w:val="3ED05B30"/>
    <w:rsid w:val="3EDA79C1"/>
    <w:rsid w:val="3EE1443F"/>
    <w:rsid w:val="3EE71B36"/>
    <w:rsid w:val="3EEF412D"/>
    <w:rsid w:val="3EFB2631"/>
    <w:rsid w:val="3F39520E"/>
    <w:rsid w:val="3F3E0819"/>
    <w:rsid w:val="3F932D2C"/>
    <w:rsid w:val="3FEE7990"/>
    <w:rsid w:val="40461D28"/>
    <w:rsid w:val="40502228"/>
    <w:rsid w:val="406E5112"/>
    <w:rsid w:val="40707236"/>
    <w:rsid w:val="408A442A"/>
    <w:rsid w:val="40B90AE6"/>
    <w:rsid w:val="40C81A29"/>
    <w:rsid w:val="40D4008B"/>
    <w:rsid w:val="40FD0905"/>
    <w:rsid w:val="41551B3B"/>
    <w:rsid w:val="416602B2"/>
    <w:rsid w:val="41665F67"/>
    <w:rsid w:val="418E3065"/>
    <w:rsid w:val="4198389B"/>
    <w:rsid w:val="41C7544C"/>
    <w:rsid w:val="41DE0DCA"/>
    <w:rsid w:val="4258162A"/>
    <w:rsid w:val="42E82FFB"/>
    <w:rsid w:val="42E939AF"/>
    <w:rsid w:val="42FD048C"/>
    <w:rsid w:val="43280AD1"/>
    <w:rsid w:val="432B625C"/>
    <w:rsid w:val="432E4A7C"/>
    <w:rsid w:val="43326326"/>
    <w:rsid w:val="43394A63"/>
    <w:rsid w:val="433B62FA"/>
    <w:rsid w:val="43426F87"/>
    <w:rsid w:val="43DE7B0C"/>
    <w:rsid w:val="43FA5348"/>
    <w:rsid w:val="4441756B"/>
    <w:rsid w:val="446911DA"/>
    <w:rsid w:val="44A33528"/>
    <w:rsid w:val="44B1663A"/>
    <w:rsid w:val="453836CF"/>
    <w:rsid w:val="454D795D"/>
    <w:rsid w:val="45F121B8"/>
    <w:rsid w:val="45FD43C0"/>
    <w:rsid w:val="45FE4B6D"/>
    <w:rsid w:val="461432B9"/>
    <w:rsid w:val="466758D8"/>
    <w:rsid w:val="468A4AA1"/>
    <w:rsid w:val="46CF5A07"/>
    <w:rsid w:val="46E93447"/>
    <w:rsid w:val="4752541D"/>
    <w:rsid w:val="47A22846"/>
    <w:rsid w:val="47E37431"/>
    <w:rsid w:val="47FF5B38"/>
    <w:rsid w:val="48000720"/>
    <w:rsid w:val="4809042F"/>
    <w:rsid w:val="489D483F"/>
    <w:rsid w:val="49410D19"/>
    <w:rsid w:val="495D5A7D"/>
    <w:rsid w:val="496541CA"/>
    <w:rsid w:val="49721DBB"/>
    <w:rsid w:val="49961CFC"/>
    <w:rsid w:val="49B0147C"/>
    <w:rsid w:val="49B80764"/>
    <w:rsid w:val="49BC656C"/>
    <w:rsid w:val="4A0E310F"/>
    <w:rsid w:val="4A407258"/>
    <w:rsid w:val="4A5A43D6"/>
    <w:rsid w:val="4A872E60"/>
    <w:rsid w:val="4AFD1F57"/>
    <w:rsid w:val="4B047CA0"/>
    <w:rsid w:val="4B323F9E"/>
    <w:rsid w:val="4B370485"/>
    <w:rsid w:val="4B4240C3"/>
    <w:rsid w:val="4B487CDE"/>
    <w:rsid w:val="4B501A2D"/>
    <w:rsid w:val="4B7B065F"/>
    <w:rsid w:val="4B9251E7"/>
    <w:rsid w:val="4B9F0B51"/>
    <w:rsid w:val="4C4A4049"/>
    <w:rsid w:val="4C565D83"/>
    <w:rsid w:val="4CAD5B18"/>
    <w:rsid w:val="4CDE2573"/>
    <w:rsid w:val="4D052CB9"/>
    <w:rsid w:val="4D0E5344"/>
    <w:rsid w:val="4D68719E"/>
    <w:rsid w:val="4D8C1BC5"/>
    <w:rsid w:val="4D99671C"/>
    <w:rsid w:val="4DBF0585"/>
    <w:rsid w:val="4DFE7A80"/>
    <w:rsid w:val="4E0B782B"/>
    <w:rsid w:val="4E1D5BEF"/>
    <w:rsid w:val="4E1E2966"/>
    <w:rsid w:val="4E77302F"/>
    <w:rsid w:val="4EC06D6D"/>
    <w:rsid w:val="4F6B7866"/>
    <w:rsid w:val="4F97232D"/>
    <w:rsid w:val="4FA304F6"/>
    <w:rsid w:val="4FA5789E"/>
    <w:rsid w:val="50262422"/>
    <w:rsid w:val="506505F0"/>
    <w:rsid w:val="50A941FF"/>
    <w:rsid w:val="510C1E87"/>
    <w:rsid w:val="51372B8F"/>
    <w:rsid w:val="516C6209"/>
    <w:rsid w:val="517B1A54"/>
    <w:rsid w:val="51B71308"/>
    <w:rsid w:val="51C51B5F"/>
    <w:rsid w:val="51CB7214"/>
    <w:rsid w:val="5235702F"/>
    <w:rsid w:val="52A176A8"/>
    <w:rsid w:val="52DA53D8"/>
    <w:rsid w:val="53B504E7"/>
    <w:rsid w:val="540D4497"/>
    <w:rsid w:val="541010AD"/>
    <w:rsid w:val="54140D2A"/>
    <w:rsid w:val="54544E99"/>
    <w:rsid w:val="549A5A7A"/>
    <w:rsid w:val="54B96B07"/>
    <w:rsid w:val="54DD38C0"/>
    <w:rsid w:val="55127A2A"/>
    <w:rsid w:val="55200E7C"/>
    <w:rsid w:val="55AA2C77"/>
    <w:rsid w:val="55AD09F7"/>
    <w:rsid w:val="55D9675C"/>
    <w:rsid w:val="56292581"/>
    <w:rsid w:val="56487389"/>
    <w:rsid w:val="56FD7F32"/>
    <w:rsid w:val="573003D2"/>
    <w:rsid w:val="577D03B1"/>
    <w:rsid w:val="57BB0A78"/>
    <w:rsid w:val="580D0D18"/>
    <w:rsid w:val="58137B4D"/>
    <w:rsid w:val="58325CD2"/>
    <w:rsid w:val="589269F4"/>
    <w:rsid w:val="58B64650"/>
    <w:rsid w:val="58E2702B"/>
    <w:rsid w:val="5954505F"/>
    <w:rsid w:val="5993453F"/>
    <w:rsid w:val="59DB62D9"/>
    <w:rsid w:val="5A040F1E"/>
    <w:rsid w:val="5A571234"/>
    <w:rsid w:val="5A7F14AF"/>
    <w:rsid w:val="5AC61268"/>
    <w:rsid w:val="5B645B78"/>
    <w:rsid w:val="5B6E05FB"/>
    <w:rsid w:val="5B7724B7"/>
    <w:rsid w:val="5B7E605F"/>
    <w:rsid w:val="5B8C647D"/>
    <w:rsid w:val="5B992F87"/>
    <w:rsid w:val="5BF0003F"/>
    <w:rsid w:val="5BF34011"/>
    <w:rsid w:val="5C166F09"/>
    <w:rsid w:val="5C646231"/>
    <w:rsid w:val="5CE23DA0"/>
    <w:rsid w:val="5D2E4278"/>
    <w:rsid w:val="5DAA51B9"/>
    <w:rsid w:val="5DC518B5"/>
    <w:rsid w:val="5DE66F6F"/>
    <w:rsid w:val="5E2E0ABF"/>
    <w:rsid w:val="5E3F5D12"/>
    <w:rsid w:val="5E472CA5"/>
    <w:rsid w:val="5F503EAD"/>
    <w:rsid w:val="5F660863"/>
    <w:rsid w:val="5F921B54"/>
    <w:rsid w:val="5F9F4ACF"/>
    <w:rsid w:val="5FB87F8E"/>
    <w:rsid w:val="6012645F"/>
    <w:rsid w:val="604E6A0A"/>
    <w:rsid w:val="60635E83"/>
    <w:rsid w:val="60722997"/>
    <w:rsid w:val="609A26F5"/>
    <w:rsid w:val="60D148A7"/>
    <w:rsid w:val="60E24140"/>
    <w:rsid w:val="613D7F79"/>
    <w:rsid w:val="61627573"/>
    <w:rsid w:val="61785E21"/>
    <w:rsid w:val="61BC4167"/>
    <w:rsid w:val="61EF30F0"/>
    <w:rsid w:val="61FC78BC"/>
    <w:rsid w:val="623E756A"/>
    <w:rsid w:val="626471EF"/>
    <w:rsid w:val="62A92180"/>
    <w:rsid w:val="633B50A9"/>
    <w:rsid w:val="634800DD"/>
    <w:rsid w:val="634E6339"/>
    <w:rsid w:val="638E5C3D"/>
    <w:rsid w:val="63B26805"/>
    <w:rsid w:val="63C50EC1"/>
    <w:rsid w:val="641103F6"/>
    <w:rsid w:val="64274C3E"/>
    <w:rsid w:val="64684EA9"/>
    <w:rsid w:val="64686153"/>
    <w:rsid w:val="654A2614"/>
    <w:rsid w:val="658166D3"/>
    <w:rsid w:val="659426FC"/>
    <w:rsid w:val="66066C4D"/>
    <w:rsid w:val="662B1E8E"/>
    <w:rsid w:val="663F36DD"/>
    <w:rsid w:val="664523E3"/>
    <w:rsid w:val="66455432"/>
    <w:rsid w:val="67097D0A"/>
    <w:rsid w:val="6736715E"/>
    <w:rsid w:val="67397FC2"/>
    <w:rsid w:val="675A07BC"/>
    <w:rsid w:val="6767364F"/>
    <w:rsid w:val="678A6A26"/>
    <w:rsid w:val="67BF6746"/>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EB7683"/>
    <w:rsid w:val="6A631E35"/>
    <w:rsid w:val="6A6F1C20"/>
    <w:rsid w:val="6A9A5FFD"/>
    <w:rsid w:val="6AA30D43"/>
    <w:rsid w:val="6AC97B14"/>
    <w:rsid w:val="6AE40685"/>
    <w:rsid w:val="6B144F27"/>
    <w:rsid w:val="6B797D08"/>
    <w:rsid w:val="6B7F203F"/>
    <w:rsid w:val="6B990794"/>
    <w:rsid w:val="6C360C93"/>
    <w:rsid w:val="6CE42579"/>
    <w:rsid w:val="6CE64DE7"/>
    <w:rsid w:val="6D38704B"/>
    <w:rsid w:val="6D5307CF"/>
    <w:rsid w:val="6D98264B"/>
    <w:rsid w:val="6DAE3B7D"/>
    <w:rsid w:val="6DBF37EC"/>
    <w:rsid w:val="6DFC191F"/>
    <w:rsid w:val="6E12113E"/>
    <w:rsid w:val="6E471F02"/>
    <w:rsid w:val="6F16667F"/>
    <w:rsid w:val="6F3A45FB"/>
    <w:rsid w:val="6F461A44"/>
    <w:rsid w:val="6F5003AC"/>
    <w:rsid w:val="6F8017C9"/>
    <w:rsid w:val="6FAF3346"/>
    <w:rsid w:val="6FCB4A13"/>
    <w:rsid w:val="6FF86DDD"/>
    <w:rsid w:val="70187EC5"/>
    <w:rsid w:val="7034456F"/>
    <w:rsid w:val="70A21DEA"/>
    <w:rsid w:val="70BD7855"/>
    <w:rsid w:val="70C90DC2"/>
    <w:rsid w:val="71021286"/>
    <w:rsid w:val="713A0D71"/>
    <w:rsid w:val="714E7FB6"/>
    <w:rsid w:val="715E0E87"/>
    <w:rsid w:val="716E7BB1"/>
    <w:rsid w:val="71AD7C03"/>
    <w:rsid w:val="72051B29"/>
    <w:rsid w:val="72422386"/>
    <w:rsid w:val="7266575F"/>
    <w:rsid w:val="72A87A3F"/>
    <w:rsid w:val="72B817C6"/>
    <w:rsid w:val="730B678F"/>
    <w:rsid w:val="733D2828"/>
    <w:rsid w:val="73911D1F"/>
    <w:rsid w:val="73AC5164"/>
    <w:rsid w:val="73BF531C"/>
    <w:rsid w:val="73E5475D"/>
    <w:rsid w:val="74144569"/>
    <w:rsid w:val="74381238"/>
    <w:rsid w:val="744B00F3"/>
    <w:rsid w:val="74782F0F"/>
    <w:rsid w:val="74E02504"/>
    <w:rsid w:val="74F7039E"/>
    <w:rsid w:val="75184383"/>
    <w:rsid w:val="75224E08"/>
    <w:rsid w:val="75324C67"/>
    <w:rsid w:val="75545B20"/>
    <w:rsid w:val="757A6AA8"/>
    <w:rsid w:val="75A620CB"/>
    <w:rsid w:val="75AC73B3"/>
    <w:rsid w:val="769D7C92"/>
    <w:rsid w:val="76BF7512"/>
    <w:rsid w:val="76C84E7B"/>
    <w:rsid w:val="76CC503A"/>
    <w:rsid w:val="77011E8D"/>
    <w:rsid w:val="773835C9"/>
    <w:rsid w:val="776179CD"/>
    <w:rsid w:val="778D724E"/>
    <w:rsid w:val="77E3226A"/>
    <w:rsid w:val="77F45337"/>
    <w:rsid w:val="7811592B"/>
    <w:rsid w:val="78287689"/>
    <w:rsid w:val="786F5E45"/>
    <w:rsid w:val="78831644"/>
    <w:rsid w:val="78F2552C"/>
    <w:rsid w:val="790316D7"/>
    <w:rsid w:val="79636308"/>
    <w:rsid w:val="799C5E36"/>
    <w:rsid w:val="79B459BB"/>
    <w:rsid w:val="7A285399"/>
    <w:rsid w:val="7A56205D"/>
    <w:rsid w:val="7A656D7F"/>
    <w:rsid w:val="7A75045A"/>
    <w:rsid w:val="7AE64ECB"/>
    <w:rsid w:val="7AFC3D41"/>
    <w:rsid w:val="7AFC61D6"/>
    <w:rsid w:val="7B154A85"/>
    <w:rsid w:val="7B865DB0"/>
    <w:rsid w:val="7BE049A8"/>
    <w:rsid w:val="7BEB393A"/>
    <w:rsid w:val="7C7069A4"/>
    <w:rsid w:val="7C8A1FDF"/>
    <w:rsid w:val="7C953875"/>
    <w:rsid w:val="7C9B7091"/>
    <w:rsid w:val="7CAF1F68"/>
    <w:rsid w:val="7CD05500"/>
    <w:rsid w:val="7D0B37FA"/>
    <w:rsid w:val="7D446DEA"/>
    <w:rsid w:val="7D447693"/>
    <w:rsid w:val="7D5D5D78"/>
    <w:rsid w:val="7E071885"/>
    <w:rsid w:val="7E653164"/>
    <w:rsid w:val="7E8D1B3C"/>
    <w:rsid w:val="7EA618F0"/>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99"/>
    <w:pPr>
      <w:jc w:val="left"/>
    </w:pPr>
  </w:style>
  <w:style w:type="paragraph" w:styleId="3">
    <w:name w:val="annotation subject"/>
    <w:basedOn w:val="2"/>
    <w:next w:val="2"/>
    <w:link w:val="13"/>
    <w:qFormat/>
    <w:uiPriority w:val="0"/>
    <w:rPr>
      <w:b/>
      <w:bCs/>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563C1" w:themeColor="hyperlink"/>
      <w:u w:val="single"/>
      <w14:textFill>
        <w14:solidFill>
          <w14:schemeClr w14:val="hlink"/>
        </w14:solidFill>
      </w14:textFill>
    </w:rPr>
  </w:style>
  <w:style w:type="character" w:styleId="8">
    <w:name w:val="annotation reference"/>
    <w:basedOn w:val="6"/>
    <w:qFormat/>
    <w:uiPriority w:val="99"/>
    <w:rPr>
      <w:sz w:val="21"/>
      <w:szCs w:val="21"/>
    </w:rPr>
  </w:style>
  <w:style w:type="paragraph" w:customStyle="1" w:styleId="9">
    <w:name w:val="Default"/>
    <w:qFormat/>
    <w:uiPriority w:val="99"/>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0">
    <w:name w:val="List Paragraph"/>
    <w:basedOn w:val="1"/>
    <w:qFormat/>
    <w:uiPriority w:val="34"/>
    <w:pPr>
      <w:ind w:firstLine="420" w:firstLineChars="200"/>
    </w:pPr>
  </w:style>
  <w:style w:type="paragraph" w:customStyle="1" w:styleId="11">
    <w:name w:val="Revision"/>
    <w:hidden/>
    <w:semiHidden/>
    <w:qFormat/>
    <w:uiPriority w:val="99"/>
    <w:rPr>
      <w:rFonts w:ascii="Times New Roman" w:hAnsi="Times New Roman" w:eastAsia="宋体" w:cs="Times New Roman"/>
      <w:kern w:val="2"/>
      <w:sz w:val="21"/>
      <w:lang w:val="en-US" w:eastAsia="zh-CN" w:bidi="ar-SA"/>
    </w:rPr>
  </w:style>
  <w:style w:type="character" w:customStyle="1" w:styleId="12">
    <w:name w:val="批注文字 字符"/>
    <w:basedOn w:val="6"/>
    <w:link w:val="2"/>
    <w:qFormat/>
    <w:uiPriority w:val="99"/>
    <w:rPr>
      <w:kern w:val="2"/>
      <w:sz w:val="21"/>
    </w:rPr>
  </w:style>
  <w:style w:type="character" w:customStyle="1" w:styleId="13">
    <w:name w:val="批注主题 字符"/>
    <w:basedOn w:val="12"/>
    <w:link w:val="3"/>
    <w:qFormat/>
    <w:uiPriority w:val="0"/>
    <w:rPr>
      <w:b/>
      <w:bCs/>
      <w:kern w:val="2"/>
      <w:sz w:val="21"/>
    </w:rPr>
  </w:style>
  <w:style w:type="character" w:customStyle="1" w:styleId="14">
    <w:name w:val="Unresolved Mention"/>
    <w:basedOn w:val="6"/>
    <w:semiHidden/>
    <w:unhideWhenUsed/>
    <w:qFormat/>
    <w:uiPriority w:val="99"/>
    <w:rPr>
      <w:color w:val="605E5C"/>
      <w:shd w:val="clear" w:color="auto" w:fill="E1DFDD"/>
    </w:rPr>
  </w:style>
  <w:style w:type="character" w:customStyle="1" w:styleId="15">
    <w:name w:val="font31"/>
    <w:basedOn w:val="6"/>
    <w:uiPriority w:val="0"/>
    <w:rPr>
      <w:rFonts w:hint="eastAsia" w:ascii="宋体" w:hAnsi="宋体" w:eastAsia="宋体" w:cs="宋体"/>
      <w:color w:val="008080"/>
      <w:sz w:val="24"/>
      <w:szCs w:val="24"/>
      <w:u w:val="none"/>
    </w:rPr>
  </w:style>
  <w:style w:type="character" w:customStyle="1" w:styleId="16">
    <w:name w:val="font21"/>
    <w:basedOn w:val="6"/>
    <w:uiPriority w:val="0"/>
    <w:rPr>
      <w:rFonts w:hint="default" w:ascii="Times New Roman" w:hAnsi="Times New Roman" w:cs="Times New Roman"/>
      <w:color w:val="00808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657</Words>
  <Characters>3749</Characters>
  <Lines>31</Lines>
  <Paragraphs>8</Paragraphs>
  <TotalTime>18</TotalTime>
  <ScaleCrop>false</ScaleCrop>
  <LinksUpToDate>false</LinksUpToDate>
  <CharactersWithSpaces>4398</CharactersWithSpaces>
  <Application>WPS Office_11.1.0.12349_F1E327BC-269C-435d-A152-05C5408002CA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2022-07-27T03:06:00Z</dcterms:created>
  <dc:creator>suuuu</dc:creator>
  <cp:lastModifiedBy>suuuu</cp:lastModifiedBy>
  <dcterms:modified xsi:type="dcterms:W3CDTF">2022-08-23T02:24:26Z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2052-11.1.0.12349</vt:lpwstr>
  </property>
  <property fmtid="{D5CDD505-2E9C-101B-9397-08002B2CF9AE}" pid="3" name="ICV">
    <vt:lpwstr>0DBD269E283845118DE6C8F96AE46CD9</vt:lpwstr>
  </property>
</Properties>
</file>