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eastAsia="宋体" w:cs="Times New Roman"/>
          <w:szCs w:val="21"/>
          <w:lang w:val="en-US" w:eastAsia="zh-CN"/>
        </w:rPr>
      </w:pPr>
      <w:r>
        <w:rPr>
          <w:rFonts w:hint="default" w:ascii="Times New Roman" w:hAnsi="Times New Roman" w:cs="Times New Roman"/>
          <w:szCs w:val="21"/>
        </w:rPr>
        <w:t xml:space="preserve">证券代码：603232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证券简称：格尔软件             公告编号：</w:t>
      </w:r>
      <w:r>
        <w:rPr>
          <w:rFonts w:hint="default" w:ascii="Times New Roman" w:hAnsi="Times New Roman" w:cs="Times New Roman"/>
          <w:szCs w:val="21"/>
          <w:highlight w:val="none"/>
        </w:rPr>
        <w:t>20</w:t>
      </w:r>
      <w:r>
        <w:rPr>
          <w:rFonts w:hint="default" w:ascii="Times New Roman" w:hAnsi="Times New Roman" w:cs="Times New Roman"/>
          <w:szCs w:val="21"/>
          <w:highlight w:val="none"/>
          <w:lang w:val="en-US" w:eastAsia="zh-CN"/>
        </w:rPr>
        <w:t>21</w:t>
      </w:r>
      <w:r>
        <w:rPr>
          <w:rFonts w:hint="default" w:ascii="Times New Roman" w:hAnsi="Times New Roman" w:cs="Times New Roman"/>
          <w:szCs w:val="21"/>
          <w:highlight w:val="none"/>
        </w:rPr>
        <w:t>-</w:t>
      </w:r>
      <w:r>
        <w:rPr>
          <w:rFonts w:hint="default" w:ascii="Times New Roman" w:hAnsi="Times New Roman" w:cs="Times New Roman"/>
          <w:szCs w:val="21"/>
          <w:highlight w:val="none"/>
          <w:lang w:val="en-US" w:eastAsia="zh-CN"/>
        </w:rPr>
        <w:t>0</w:t>
      </w:r>
      <w:r>
        <w:rPr>
          <w:rFonts w:hint="eastAsia" w:cs="Times New Roman"/>
          <w:szCs w:val="21"/>
          <w:highlight w:val="none"/>
          <w:lang w:val="en-US" w:eastAsia="zh-CN"/>
        </w:rPr>
        <w:t>42</w:t>
      </w:r>
    </w:p>
    <w:p>
      <w:pPr>
        <w:autoSpaceDE w:val="0"/>
        <w:autoSpaceDN w:val="0"/>
        <w:adjustRightInd w:val="0"/>
        <w:jc w:val="left"/>
        <w:rPr>
          <w:rFonts w:hint="default" w:ascii="Times New Roman" w:hAnsi="Times New Roman" w:cs="Times New Roman" w:eastAsiaTheme="minorEastAsia"/>
          <w:color w:val="000000"/>
          <w:kern w:val="0"/>
          <w:sz w:val="24"/>
          <w:szCs w:val="24"/>
        </w:rPr>
      </w:pPr>
    </w:p>
    <w:p>
      <w:pPr>
        <w:adjustRightInd w:val="0"/>
        <w:snapToGrid w:val="0"/>
        <w:spacing w:line="360" w:lineRule="auto"/>
        <w:jc w:val="center"/>
        <w:rPr>
          <w:rFonts w:hint="default" w:ascii="Times New Roman" w:hAnsi="Times New Roman" w:eastAsia="黑体" w:cs="Times New Roman"/>
          <w:b/>
          <w:bCs/>
          <w:color w:val="FF0000"/>
          <w:kern w:val="0"/>
          <w:sz w:val="36"/>
          <w:szCs w:val="36"/>
        </w:rPr>
      </w:pPr>
      <w:r>
        <w:rPr>
          <w:rFonts w:hint="default" w:ascii="Times New Roman" w:hAnsi="Times New Roman" w:eastAsia="黑体" w:cs="Times New Roman"/>
          <w:b/>
          <w:bCs/>
          <w:color w:val="FF0000"/>
          <w:kern w:val="0"/>
          <w:sz w:val="36"/>
          <w:szCs w:val="36"/>
        </w:rPr>
        <w:t>格尔软件股份有限公司</w:t>
      </w:r>
    </w:p>
    <w:p>
      <w:pPr>
        <w:adjustRightInd w:val="0"/>
        <w:snapToGrid w:val="0"/>
        <w:spacing w:line="360" w:lineRule="auto"/>
        <w:jc w:val="center"/>
        <w:rPr>
          <w:rFonts w:hint="default" w:ascii="Times New Roman" w:hAnsi="Times New Roman" w:eastAsia="黑体" w:cs="Times New Roman"/>
          <w:b/>
          <w:bCs/>
          <w:color w:val="FF0000"/>
          <w:kern w:val="0"/>
          <w:sz w:val="36"/>
          <w:szCs w:val="36"/>
        </w:rPr>
      </w:pPr>
      <w:r>
        <w:rPr>
          <w:rFonts w:hint="default" w:ascii="Times New Roman" w:hAnsi="Times New Roman" w:eastAsia="黑体" w:cs="Times New Roman"/>
          <w:b/>
          <w:bCs/>
          <w:color w:val="FF0000"/>
          <w:kern w:val="0"/>
          <w:sz w:val="36"/>
          <w:szCs w:val="36"/>
        </w:rPr>
        <w:t>关于高级管理人员违规减持公司股份并致歉的公告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hint="default" w:ascii="Times New Roman" w:hAnsi="Times New Roman" w:cs="Times New Roman" w:eastAsiaTheme="minorEastAsia"/>
          <w:color w:val="000000"/>
          <w:szCs w:val="21"/>
        </w:rPr>
      </w:pPr>
      <w:r>
        <w:rPr>
          <w:rFonts w:hint="default" w:ascii="Times New Roman" w:hAnsi="Times New Roman" w:cs="Times New Roman" w:eastAsiaTheme="minorEastAsia"/>
          <w:color w:val="000000"/>
          <w:szCs w:val="21"/>
        </w:rPr>
        <w:t>本公司董事会及全体董事保证本公告内容不存在任何虚假记载、误导性陈述或者重大遗漏，并对其内容的真实性、准确性和完整性承担个别及连带责任。</w:t>
      </w:r>
    </w:p>
    <w:p>
      <w:pPr>
        <w:pStyle w:val="2"/>
        <w:adjustRightInd w:val="0"/>
        <w:snapToGrid w:val="0"/>
        <w:spacing w:before="0" w:beforeAutospacing="0" w:after="0" w:afterAutospacing="0" w:line="360" w:lineRule="auto"/>
        <w:ind w:firstLine="480" w:firstLineChars="200"/>
        <w:rPr>
          <w:rFonts w:hint="default" w:ascii="Times New Roman" w:hAnsi="Times New Roman" w:cs="Times New Roman"/>
          <w:bCs/>
          <w:snapToGrid w:val="0"/>
          <w:color w:val="000000"/>
        </w:rPr>
      </w:pPr>
    </w:p>
    <w:p>
      <w:pPr>
        <w:pStyle w:val="2"/>
        <w:adjustRightInd w:val="0"/>
        <w:snapToGrid w:val="0"/>
        <w:spacing w:before="0" w:beforeAutospacing="0" w:after="0" w:afterAutospacing="0" w:line="360" w:lineRule="auto"/>
        <w:ind w:firstLine="480" w:firstLineChars="200"/>
        <w:rPr>
          <w:rFonts w:hint="eastAsia" w:cs="Times New Roman"/>
          <w:bCs/>
          <w:snapToGrid w:val="0"/>
          <w:color w:val="000000"/>
          <w:lang w:val="en-US" w:eastAsia="zh-CN"/>
        </w:rPr>
      </w:pPr>
      <w:r>
        <w:rPr>
          <w:rFonts w:hint="eastAsia" w:cs="Times New Roman"/>
          <w:bCs/>
          <w:snapToGrid w:val="0"/>
          <w:color w:val="000000"/>
          <w:lang w:val="en-US" w:eastAsia="zh-CN"/>
        </w:rPr>
        <w:t>格尔软件股份有限公司（以下简称“公司”）于2021年7月14日收到公司高级管理人员范峰先生出具的《关于违规减持格尔软件股份有限公司股份的说明及致歉函》，范峰先生的配偶因误操作于2021年7月13日通过上海证券交易所集中竞价交易系统减持了范峰先生持有的公司股份5,000股。</w:t>
      </w:r>
    </w:p>
    <w:p>
      <w:pPr>
        <w:pStyle w:val="2"/>
        <w:adjustRightInd w:val="0"/>
        <w:snapToGrid w:val="0"/>
        <w:spacing w:before="0" w:beforeAutospacing="0" w:after="0" w:afterAutospacing="0" w:line="360" w:lineRule="auto"/>
        <w:ind w:firstLine="480" w:firstLineChars="200"/>
        <w:rPr>
          <w:rFonts w:hint="eastAsia" w:cs="Times New Roman"/>
          <w:bCs/>
          <w:snapToGrid w:val="0"/>
          <w:color w:val="000000"/>
          <w:lang w:val="en-US" w:eastAsia="zh-CN"/>
        </w:rPr>
      </w:pPr>
      <w:r>
        <w:rPr>
          <w:rFonts w:hint="eastAsia" w:cs="Times New Roman"/>
          <w:bCs/>
          <w:snapToGrid w:val="0"/>
          <w:color w:val="000000"/>
          <w:lang w:val="en-US" w:eastAsia="zh-CN"/>
        </w:rPr>
        <w:t>公司于2021年7月10日披露了《格尔软件股份有限公司2021年股票期权激励计划草案摘要公告》（公告编号：2021-036），</w:t>
      </w:r>
      <w:r>
        <w:rPr>
          <w:rFonts w:hint="default" w:cs="Times New Roman"/>
          <w:bCs/>
          <w:snapToGrid w:val="0"/>
          <w:color w:val="000000"/>
          <w:lang w:val="en-US" w:eastAsia="zh-CN"/>
        </w:rPr>
        <w:t>上述减持行为违反了中国证监会《上市公司董事、监事和高级管理人员所持本公司股份及其变动管理规则》（证监公司字[2007]56号）第十三</w:t>
      </w:r>
      <w:r>
        <w:rPr>
          <w:rFonts w:hint="eastAsia" w:ascii="宋体" w:hAnsi="宋体" w:eastAsia="宋体" w:cs="宋体"/>
          <w:bCs/>
          <w:snapToGrid w:val="0"/>
          <w:color w:val="000000"/>
          <w:lang w:val="en-US" w:eastAsia="zh-CN"/>
        </w:rPr>
        <w:t>条“上</w:t>
      </w:r>
      <w:r>
        <w:rPr>
          <w:rFonts w:hint="default" w:cs="Times New Roman"/>
          <w:bCs/>
          <w:snapToGrid w:val="0"/>
          <w:color w:val="000000"/>
          <w:lang w:val="en-US" w:eastAsia="zh-CN"/>
        </w:rPr>
        <w:t>市公司董事、监事和高级管理人员在下列期间不得买卖本公司股票之第三款：自可能对本公司股票交易价格产生重大影响的重大事项发生之日或在决策过程中，至依法披露后2交易日</w:t>
      </w:r>
      <w:r>
        <w:rPr>
          <w:rFonts w:hint="eastAsia" w:ascii="宋体" w:hAnsi="宋体" w:eastAsia="宋体" w:cs="宋体"/>
          <w:bCs/>
          <w:snapToGrid w:val="0"/>
          <w:color w:val="000000"/>
          <w:lang w:val="en-US" w:eastAsia="zh-CN"/>
        </w:rPr>
        <w:t>内”</w:t>
      </w:r>
      <w:r>
        <w:rPr>
          <w:rFonts w:hint="default" w:cs="Times New Roman"/>
          <w:bCs/>
          <w:snapToGrid w:val="0"/>
          <w:color w:val="000000"/>
          <w:lang w:val="en-US" w:eastAsia="zh-CN"/>
        </w:rPr>
        <w:t>的规定，本次减持</w:t>
      </w:r>
      <w:r>
        <w:rPr>
          <w:rFonts w:hint="eastAsia" w:cs="Times New Roman"/>
          <w:bCs/>
          <w:snapToGrid w:val="0"/>
          <w:color w:val="000000"/>
          <w:lang w:val="en-US" w:eastAsia="zh-CN"/>
        </w:rPr>
        <w:t>涉嫌</w:t>
      </w:r>
      <w:r>
        <w:rPr>
          <w:rFonts w:hint="default" w:cs="Times New Roman"/>
          <w:bCs/>
          <w:snapToGrid w:val="0"/>
          <w:color w:val="000000"/>
          <w:lang w:val="en-US" w:eastAsia="zh-CN"/>
        </w:rPr>
        <w:t>构成违规减持。</w:t>
      </w:r>
      <w:r>
        <w:rPr>
          <w:rFonts w:hint="eastAsia" w:cs="Times New Roman"/>
          <w:bCs/>
          <w:snapToGrid w:val="0"/>
          <w:color w:val="000000"/>
          <w:lang w:val="en-US" w:eastAsia="zh-CN"/>
        </w:rPr>
        <w:t>现将有关情况披露如下：</w:t>
      </w:r>
    </w:p>
    <w:p>
      <w:pPr>
        <w:pStyle w:val="2"/>
        <w:numPr>
          <w:ilvl w:val="0"/>
          <w:numId w:val="1"/>
        </w:numPr>
        <w:adjustRightInd w:val="0"/>
        <w:snapToGrid w:val="0"/>
        <w:spacing w:before="0" w:beforeAutospacing="0" w:after="0" w:afterAutospacing="0" w:line="360" w:lineRule="auto"/>
        <w:rPr>
          <w:rFonts w:hint="eastAsia" w:cs="Times New Roman"/>
          <w:b/>
          <w:bCs w:val="0"/>
          <w:snapToGrid w:val="0"/>
          <w:color w:val="000000"/>
          <w:lang w:val="en-US" w:eastAsia="zh-CN"/>
        </w:rPr>
      </w:pPr>
      <w:r>
        <w:rPr>
          <w:rFonts w:hint="eastAsia" w:cs="Times New Roman"/>
          <w:b/>
          <w:bCs w:val="0"/>
          <w:snapToGrid w:val="0"/>
          <w:color w:val="000000"/>
          <w:lang w:val="en-US" w:eastAsia="zh-CN"/>
        </w:rPr>
        <w:t>本次减持前的持股情况</w:t>
      </w:r>
    </w:p>
    <w:p>
      <w:pPr>
        <w:pStyle w:val="2"/>
        <w:numPr>
          <w:ilvl w:val="0"/>
          <w:numId w:val="0"/>
        </w:numPr>
        <w:adjustRightInd w:val="0"/>
        <w:snapToGrid w:val="0"/>
        <w:spacing w:before="0" w:beforeAutospacing="0" w:after="0" w:afterAutospacing="0" w:line="360" w:lineRule="auto"/>
        <w:ind w:firstLine="420" w:firstLineChars="0"/>
        <w:jc w:val="both"/>
        <w:rPr>
          <w:rFonts w:hint="default" w:cs="Times New Roman"/>
          <w:b w:val="0"/>
          <w:bCs/>
          <w:snapToGrid w:val="0"/>
          <w:color w:val="000000"/>
          <w:lang w:val="en-US" w:eastAsia="zh-CN"/>
        </w:rPr>
      </w:pPr>
      <w:r>
        <w:rPr>
          <w:rFonts w:hint="eastAsia" w:cs="Times New Roman"/>
          <w:b w:val="0"/>
          <w:bCs/>
          <w:snapToGrid w:val="0"/>
          <w:color w:val="000000"/>
          <w:lang w:val="en-US" w:eastAsia="zh-CN"/>
        </w:rPr>
        <w:t>公司于4月23日披露了《格尔软件股份有限公司股东及董监高集中竞价减持股份计划公告》（公告编号：2021-025），计划自2021年5月20日至2021年11月16日减持不超过151,000股。本次减持计划前范峰先生持有公司股份604,569股，约占公司当时总股本的0.3131%。因公司于2021年6月1日实施2020年年度利润分配，其中以资本公积金以每股转增0.2股的比例转增股本，范峰先生的持股数量及减持数量相应进行调整。转增完成后范峰先生持有公司股份725,483股，计划减持数量为181,200股。</w:t>
      </w:r>
    </w:p>
    <w:p>
      <w:pPr>
        <w:pStyle w:val="2"/>
        <w:numPr>
          <w:ilvl w:val="0"/>
          <w:numId w:val="1"/>
        </w:numPr>
        <w:adjustRightInd w:val="0"/>
        <w:snapToGrid w:val="0"/>
        <w:spacing w:before="0" w:beforeAutospacing="0" w:after="0" w:afterAutospacing="0" w:line="360" w:lineRule="auto"/>
        <w:rPr>
          <w:rFonts w:hint="default" w:cs="Times New Roman"/>
          <w:b/>
          <w:bCs w:val="0"/>
          <w:snapToGrid w:val="0"/>
          <w:color w:val="000000"/>
          <w:lang w:val="en-US" w:eastAsia="zh-CN"/>
        </w:rPr>
      </w:pPr>
      <w:r>
        <w:rPr>
          <w:rFonts w:hint="eastAsia" w:cs="Times New Roman"/>
          <w:b/>
          <w:bCs w:val="0"/>
          <w:snapToGrid w:val="0"/>
          <w:color w:val="000000"/>
          <w:lang w:val="en-US" w:eastAsia="zh-CN"/>
        </w:rPr>
        <w:t>本次违规减持的基本情况</w:t>
      </w:r>
    </w:p>
    <w:p>
      <w:pPr>
        <w:pStyle w:val="2"/>
        <w:numPr>
          <w:ilvl w:val="0"/>
          <w:numId w:val="0"/>
        </w:numPr>
        <w:adjustRightInd w:val="0"/>
        <w:snapToGrid w:val="0"/>
        <w:spacing w:before="0" w:beforeAutospacing="0" w:after="0" w:afterAutospacing="0" w:line="360" w:lineRule="auto"/>
        <w:ind w:firstLine="420" w:firstLineChars="0"/>
        <w:rPr>
          <w:rFonts w:hint="eastAsia" w:cs="Times New Roman"/>
          <w:bCs/>
          <w:snapToGrid w:val="0"/>
          <w:color w:val="000000"/>
          <w:lang w:val="en-US" w:eastAsia="zh-CN"/>
        </w:rPr>
      </w:pPr>
      <w:r>
        <w:rPr>
          <w:rFonts w:hint="eastAsia" w:cs="Times New Roman"/>
          <w:bCs/>
          <w:snapToGrid w:val="0"/>
          <w:color w:val="000000"/>
          <w:lang w:val="en-US" w:eastAsia="zh-CN"/>
        </w:rPr>
        <w:t>范峰先生的配偶因误操作于2021年7月13日通过上海证券交易所集中竞价交易系统减持了范峰先生持有的公司股份5,000股，约占公司总股本的0.0022%，本次减持后，范峰先生持有公司股份680,483股，约占公司总股本的0.2937%。上述减持行为距离公司重大事项披露日未满2个交易日，具体减持数量、价格、金额情况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pStyle w:val="2"/>
              <w:numPr>
                <w:ilvl w:val="0"/>
                <w:numId w:val="0"/>
              </w:numPr>
              <w:adjustRightInd w:val="0"/>
              <w:snapToGrid w:val="0"/>
              <w:spacing w:before="0" w:beforeAutospacing="0" w:after="0" w:afterAutospacing="0" w:line="240" w:lineRule="auto"/>
              <w:jc w:val="center"/>
              <w:rPr>
                <w:rFonts w:hint="default" w:cs="Times New Roman"/>
                <w:bCs/>
                <w:snapToGrid w:val="0"/>
                <w:color w:val="000000"/>
                <w:vertAlign w:val="baseline"/>
                <w:lang w:val="en-US" w:eastAsia="zh-CN"/>
              </w:rPr>
            </w:pPr>
            <w:r>
              <w:rPr>
                <w:rFonts w:hint="eastAsia" w:cs="Times New Roman"/>
                <w:bCs/>
                <w:snapToGrid w:val="0"/>
                <w:color w:val="000000"/>
                <w:vertAlign w:val="baseline"/>
                <w:lang w:val="en-US" w:eastAsia="zh-CN"/>
              </w:rPr>
              <w:t>股东名称</w:t>
            </w:r>
          </w:p>
        </w:tc>
        <w:tc>
          <w:tcPr>
            <w:tcW w:w="1704" w:type="dxa"/>
            <w:vAlign w:val="center"/>
          </w:tcPr>
          <w:p>
            <w:pPr>
              <w:pStyle w:val="2"/>
              <w:numPr>
                <w:ilvl w:val="0"/>
                <w:numId w:val="0"/>
              </w:numPr>
              <w:adjustRightInd w:val="0"/>
              <w:snapToGrid w:val="0"/>
              <w:spacing w:before="0" w:beforeAutospacing="0" w:after="0" w:afterAutospacing="0" w:line="240" w:lineRule="auto"/>
              <w:jc w:val="center"/>
              <w:rPr>
                <w:rFonts w:hint="default" w:cs="Times New Roman"/>
                <w:bCs/>
                <w:snapToGrid w:val="0"/>
                <w:color w:val="000000"/>
                <w:vertAlign w:val="baseline"/>
                <w:lang w:val="en-US" w:eastAsia="zh-CN"/>
              </w:rPr>
            </w:pPr>
            <w:r>
              <w:rPr>
                <w:rFonts w:hint="eastAsia" w:cs="Times New Roman"/>
                <w:bCs/>
                <w:snapToGrid w:val="0"/>
                <w:color w:val="000000"/>
                <w:vertAlign w:val="baseline"/>
                <w:lang w:val="en-US" w:eastAsia="zh-CN"/>
              </w:rPr>
              <w:t>减持日期</w:t>
            </w:r>
          </w:p>
        </w:tc>
        <w:tc>
          <w:tcPr>
            <w:tcW w:w="1704" w:type="dxa"/>
            <w:vAlign w:val="center"/>
          </w:tcPr>
          <w:p>
            <w:pPr>
              <w:pStyle w:val="2"/>
              <w:numPr>
                <w:ilvl w:val="0"/>
                <w:numId w:val="0"/>
              </w:numPr>
              <w:adjustRightInd w:val="0"/>
              <w:snapToGrid w:val="0"/>
              <w:spacing w:before="0" w:beforeAutospacing="0" w:after="0" w:afterAutospacing="0" w:line="240" w:lineRule="auto"/>
              <w:jc w:val="center"/>
              <w:rPr>
                <w:rFonts w:hint="eastAsia" w:cs="Times New Roman"/>
                <w:bCs/>
                <w:snapToGrid w:val="0"/>
                <w:color w:val="000000"/>
                <w:vertAlign w:val="baseline"/>
                <w:lang w:val="en-US" w:eastAsia="zh-CN"/>
              </w:rPr>
            </w:pPr>
            <w:r>
              <w:rPr>
                <w:rFonts w:hint="eastAsia" w:cs="Times New Roman"/>
                <w:bCs/>
                <w:snapToGrid w:val="0"/>
                <w:color w:val="000000"/>
                <w:vertAlign w:val="baseline"/>
                <w:lang w:val="en-US" w:eastAsia="zh-CN"/>
              </w:rPr>
              <w:t>减持数量</w:t>
            </w:r>
          </w:p>
          <w:p>
            <w:pPr>
              <w:pStyle w:val="2"/>
              <w:numPr>
                <w:ilvl w:val="0"/>
                <w:numId w:val="0"/>
              </w:numPr>
              <w:adjustRightInd w:val="0"/>
              <w:snapToGrid w:val="0"/>
              <w:spacing w:before="0" w:beforeAutospacing="0" w:after="0" w:afterAutospacing="0" w:line="240" w:lineRule="auto"/>
              <w:jc w:val="center"/>
              <w:rPr>
                <w:rFonts w:hint="default" w:cs="Times New Roman"/>
                <w:bCs/>
                <w:snapToGrid w:val="0"/>
                <w:color w:val="000000"/>
                <w:vertAlign w:val="baseline"/>
                <w:lang w:val="en-US" w:eastAsia="zh-CN"/>
              </w:rPr>
            </w:pPr>
            <w:r>
              <w:rPr>
                <w:rFonts w:hint="eastAsia" w:cs="Times New Roman"/>
                <w:bCs/>
                <w:snapToGrid w:val="0"/>
                <w:color w:val="000000"/>
                <w:vertAlign w:val="baseline"/>
                <w:lang w:val="en-US" w:eastAsia="zh-CN"/>
              </w:rPr>
              <w:t>（股）</w:t>
            </w:r>
          </w:p>
        </w:tc>
        <w:tc>
          <w:tcPr>
            <w:tcW w:w="1705" w:type="dxa"/>
            <w:vAlign w:val="center"/>
          </w:tcPr>
          <w:p>
            <w:pPr>
              <w:pStyle w:val="2"/>
              <w:numPr>
                <w:ilvl w:val="0"/>
                <w:numId w:val="0"/>
              </w:numPr>
              <w:adjustRightInd w:val="0"/>
              <w:snapToGrid w:val="0"/>
              <w:spacing w:before="0" w:beforeAutospacing="0" w:after="0" w:afterAutospacing="0" w:line="240" w:lineRule="auto"/>
              <w:jc w:val="center"/>
              <w:rPr>
                <w:rFonts w:hint="eastAsia" w:cs="Times New Roman"/>
                <w:bCs/>
                <w:snapToGrid w:val="0"/>
                <w:color w:val="000000"/>
                <w:vertAlign w:val="baseline"/>
                <w:lang w:val="en-US" w:eastAsia="zh-CN"/>
              </w:rPr>
            </w:pPr>
            <w:r>
              <w:rPr>
                <w:rFonts w:hint="eastAsia" w:cs="Times New Roman"/>
                <w:bCs/>
                <w:snapToGrid w:val="0"/>
                <w:color w:val="000000"/>
                <w:vertAlign w:val="baseline"/>
                <w:lang w:val="en-US" w:eastAsia="zh-CN"/>
              </w:rPr>
              <w:t>减持价格</w:t>
            </w:r>
          </w:p>
          <w:p>
            <w:pPr>
              <w:pStyle w:val="2"/>
              <w:numPr>
                <w:ilvl w:val="0"/>
                <w:numId w:val="0"/>
              </w:numPr>
              <w:adjustRightInd w:val="0"/>
              <w:snapToGrid w:val="0"/>
              <w:spacing w:before="0" w:beforeAutospacing="0" w:after="0" w:afterAutospacing="0" w:line="240" w:lineRule="auto"/>
              <w:jc w:val="center"/>
              <w:rPr>
                <w:rFonts w:hint="default" w:cs="Times New Roman"/>
                <w:bCs/>
                <w:snapToGrid w:val="0"/>
                <w:color w:val="000000"/>
                <w:vertAlign w:val="baseline"/>
                <w:lang w:val="en-US" w:eastAsia="zh-CN"/>
              </w:rPr>
            </w:pPr>
            <w:r>
              <w:rPr>
                <w:rFonts w:hint="eastAsia" w:cs="Times New Roman"/>
                <w:bCs/>
                <w:snapToGrid w:val="0"/>
                <w:color w:val="000000"/>
                <w:vertAlign w:val="baseline"/>
                <w:lang w:val="en-US" w:eastAsia="zh-CN"/>
              </w:rPr>
              <w:t>（元/股）</w:t>
            </w:r>
          </w:p>
        </w:tc>
        <w:tc>
          <w:tcPr>
            <w:tcW w:w="1705" w:type="dxa"/>
            <w:vAlign w:val="center"/>
          </w:tcPr>
          <w:p>
            <w:pPr>
              <w:pStyle w:val="2"/>
              <w:numPr>
                <w:ilvl w:val="0"/>
                <w:numId w:val="0"/>
              </w:numPr>
              <w:adjustRightInd w:val="0"/>
              <w:snapToGrid w:val="0"/>
              <w:spacing w:before="0" w:beforeAutospacing="0" w:after="0" w:afterAutospacing="0" w:line="240" w:lineRule="auto"/>
              <w:jc w:val="center"/>
              <w:rPr>
                <w:rFonts w:hint="eastAsia" w:cs="Times New Roman"/>
                <w:bCs/>
                <w:snapToGrid w:val="0"/>
                <w:color w:val="000000"/>
                <w:vertAlign w:val="baseline"/>
                <w:lang w:val="en-US" w:eastAsia="zh-CN"/>
              </w:rPr>
            </w:pPr>
            <w:r>
              <w:rPr>
                <w:rFonts w:hint="eastAsia" w:cs="Times New Roman"/>
                <w:bCs/>
                <w:snapToGrid w:val="0"/>
                <w:color w:val="000000"/>
                <w:vertAlign w:val="baseline"/>
                <w:lang w:val="en-US" w:eastAsia="zh-CN"/>
              </w:rPr>
              <w:t>金额</w:t>
            </w:r>
          </w:p>
          <w:p>
            <w:pPr>
              <w:pStyle w:val="2"/>
              <w:numPr>
                <w:ilvl w:val="0"/>
                <w:numId w:val="0"/>
              </w:numPr>
              <w:adjustRightInd w:val="0"/>
              <w:snapToGrid w:val="0"/>
              <w:spacing w:before="0" w:beforeAutospacing="0" w:after="0" w:afterAutospacing="0" w:line="240" w:lineRule="auto"/>
              <w:jc w:val="center"/>
              <w:rPr>
                <w:rFonts w:hint="default" w:cs="Times New Roman"/>
                <w:bCs/>
                <w:snapToGrid w:val="0"/>
                <w:color w:val="000000"/>
                <w:vertAlign w:val="baseline"/>
                <w:lang w:val="en-US" w:eastAsia="zh-CN"/>
              </w:rPr>
            </w:pPr>
            <w:r>
              <w:rPr>
                <w:rFonts w:hint="eastAsia" w:cs="Times New Roman"/>
                <w:bCs/>
                <w:snapToGrid w:val="0"/>
                <w:color w:val="000000"/>
                <w:vertAlign w:val="baseli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pStyle w:val="2"/>
              <w:numPr>
                <w:ilvl w:val="0"/>
                <w:numId w:val="0"/>
              </w:numPr>
              <w:adjustRightInd w:val="0"/>
              <w:snapToGrid w:val="0"/>
              <w:spacing w:before="0" w:beforeAutospacing="0" w:after="0" w:afterAutospacing="0" w:line="240" w:lineRule="auto"/>
              <w:jc w:val="center"/>
              <w:rPr>
                <w:rFonts w:hint="default" w:cs="Times New Roman"/>
                <w:bCs/>
                <w:snapToGrid w:val="0"/>
                <w:color w:val="000000"/>
                <w:vertAlign w:val="baseline"/>
                <w:lang w:val="en-US" w:eastAsia="zh-CN"/>
              </w:rPr>
            </w:pPr>
            <w:r>
              <w:rPr>
                <w:rFonts w:hint="eastAsia" w:cs="Times New Roman"/>
                <w:bCs/>
                <w:snapToGrid w:val="0"/>
                <w:color w:val="000000"/>
                <w:vertAlign w:val="baseline"/>
                <w:lang w:val="en-US" w:eastAsia="zh-CN"/>
              </w:rPr>
              <w:t>范峰</w:t>
            </w:r>
          </w:p>
        </w:tc>
        <w:tc>
          <w:tcPr>
            <w:tcW w:w="1704" w:type="dxa"/>
          </w:tcPr>
          <w:p>
            <w:pPr>
              <w:pStyle w:val="2"/>
              <w:numPr>
                <w:ilvl w:val="0"/>
                <w:numId w:val="0"/>
              </w:numPr>
              <w:adjustRightInd w:val="0"/>
              <w:snapToGrid w:val="0"/>
              <w:spacing w:before="0" w:beforeAutospacing="0" w:after="0" w:afterAutospacing="0" w:line="240" w:lineRule="auto"/>
              <w:jc w:val="center"/>
              <w:rPr>
                <w:rFonts w:hint="default" w:cs="Times New Roman"/>
                <w:bCs/>
                <w:snapToGrid w:val="0"/>
                <w:color w:val="000000"/>
                <w:vertAlign w:val="baseline"/>
                <w:lang w:val="en-US" w:eastAsia="zh-CN"/>
              </w:rPr>
            </w:pPr>
            <w:r>
              <w:rPr>
                <w:rFonts w:hint="eastAsia" w:cs="Times New Roman"/>
                <w:bCs/>
                <w:snapToGrid w:val="0"/>
                <w:color w:val="000000"/>
                <w:vertAlign w:val="baseline"/>
                <w:lang w:val="en-US" w:eastAsia="zh-CN"/>
              </w:rPr>
              <w:t>2021-7-13</w:t>
            </w:r>
          </w:p>
        </w:tc>
        <w:tc>
          <w:tcPr>
            <w:tcW w:w="1704" w:type="dxa"/>
          </w:tcPr>
          <w:p>
            <w:pPr>
              <w:pStyle w:val="2"/>
              <w:numPr>
                <w:ilvl w:val="0"/>
                <w:numId w:val="0"/>
              </w:numPr>
              <w:adjustRightInd w:val="0"/>
              <w:snapToGrid w:val="0"/>
              <w:spacing w:before="0" w:beforeAutospacing="0" w:after="0" w:afterAutospacing="0" w:line="240" w:lineRule="auto"/>
              <w:jc w:val="center"/>
              <w:rPr>
                <w:rFonts w:hint="default" w:cs="Times New Roman"/>
                <w:bCs/>
                <w:snapToGrid w:val="0"/>
                <w:color w:val="000000"/>
                <w:vertAlign w:val="baseline"/>
                <w:lang w:val="en-US" w:eastAsia="zh-CN"/>
              </w:rPr>
            </w:pPr>
            <w:r>
              <w:rPr>
                <w:rFonts w:hint="eastAsia" w:cs="Times New Roman"/>
                <w:bCs/>
                <w:snapToGrid w:val="0"/>
                <w:color w:val="000000"/>
                <w:vertAlign w:val="baseline"/>
                <w:lang w:val="en-US" w:eastAsia="zh-CN"/>
              </w:rPr>
              <w:t>5,000</w:t>
            </w:r>
          </w:p>
        </w:tc>
        <w:tc>
          <w:tcPr>
            <w:tcW w:w="1705" w:type="dxa"/>
          </w:tcPr>
          <w:p>
            <w:pPr>
              <w:pStyle w:val="2"/>
              <w:numPr>
                <w:ilvl w:val="0"/>
                <w:numId w:val="0"/>
              </w:numPr>
              <w:adjustRightInd w:val="0"/>
              <w:snapToGrid w:val="0"/>
              <w:spacing w:before="0" w:beforeAutospacing="0" w:after="0" w:afterAutospacing="0" w:line="240" w:lineRule="auto"/>
              <w:jc w:val="center"/>
              <w:rPr>
                <w:rFonts w:hint="default" w:cs="Times New Roman"/>
                <w:bCs/>
                <w:snapToGrid w:val="0"/>
                <w:color w:val="000000"/>
                <w:vertAlign w:val="baseline"/>
                <w:lang w:val="en-US" w:eastAsia="zh-CN"/>
              </w:rPr>
            </w:pPr>
            <w:r>
              <w:rPr>
                <w:rFonts w:hint="eastAsia" w:cs="Times New Roman"/>
                <w:bCs/>
                <w:snapToGrid w:val="0"/>
                <w:color w:val="000000"/>
                <w:vertAlign w:val="baseline"/>
                <w:lang w:val="en-US" w:eastAsia="zh-CN"/>
              </w:rPr>
              <w:t>18.80</w:t>
            </w:r>
          </w:p>
        </w:tc>
        <w:tc>
          <w:tcPr>
            <w:tcW w:w="1705" w:type="dxa"/>
          </w:tcPr>
          <w:p>
            <w:pPr>
              <w:pStyle w:val="2"/>
              <w:numPr>
                <w:ilvl w:val="0"/>
                <w:numId w:val="0"/>
              </w:numPr>
              <w:adjustRightInd w:val="0"/>
              <w:snapToGrid w:val="0"/>
              <w:spacing w:before="0" w:beforeAutospacing="0" w:after="0" w:afterAutospacing="0" w:line="240" w:lineRule="auto"/>
              <w:jc w:val="center"/>
              <w:rPr>
                <w:rFonts w:hint="default" w:cs="Times New Roman"/>
                <w:bCs/>
                <w:snapToGrid w:val="0"/>
                <w:color w:val="000000"/>
                <w:vertAlign w:val="baseline"/>
                <w:lang w:val="en-US" w:eastAsia="zh-CN"/>
              </w:rPr>
            </w:pPr>
            <w:r>
              <w:rPr>
                <w:rFonts w:hint="eastAsia" w:cs="Times New Roman"/>
                <w:bCs/>
                <w:snapToGrid w:val="0"/>
                <w:color w:val="000000"/>
                <w:vertAlign w:val="baseline"/>
                <w:lang w:val="en-US" w:eastAsia="zh-CN"/>
              </w:rPr>
              <w:t>94,000.00</w:t>
            </w:r>
          </w:p>
        </w:tc>
      </w:tr>
    </w:tbl>
    <w:p>
      <w:pPr>
        <w:pStyle w:val="2"/>
        <w:keepNext w:val="0"/>
        <w:keepLines w:val="0"/>
        <w:pageBreakBefore w:val="0"/>
        <w:widowControl/>
        <w:numPr>
          <w:ilvl w:val="0"/>
          <w:numId w:val="0"/>
        </w:numPr>
        <w:kinsoku/>
        <w:wordWrap/>
        <w:overflowPunct/>
        <w:topLinePunct w:val="0"/>
        <w:autoSpaceDE/>
        <w:autoSpaceDN/>
        <w:bidi w:val="0"/>
        <w:adjustRightInd w:val="0"/>
        <w:snapToGrid w:val="0"/>
        <w:spacing w:before="157" w:beforeLines="50" w:beforeAutospacing="0" w:after="0" w:afterAutospacing="0" w:line="360" w:lineRule="auto"/>
        <w:ind w:firstLine="420" w:firstLineChars="0"/>
        <w:textAlignment w:val="auto"/>
        <w:rPr>
          <w:rFonts w:hint="default" w:cs="Times New Roman"/>
          <w:bCs/>
          <w:snapToGrid w:val="0"/>
          <w:color w:val="000000"/>
          <w:lang w:val="en-US" w:eastAsia="zh-CN"/>
        </w:rPr>
      </w:pPr>
      <w:r>
        <w:rPr>
          <w:rFonts w:hint="default" w:cs="Times New Roman"/>
          <w:bCs/>
          <w:snapToGrid w:val="0"/>
          <w:color w:val="000000"/>
          <w:lang w:val="en-US" w:eastAsia="zh-CN"/>
        </w:rPr>
        <w:t>上述减持行为违反了中国证监会《上市公司董事、监事和高级管理人员所持本公司股份及其变动管理规则》（证监公司字[2007]56号）第十三</w:t>
      </w:r>
      <w:r>
        <w:rPr>
          <w:rFonts w:hint="eastAsia" w:ascii="宋体" w:hAnsi="宋体" w:eastAsia="宋体" w:cs="宋体"/>
          <w:bCs/>
          <w:snapToGrid w:val="0"/>
          <w:color w:val="000000"/>
          <w:lang w:val="en-US" w:eastAsia="zh-CN"/>
        </w:rPr>
        <w:t>条“上</w:t>
      </w:r>
      <w:r>
        <w:rPr>
          <w:rFonts w:hint="default" w:cs="Times New Roman"/>
          <w:bCs/>
          <w:snapToGrid w:val="0"/>
          <w:color w:val="000000"/>
          <w:lang w:val="en-US" w:eastAsia="zh-CN"/>
        </w:rPr>
        <w:t>市公司董事、监事和高级管理人员在下列期间不得买卖本公司股票之第三款规定：自可能对本公司股票交易价格产生重大影响的重大事项发生之日或在决策过程中，至依法披露后2交易日</w:t>
      </w:r>
      <w:r>
        <w:rPr>
          <w:rFonts w:hint="eastAsia" w:ascii="宋体" w:hAnsi="宋体" w:eastAsia="宋体" w:cs="宋体"/>
          <w:bCs/>
          <w:snapToGrid w:val="0"/>
          <w:color w:val="000000"/>
          <w:lang w:val="en-US" w:eastAsia="zh-CN"/>
        </w:rPr>
        <w:t>内”</w:t>
      </w:r>
      <w:r>
        <w:rPr>
          <w:rFonts w:hint="default" w:cs="Times New Roman"/>
          <w:bCs/>
          <w:snapToGrid w:val="0"/>
          <w:color w:val="000000"/>
          <w:lang w:val="en-US" w:eastAsia="zh-CN"/>
        </w:rPr>
        <w:t>的规定，本次减持构成违规减持。</w:t>
      </w:r>
    </w:p>
    <w:p>
      <w:pPr>
        <w:pStyle w:val="2"/>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360" w:lineRule="auto"/>
        <w:ind w:firstLine="420" w:firstLineChars="0"/>
        <w:textAlignment w:val="auto"/>
        <w:rPr>
          <w:rFonts w:hint="default" w:cs="Times New Roman"/>
          <w:bCs/>
          <w:snapToGrid w:val="0"/>
          <w:color w:val="000000"/>
          <w:lang w:val="en-US" w:eastAsia="zh-CN"/>
        </w:rPr>
      </w:pPr>
      <w:r>
        <w:rPr>
          <w:rFonts w:hint="default" w:cs="Times New Roman"/>
          <w:bCs/>
          <w:snapToGrid w:val="0"/>
          <w:color w:val="000000"/>
          <w:lang w:val="en-US" w:eastAsia="zh-CN"/>
        </w:rPr>
        <w:t>公司证券部门发现上述违规减持行为之后，立即与</w:t>
      </w:r>
      <w:r>
        <w:rPr>
          <w:rFonts w:hint="eastAsia" w:cs="Times New Roman"/>
          <w:bCs/>
          <w:snapToGrid w:val="0"/>
          <w:color w:val="000000"/>
          <w:lang w:val="en-US" w:eastAsia="zh-CN"/>
        </w:rPr>
        <w:t>范峰先生</w:t>
      </w:r>
      <w:r>
        <w:rPr>
          <w:rFonts w:hint="default" w:cs="Times New Roman"/>
          <w:bCs/>
          <w:snapToGrid w:val="0"/>
          <w:color w:val="000000"/>
          <w:lang w:val="en-US" w:eastAsia="zh-CN"/>
        </w:rPr>
        <w:t>进行了核实，经核查，</w:t>
      </w:r>
      <w:r>
        <w:rPr>
          <w:rFonts w:hint="eastAsia" w:cs="Times New Roman"/>
          <w:bCs/>
          <w:snapToGrid w:val="0"/>
          <w:color w:val="000000"/>
          <w:lang w:val="en-US" w:eastAsia="zh-CN"/>
        </w:rPr>
        <w:t>范峰</w:t>
      </w:r>
      <w:r>
        <w:rPr>
          <w:rFonts w:hint="default" w:cs="Times New Roman"/>
          <w:bCs/>
          <w:snapToGrid w:val="0"/>
          <w:color w:val="000000"/>
          <w:lang w:val="en-US" w:eastAsia="zh-CN"/>
        </w:rPr>
        <w:t>先生对其配偶上述的减持行为不知情，也非本人的真实意愿。本次减持公司股份非主观故意违规，其减持的股份不存在任何其他限制条件，本次减持未构成短线交易，也不存在任何内幕交易行为。</w:t>
      </w:r>
    </w:p>
    <w:p>
      <w:pPr>
        <w:pStyle w:val="2"/>
        <w:numPr>
          <w:ilvl w:val="0"/>
          <w:numId w:val="1"/>
        </w:numPr>
        <w:adjustRightInd w:val="0"/>
        <w:snapToGrid w:val="0"/>
        <w:spacing w:before="0" w:beforeAutospacing="0" w:after="0" w:afterAutospacing="0" w:line="360" w:lineRule="auto"/>
        <w:rPr>
          <w:rFonts w:hint="default" w:cs="Times New Roman"/>
          <w:b/>
          <w:bCs w:val="0"/>
          <w:snapToGrid w:val="0"/>
          <w:color w:val="000000"/>
          <w:lang w:val="en-US" w:eastAsia="zh-CN"/>
        </w:rPr>
      </w:pPr>
      <w:r>
        <w:rPr>
          <w:rFonts w:hint="eastAsia" w:cs="Times New Roman"/>
          <w:b/>
          <w:bCs w:val="0"/>
          <w:snapToGrid w:val="0"/>
          <w:color w:val="000000"/>
          <w:lang w:val="en-US" w:eastAsia="zh-CN"/>
        </w:rPr>
        <w:t>本事项的处理情况</w:t>
      </w:r>
    </w:p>
    <w:p>
      <w:pPr>
        <w:pStyle w:val="2"/>
        <w:numPr>
          <w:ilvl w:val="0"/>
          <w:numId w:val="2"/>
        </w:numPr>
        <w:adjustRightInd w:val="0"/>
        <w:snapToGrid w:val="0"/>
        <w:spacing w:before="0" w:beforeAutospacing="0" w:after="0" w:afterAutospacing="0" w:line="360" w:lineRule="auto"/>
        <w:ind w:left="0" w:leftChars="0" w:firstLine="420" w:firstLineChars="0"/>
        <w:rPr>
          <w:rFonts w:hint="default" w:cs="Times New Roman"/>
          <w:b w:val="0"/>
          <w:bCs/>
          <w:snapToGrid w:val="0"/>
          <w:color w:val="000000"/>
          <w:lang w:val="en-US" w:eastAsia="zh-CN"/>
        </w:rPr>
      </w:pPr>
      <w:r>
        <w:rPr>
          <w:rFonts w:hint="default" w:cs="Times New Roman"/>
          <w:b w:val="0"/>
          <w:bCs/>
          <w:snapToGrid w:val="0"/>
          <w:color w:val="000000"/>
          <w:lang w:val="en-US" w:eastAsia="zh-CN"/>
        </w:rPr>
        <w:t>公司获知上述违规减持行为后，要求</w:t>
      </w:r>
      <w:r>
        <w:rPr>
          <w:rFonts w:hint="eastAsia" w:cs="Times New Roman"/>
          <w:b w:val="0"/>
          <w:bCs/>
          <w:snapToGrid w:val="0"/>
          <w:color w:val="000000"/>
          <w:lang w:val="en-US" w:eastAsia="zh-CN"/>
        </w:rPr>
        <w:t>范峰</w:t>
      </w:r>
      <w:r>
        <w:rPr>
          <w:rFonts w:hint="default" w:cs="Times New Roman"/>
          <w:b w:val="0"/>
          <w:bCs/>
          <w:snapToGrid w:val="0"/>
          <w:color w:val="000000"/>
          <w:lang w:val="en-US" w:eastAsia="zh-CN"/>
        </w:rPr>
        <w:t>先生定期巩固学习《证券法》、《上市公司收购管理办法》、《上市公司股东、董监高减持股份的若干规定》、《上海证券交易所上市公司股东及董事、监事、高级管理人员减持股份实施细则》、《上海证券交易所股票上市规则》、《上市公司董事、监事和高级管理人员所持本公司股份及其变动管理规则》等相关法律、法规和规范性文件，严格履行相关监管规定，</w:t>
      </w:r>
      <w:r>
        <w:rPr>
          <w:rFonts w:hint="eastAsia" w:cs="Times New Roman"/>
          <w:b w:val="0"/>
          <w:bCs/>
          <w:snapToGrid w:val="0"/>
          <w:color w:val="000000"/>
          <w:lang w:val="en-US" w:eastAsia="zh-CN"/>
        </w:rPr>
        <w:t>避免</w:t>
      </w:r>
      <w:r>
        <w:rPr>
          <w:rFonts w:hint="default" w:cs="Times New Roman"/>
          <w:b w:val="0"/>
          <w:bCs/>
          <w:snapToGrid w:val="0"/>
          <w:color w:val="000000"/>
          <w:lang w:val="en-US" w:eastAsia="zh-CN"/>
        </w:rPr>
        <w:t>此类事件发生。</w:t>
      </w:r>
    </w:p>
    <w:p>
      <w:pPr>
        <w:pStyle w:val="2"/>
        <w:numPr>
          <w:ilvl w:val="0"/>
          <w:numId w:val="2"/>
        </w:numPr>
        <w:adjustRightInd w:val="0"/>
        <w:snapToGrid w:val="0"/>
        <w:spacing w:before="0" w:beforeAutospacing="0" w:after="0" w:afterAutospacing="0" w:line="360" w:lineRule="auto"/>
        <w:ind w:left="0" w:leftChars="0" w:firstLine="420" w:firstLineChars="0"/>
        <w:rPr>
          <w:rFonts w:hint="default" w:cs="Times New Roman"/>
          <w:b w:val="0"/>
          <w:bCs/>
          <w:snapToGrid w:val="0"/>
          <w:color w:val="000000"/>
          <w:lang w:val="en-US" w:eastAsia="zh-CN"/>
        </w:rPr>
      </w:pPr>
      <w:r>
        <w:rPr>
          <w:rFonts w:hint="eastAsia" w:cs="Times New Roman"/>
          <w:bCs/>
          <w:snapToGrid w:val="0"/>
          <w:color w:val="000000"/>
          <w:lang w:val="en-US" w:eastAsia="zh-CN"/>
        </w:rPr>
        <w:t>发生上述违规减持股份行为后，范峰</w:t>
      </w:r>
      <w:r>
        <w:rPr>
          <w:rFonts w:hint="default" w:cs="Times New Roman"/>
          <w:bCs/>
          <w:snapToGrid w:val="0"/>
          <w:color w:val="000000"/>
          <w:lang w:val="en-US" w:eastAsia="zh-CN"/>
        </w:rPr>
        <w:t>先生已经深刻意识到上述违规</w:t>
      </w:r>
      <w:r>
        <w:rPr>
          <w:rFonts w:hint="eastAsia" w:cs="Times New Roman"/>
          <w:bCs/>
          <w:snapToGrid w:val="0"/>
          <w:color w:val="000000"/>
          <w:lang w:val="en-US" w:eastAsia="zh-CN"/>
        </w:rPr>
        <w:t>事项的严重性</w:t>
      </w:r>
      <w:r>
        <w:rPr>
          <w:rFonts w:hint="default" w:cs="Times New Roman"/>
          <w:bCs/>
          <w:snapToGrid w:val="0"/>
          <w:color w:val="000000"/>
          <w:lang w:val="en-US" w:eastAsia="zh-CN"/>
        </w:rPr>
        <w:t>及负面影响，第一时间对其配偶进行了教育与规则解读，停止违规减持行为。并就上述违规减持行为出具了书面情况说明和致歉</w:t>
      </w:r>
      <w:r>
        <w:rPr>
          <w:rFonts w:hint="eastAsia" w:cs="Times New Roman"/>
          <w:bCs/>
          <w:snapToGrid w:val="0"/>
          <w:color w:val="000000"/>
          <w:lang w:val="en-US" w:eastAsia="zh-CN"/>
        </w:rPr>
        <w:t>函</w:t>
      </w:r>
      <w:r>
        <w:rPr>
          <w:rFonts w:hint="default" w:cs="Times New Roman"/>
          <w:bCs/>
          <w:snapToGrid w:val="0"/>
          <w:color w:val="000000"/>
          <w:lang w:val="en-US" w:eastAsia="zh-CN"/>
        </w:rPr>
        <w:t>。其本人疏忽了</w:t>
      </w:r>
      <w:r>
        <w:rPr>
          <w:rFonts w:hint="eastAsia" w:cs="Times New Roman"/>
          <w:bCs/>
          <w:snapToGrid w:val="0"/>
          <w:color w:val="000000"/>
          <w:lang w:val="en-US" w:eastAsia="zh-CN"/>
        </w:rPr>
        <w:t>个人股票账户的管理及</w:t>
      </w:r>
      <w:r>
        <w:rPr>
          <w:rFonts w:hint="default" w:cs="Times New Roman"/>
          <w:bCs/>
          <w:snapToGrid w:val="0"/>
          <w:color w:val="000000"/>
          <w:lang w:val="en-US" w:eastAsia="zh-CN"/>
        </w:rPr>
        <w:t>上述相关减持规定细节</w:t>
      </w:r>
      <w:r>
        <w:rPr>
          <w:rFonts w:hint="eastAsia" w:cs="Times New Roman"/>
          <w:bCs/>
          <w:snapToGrid w:val="0"/>
          <w:color w:val="000000"/>
          <w:lang w:val="en-US" w:eastAsia="zh-CN"/>
        </w:rPr>
        <w:t>，</w:t>
      </w:r>
      <w:r>
        <w:rPr>
          <w:rFonts w:hint="default" w:cs="Times New Roman"/>
          <w:bCs/>
          <w:snapToGrid w:val="0"/>
          <w:color w:val="000000"/>
          <w:lang w:val="en-US" w:eastAsia="zh-CN"/>
        </w:rPr>
        <w:t>就本次减持行为给公司及全体股东造成的不便，致以诚恳的歉意，致歉如下：</w:t>
      </w:r>
      <w:r>
        <w:rPr>
          <w:rFonts w:hint="eastAsia" w:ascii="宋体" w:hAnsi="宋体" w:eastAsia="宋体" w:cs="宋体"/>
          <w:bCs/>
          <w:snapToGrid w:val="0"/>
          <w:color w:val="000000"/>
          <w:lang w:val="en-US" w:eastAsia="zh-CN"/>
        </w:rPr>
        <w:t>“我</w:t>
      </w:r>
      <w:r>
        <w:rPr>
          <w:rFonts w:hint="default" w:cs="Times New Roman"/>
          <w:bCs/>
          <w:snapToGrid w:val="0"/>
          <w:color w:val="000000"/>
          <w:lang w:val="en-US" w:eastAsia="zh-CN"/>
        </w:rPr>
        <w:t>对本次公司公告重大事项未满2个交易日卖出公司股份的行为进行了深刻反省，并就本次减持股份行为对</w:t>
      </w:r>
      <w:r>
        <w:rPr>
          <w:rFonts w:hint="eastAsia" w:cs="Times New Roman"/>
          <w:bCs/>
          <w:snapToGrid w:val="0"/>
          <w:color w:val="000000"/>
          <w:lang w:val="en-US" w:eastAsia="zh-CN"/>
        </w:rPr>
        <w:t>格尔软件</w:t>
      </w:r>
      <w:r>
        <w:rPr>
          <w:rFonts w:hint="default" w:cs="Times New Roman"/>
          <w:bCs/>
          <w:snapToGrid w:val="0"/>
          <w:color w:val="000000"/>
          <w:lang w:val="en-US" w:eastAsia="zh-CN"/>
        </w:rPr>
        <w:t>和投资者造成的负面影响表示歉意。我会强化相关法律法规、规范性文件的学习，严格遵守证监会、交易所、公</w:t>
      </w:r>
      <w:bookmarkStart w:id="0" w:name="_GoBack"/>
      <w:bookmarkEnd w:id="0"/>
      <w:r>
        <w:rPr>
          <w:rFonts w:hint="default" w:cs="Times New Roman"/>
          <w:bCs/>
          <w:snapToGrid w:val="0"/>
          <w:color w:val="000000"/>
          <w:lang w:val="en-US" w:eastAsia="zh-CN"/>
        </w:rPr>
        <w:t>司的各项监管制度，防止类似事件再次发生</w:t>
      </w:r>
      <w:r>
        <w:rPr>
          <w:rFonts w:hint="eastAsia" w:ascii="宋体" w:hAnsi="宋体" w:eastAsia="宋体" w:cs="宋体"/>
          <w:bCs/>
          <w:snapToGrid w:val="0"/>
          <w:color w:val="000000"/>
          <w:lang w:val="en-US" w:eastAsia="zh-CN"/>
        </w:rPr>
        <w:t>”。</w:t>
      </w:r>
    </w:p>
    <w:p>
      <w:pPr>
        <w:pStyle w:val="2"/>
        <w:numPr>
          <w:ilvl w:val="0"/>
          <w:numId w:val="2"/>
        </w:numPr>
        <w:adjustRightInd w:val="0"/>
        <w:snapToGrid w:val="0"/>
        <w:spacing w:before="0" w:beforeAutospacing="0" w:after="0" w:afterAutospacing="0" w:line="360" w:lineRule="auto"/>
        <w:ind w:left="0" w:leftChars="0" w:firstLine="420" w:firstLineChars="0"/>
        <w:rPr>
          <w:rFonts w:hint="default" w:cs="Times New Roman"/>
          <w:b w:val="0"/>
          <w:bCs/>
          <w:snapToGrid w:val="0"/>
          <w:color w:val="000000"/>
          <w:lang w:val="en-US" w:eastAsia="zh-CN"/>
        </w:rPr>
      </w:pPr>
      <w:r>
        <w:rPr>
          <w:rFonts w:hint="default" w:cs="Times New Roman"/>
          <w:b w:val="0"/>
          <w:bCs/>
          <w:snapToGrid w:val="0"/>
          <w:color w:val="000000"/>
          <w:lang w:val="en-US" w:eastAsia="zh-CN"/>
        </w:rPr>
        <w:t>公司将进一步加强董事、监事、高级管理人员对相关法律法规的学习，督促相关人员遵守规定，加强账户管理，避免此类事情再次发生。</w:t>
      </w:r>
    </w:p>
    <w:p>
      <w:pPr>
        <w:pStyle w:val="2"/>
        <w:numPr>
          <w:ilvl w:val="0"/>
          <w:numId w:val="0"/>
        </w:numPr>
        <w:adjustRightInd w:val="0"/>
        <w:snapToGrid w:val="0"/>
        <w:spacing w:before="0" w:beforeAutospacing="0" w:after="0" w:afterAutospacing="0" w:line="360" w:lineRule="auto"/>
        <w:ind w:left="420" w:leftChars="0"/>
        <w:rPr>
          <w:rFonts w:hint="default" w:cs="Times New Roman"/>
          <w:b w:val="0"/>
          <w:bCs/>
          <w:snapToGrid w:val="0"/>
          <w:color w:val="000000"/>
          <w:lang w:val="en-US" w:eastAsia="zh-CN"/>
        </w:rPr>
      </w:pPr>
    </w:p>
    <w:p>
      <w:pPr>
        <w:pStyle w:val="2"/>
        <w:adjustRightInd w:val="0"/>
        <w:snapToGrid w:val="0"/>
        <w:spacing w:before="0" w:beforeAutospacing="0" w:after="0" w:afterAutospacing="0" w:line="360" w:lineRule="auto"/>
        <w:ind w:left="0" w:leftChars="0" w:firstLine="420" w:firstLineChars="175"/>
        <w:jc w:val="both"/>
        <w:rPr>
          <w:rFonts w:hint="default" w:ascii="Times New Roman" w:hAnsi="Times New Roman" w:eastAsia="宋体" w:cs="Times New Roman"/>
          <w:bCs/>
          <w:snapToGrid w:val="0"/>
          <w:color w:val="000000"/>
        </w:rPr>
      </w:pPr>
      <w:r>
        <w:rPr>
          <w:rFonts w:hint="default" w:ascii="Times New Roman" w:hAnsi="Times New Roman" w:eastAsia="宋体" w:cs="Times New Roman"/>
          <w:bCs/>
          <w:snapToGrid w:val="0"/>
          <w:color w:val="000000"/>
        </w:rPr>
        <w:t>特此公告。</w:t>
      </w:r>
    </w:p>
    <w:p>
      <w:pPr>
        <w:pStyle w:val="2"/>
        <w:adjustRightInd w:val="0"/>
        <w:snapToGrid w:val="0"/>
        <w:spacing w:before="0" w:beforeAutospacing="0" w:after="0" w:afterAutospacing="0" w:line="360" w:lineRule="auto"/>
        <w:ind w:left="0" w:leftChars="0" w:firstLine="420" w:firstLineChars="175"/>
        <w:rPr>
          <w:rFonts w:hint="default" w:ascii="Times New Roman" w:hAnsi="Times New Roman" w:eastAsia="宋体" w:cs="Times New Roman"/>
          <w:bCs/>
          <w:snapToGrid w:val="0"/>
          <w:color w:val="000000"/>
        </w:rPr>
      </w:pPr>
    </w:p>
    <w:p>
      <w:pPr>
        <w:autoSpaceDE w:val="0"/>
        <w:autoSpaceDN w:val="0"/>
        <w:adjustRightInd w:val="0"/>
        <w:snapToGrid w:val="0"/>
        <w:spacing w:line="360" w:lineRule="auto"/>
        <w:ind w:left="0" w:leftChars="0" w:firstLine="420" w:firstLineChars="175"/>
        <w:jc w:val="right"/>
        <w:rPr>
          <w:rFonts w:hint="default" w:ascii="Times New Roman" w:hAnsi="Times New Roman" w:eastAsia="宋体" w:cs="Times New Roman"/>
          <w:color w:val="000000"/>
          <w:kern w:val="0"/>
          <w:sz w:val="24"/>
          <w:szCs w:val="24"/>
          <w:lang w:eastAsia="zh-CN"/>
        </w:rPr>
      </w:pPr>
      <w:r>
        <w:rPr>
          <w:rFonts w:hint="default" w:ascii="Times New Roman" w:hAnsi="Times New Roman" w:eastAsia="宋体" w:cs="Times New Roman"/>
          <w:color w:val="000000"/>
          <w:kern w:val="0"/>
          <w:sz w:val="24"/>
          <w:szCs w:val="24"/>
        </w:rPr>
        <w:t>格尔软件股份有限公司</w:t>
      </w:r>
      <w:r>
        <w:rPr>
          <w:rFonts w:hint="default" w:ascii="Times New Roman" w:hAnsi="Times New Roman" w:cs="Times New Roman"/>
          <w:color w:val="000000"/>
          <w:kern w:val="0"/>
          <w:sz w:val="24"/>
          <w:szCs w:val="24"/>
          <w:lang w:eastAsia="zh-CN"/>
        </w:rPr>
        <w:t>董事会</w:t>
      </w:r>
    </w:p>
    <w:p>
      <w:pPr>
        <w:pStyle w:val="2"/>
        <w:adjustRightInd w:val="0"/>
        <w:snapToGrid w:val="0"/>
        <w:spacing w:before="0" w:beforeAutospacing="0" w:after="0" w:afterAutospacing="0" w:line="360" w:lineRule="auto"/>
        <w:ind w:left="0" w:leftChars="0" w:firstLine="420" w:firstLineChars="175"/>
        <w:jc w:val="right"/>
        <w:rPr>
          <w:rFonts w:hint="default" w:ascii="Times New Roman" w:hAnsi="Times New Roman" w:eastAsia="宋体" w:cs="Times New Roman"/>
          <w:bCs/>
          <w:snapToGrid w:val="0"/>
          <w:color w:val="000000"/>
        </w:rPr>
      </w:pPr>
      <w:r>
        <w:rPr>
          <w:rFonts w:hint="default" w:ascii="Times New Roman" w:hAnsi="Times New Roman" w:eastAsia="宋体" w:cs="Times New Roman"/>
          <w:color w:val="000000"/>
        </w:rPr>
        <w:t>20</w:t>
      </w:r>
      <w:r>
        <w:rPr>
          <w:rFonts w:hint="default" w:ascii="Times New Roman" w:hAnsi="Times New Roman" w:eastAsia="宋体" w:cs="Times New Roman"/>
          <w:color w:val="000000"/>
          <w:lang w:val="en-US" w:eastAsia="zh-CN"/>
        </w:rPr>
        <w:t>2</w:t>
      </w:r>
      <w:r>
        <w:rPr>
          <w:rFonts w:hint="default" w:ascii="Times New Roman" w:hAnsi="Times New Roman" w:cs="Times New Roman"/>
          <w:color w:val="000000"/>
          <w:lang w:val="en-US" w:eastAsia="zh-CN"/>
        </w:rPr>
        <w:t>1</w:t>
      </w:r>
      <w:r>
        <w:rPr>
          <w:rFonts w:hint="default" w:ascii="Times New Roman" w:hAnsi="Times New Roman" w:eastAsia="宋体" w:cs="Times New Roman"/>
          <w:color w:val="000000"/>
        </w:rPr>
        <w:t>年</w:t>
      </w:r>
      <w:r>
        <w:rPr>
          <w:rFonts w:hint="default" w:ascii="Times New Roman" w:hAnsi="Times New Roman" w:cs="Times New Roman"/>
          <w:color w:val="000000"/>
          <w:lang w:val="en-US" w:eastAsia="zh-CN"/>
        </w:rPr>
        <w:t>7</w:t>
      </w:r>
      <w:r>
        <w:rPr>
          <w:rFonts w:hint="default" w:ascii="Times New Roman" w:hAnsi="Times New Roman" w:eastAsia="宋体" w:cs="Times New Roman"/>
          <w:color w:val="000000"/>
        </w:rPr>
        <w:t>月</w:t>
      </w:r>
      <w:r>
        <w:rPr>
          <w:rFonts w:hint="default" w:ascii="Times New Roman" w:hAnsi="Times New Roman" w:cs="Times New Roman"/>
          <w:color w:val="000000"/>
          <w:highlight w:val="none"/>
          <w:lang w:val="en-US" w:eastAsia="zh-CN"/>
        </w:rPr>
        <w:t>1</w:t>
      </w:r>
      <w:r>
        <w:rPr>
          <w:rFonts w:hint="eastAsia" w:cs="Times New Roman"/>
          <w:color w:val="000000"/>
          <w:highlight w:val="none"/>
          <w:lang w:val="en-US" w:eastAsia="zh-CN"/>
        </w:rPr>
        <w:t>5</w:t>
      </w:r>
      <w:r>
        <w:rPr>
          <w:rFonts w:hint="default" w:ascii="Times New Roman" w:hAnsi="Times New Roman" w:eastAsia="宋体" w:cs="Times New Roman"/>
          <w:color w:val="000000"/>
        </w:rPr>
        <w:t>日</w:t>
      </w: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01EEA2"/>
    <w:multiLevelType w:val="singleLevel"/>
    <w:tmpl w:val="A601EEA2"/>
    <w:lvl w:ilvl="0" w:tentative="0">
      <w:start w:val="1"/>
      <w:numFmt w:val="chineseCounting"/>
      <w:suff w:val="nothing"/>
      <w:lvlText w:val="（%1）"/>
      <w:lvlJc w:val="left"/>
      <w:pPr>
        <w:ind w:left="0" w:firstLine="420"/>
      </w:pPr>
      <w:rPr>
        <w:rFonts w:hint="eastAsia"/>
      </w:rPr>
    </w:lvl>
  </w:abstractNum>
  <w:abstractNum w:abstractNumId="1">
    <w:nsid w:val="658D9E42"/>
    <w:multiLevelType w:val="singleLevel"/>
    <w:tmpl w:val="658D9E4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3F7E61"/>
    <w:rsid w:val="03250DC9"/>
    <w:rsid w:val="07BE499F"/>
    <w:rsid w:val="0F0555AF"/>
    <w:rsid w:val="1060695A"/>
    <w:rsid w:val="1A8803C9"/>
    <w:rsid w:val="1AF517D2"/>
    <w:rsid w:val="1F4F5B2C"/>
    <w:rsid w:val="225A35BF"/>
    <w:rsid w:val="271C1761"/>
    <w:rsid w:val="275B3F88"/>
    <w:rsid w:val="2A802022"/>
    <w:rsid w:val="2BC136AF"/>
    <w:rsid w:val="30A433BE"/>
    <w:rsid w:val="31113881"/>
    <w:rsid w:val="33EF38F6"/>
    <w:rsid w:val="39A95D8A"/>
    <w:rsid w:val="3C2854A3"/>
    <w:rsid w:val="3CA73C68"/>
    <w:rsid w:val="3E2D2CC5"/>
    <w:rsid w:val="3FA73663"/>
    <w:rsid w:val="4394704E"/>
    <w:rsid w:val="477915AF"/>
    <w:rsid w:val="478C5CD4"/>
    <w:rsid w:val="48453637"/>
    <w:rsid w:val="485D570C"/>
    <w:rsid w:val="4A237879"/>
    <w:rsid w:val="4A7F5E84"/>
    <w:rsid w:val="4D880E3D"/>
    <w:rsid w:val="4EE12B08"/>
    <w:rsid w:val="54794BD7"/>
    <w:rsid w:val="54AB6545"/>
    <w:rsid w:val="55316EFF"/>
    <w:rsid w:val="55FC11EF"/>
    <w:rsid w:val="566E58E1"/>
    <w:rsid w:val="5847001C"/>
    <w:rsid w:val="58B50EDB"/>
    <w:rsid w:val="599357D9"/>
    <w:rsid w:val="609127BD"/>
    <w:rsid w:val="622722BE"/>
    <w:rsid w:val="6D2A1F48"/>
    <w:rsid w:val="70227D89"/>
    <w:rsid w:val="707556DE"/>
    <w:rsid w:val="768E46BA"/>
    <w:rsid w:val="776D075C"/>
    <w:rsid w:val="78A04EE8"/>
    <w:rsid w:val="7AD71C26"/>
    <w:rsid w:val="7E213986"/>
    <w:rsid w:val="7E3F7E61"/>
    <w:rsid w:val="7FF43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kern w:val="0"/>
      <w:sz w:val="24"/>
      <w:szCs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p0"/>
    <w:qFormat/>
    <w:uiPriority w:val="0"/>
    <w:pPr>
      <w:spacing w:line="595" w:lineRule="atLeast"/>
      <w:ind w:left="1"/>
      <w:jc w:val="both"/>
    </w:pPr>
    <w:rPr>
      <w:rFonts w:ascii="Times New Roman" w:hAnsi="Times New Roman" w:eastAsia="宋体" w:cs="Times New Roman"/>
      <w:color w:val="000000"/>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2020-06-29T02:22:00Z</dcterms:created>
  <dc:creator>易杯酒</dc:creator>
  <cp:lastModifiedBy>邹岩</cp:lastModifiedBy>
  <dcterms:modified xsi:type="dcterms:W3CDTF">2021-07-14T07:58:06Z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8F6AAB99B33B4383BB7C10316450203A</vt:lpwstr>
  </property>
</Properties>
</file>