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宋体"/>
          <w:sz w:val="21"/>
          <w:szCs w:val="21"/>
        </w:rPr>
      </w:pPr>
      <w:r>
        <w:rPr>
          <w:rFonts w:hint="eastAsia" w:ascii="宋体" w:hAnsi="宋体"/>
          <w:sz w:val="21"/>
          <w:szCs w:val="21"/>
        </w:rPr>
        <w:t>证券代码：</w:t>
      </w:r>
      <w:r>
        <w:rPr>
          <w:rFonts w:ascii="宋体" w:hAnsi="宋体"/>
          <w:sz w:val="21"/>
          <w:szCs w:val="21"/>
        </w:rPr>
        <w:t>60</w:t>
      </w:r>
      <w:r>
        <w:rPr>
          <w:rFonts w:hint="eastAsia" w:ascii="宋体" w:hAnsi="宋体"/>
          <w:sz w:val="21"/>
          <w:szCs w:val="21"/>
        </w:rPr>
        <w:t>3232</w:t>
      </w:r>
      <w:r>
        <w:rPr>
          <w:rFonts w:ascii="宋体" w:hAnsi="宋体"/>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证券简称：格尔软件</w:t>
      </w:r>
      <w:r>
        <w:rPr>
          <w:rFonts w:ascii="宋体" w:hAnsi="宋体"/>
          <w:sz w:val="21"/>
          <w:szCs w:val="21"/>
        </w:rPr>
        <w:t xml:space="preserve">    </w:t>
      </w:r>
      <w:r>
        <w:rPr>
          <w:rFonts w:hint="eastAsia" w:ascii="宋体" w:hAnsi="宋体"/>
          <w:sz w:val="21"/>
          <w:szCs w:val="21"/>
        </w:rPr>
        <w:t xml:space="preserve">        公告编号：</w:t>
      </w:r>
      <w:r>
        <w:rPr>
          <w:sz w:val="21"/>
          <w:szCs w:val="21"/>
        </w:rPr>
        <w:t>2022</w:t>
      </w:r>
      <w:r>
        <w:rPr>
          <w:rFonts w:hint="eastAsia"/>
          <w:sz w:val="21"/>
          <w:szCs w:val="21"/>
        </w:rPr>
        <w:t>-039</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关于2021年股票期权激励计划第一个行权期采用自主行权模式的提示性公告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rFonts w:ascii="宋体" w:hAnsi="宋体" w:cs="宋体-WinCharSetFFFF-H"/>
          <w:highlight w:val="yellow"/>
        </w:rPr>
      </w:pPr>
    </w:p>
    <w:p>
      <w:pPr>
        <w:adjustRightInd w:val="0"/>
        <w:snapToGrid w:val="0"/>
        <w:spacing w:line="560" w:lineRule="exact"/>
        <w:ind w:firstLine="420"/>
        <w:rPr>
          <w:shd w:val="clear" w:color="auto" w:fill="FFFFFF"/>
        </w:rPr>
      </w:pPr>
      <w:r>
        <w:rPr>
          <w:shd w:val="clear" w:color="auto" w:fill="FFFFFF"/>
        </w:rPr>
        <w:t>根据格尔软件股份有限公司（以下简称</w:t>
      </w:r>
      <w:r>
        <w:rPr>
          <w:rFonts w:hint="eastAsia" w:ascii="宋体" w:hAnsi="宋体" w:cs="宋体"/>
          <w:shd w:val="clear" w:color="auto" w:fill="FFFFFF"/>
        </w:rPr>
        <w:t>“公司”</w:t>
      </w:r>
      <w:r>
        <w:rPr>
          <w:shd w:val="clear" w:color="auto" w:fill="FFFFFF"/>
        </w:rPr>
        <w:t>）于2021年07月26日召开的2021年第一次临时股东大会的授权，公司于2022年07月15日召开第八届董事会第二次会议及第八届监事会第二次会议，审议通过《关于2021年股票期权激励计划首次授予股票期权第一个行权期行权条件达成的议案》。公司2021年股票期权激励计划授予股票期权的第一个行权期采用自主行权模式行权，主要安排如下：</w:t>
      </w:r>
    </w:p>
    <w:p>
      <w:pPr>
        <w:numPr>
          <w:ilvl w:val="0"/>
          <w:numId w:val="1"/>
        </w:numPr>
        <w:adjustRightInd w:val="0"/>
        <w:snapToGrid w:val="0"/>
        <w:spacing w:line="560" w:lineRule="exact"/>
        <w:ind w:firstLine="420"/>
        <w:rPr>
          <w:shd w:val="clear" w:color="auto" w:fill="FFFFFF"/>
        </w:rPr>
      </w:pPr>
      <w:r>
        <w:rPr>
          <w:shd w:val="clear" w:color="auto" w:fill="FFFFFF"/>
        </w:rPr>
        <w:t>行权期内，公司激励对象在符合规定的有效期内可通过主办券商国信证券股份有限公司系统自主进行申报行权</w:t>
      </w:r>
    </w:p>
    <w:p>
      <w:pPr>
        <w:numPr>
          <w:ilvl w:val="0"/>
          <w:numId w:val="1"/>
        </w:numPr>
        <w:adjustRightInd w:val="0"/>
        <w:snapToGrid w:val="0"/>
        <w:spacing w:line="560" w:lineRule="exact"/>
        <w:ind w:firstLine="420"/>
        <w:rPr>
          <w:shd w:val="clear" w:color="auto" w:fill="FFFFFF"/>
        </w:rPr>
      </w:pPr>
      <w:r>
        <w:rPr>
          <w:shd w:val="clear" w:color="auto" w:fill="FFFFFF"/>
        </w:rPr>
        <w:t>行权数量：196.47万份</w:t>
      </w:r>
    </w:p>
    <w:p>
      <w:pPr>
        <w:numPr>
          <w:ilvl w:val="0"/>
          <w:numId w:val="1"/>
        </w:numPr>
        <w:adjustRightInd w:val="0"/>
        <w:snapToGrid w:val="0"/>
        <w:spacing w:line="560" w:lineRule="exact"/>
        <w:ind w:firstLine="420"/>
        <w:rPr>
          <w:shd w:val="clear" w:color="auto" w:fill="FFFFFF"/>
        </w:rPr>
      </w:pPr>
      <w:r>
        <w:rPr>
          <w:shd w:val="clear" w:color="auto" w:fill="FFFFFF"/>
        </w:rPr>
        <w:t>行权人数：153人</w:t>
      </w:r>
    </w:p>
    <w:p>
      <w:pPr>
        <w:numPr>
          <w:ilvl w:val="0"/>
          <w:numId w:val="1"/>
        </w:numPr>
        <w:adjustRightInd w:val="0"/>
        <w:snapToGrid w:val="0"/>
        <w:spacing w:line="560" w:lineRule="exact"/>
        <w:ind w:firstLine="420"/>
        <w:rPr>
          <w:shd w:val="clear" w:color="auto" w:fill="FFFFFF"/>
        </w:rPr>
      </w:pPr>
      <w:r>
        <w:rPr>
          <w:shd w:val="clear" w:color="auto" w:fill="FFFFFF"/>
        </w:rPr>
        <w:t>行权价格</w:t>
      </w:r>
      <w:r>
        <w:rPr>
          <w:rFonts w:hint="eastAsia"/>
          <w:shd w:val="clear" w:color="auto" w:fill="FFFFFF"/>
        </w:rPr>
        <w:t>（调整后）</w:t>
      </w:r>
      <w:r>
        <w:rPr>
          <w:shd w:val="clear" w:color="auto" w:fill="FFFFFF"/>
        </w:rPr>
        <w:t>：13.45元/</w:t>
      </w:r>
      <w:r>
        <w:rPr>
          <w:rFonts w:hint="eastAsia"/>
          <w:shd w:val="clear" w:color="auto" w:fill="FFFFFF"/>
        </w:rPr>
        <w:t>股</w:t>
      </w:r>
    </w:p>
    <w:p>
      <w:pPr>
        <w:numPr>
          <w:ilvl w:val="0"/>
          <w:numId w:val="1"/>
        </w:numPr>
        <w:adjustRightInd w:val="0"/>
        <w:snapToGrid w:val="0"/>
        <w:spacing w:line="560" w:lineRule="exact"/>
        <w:ind w:firstLine="420"/>
        <w:rPr>
          <w:shd w:val="clear" w:color="auto" w:fill="FFFFFF"/>
        </w:rPr>
      </w:pPr>
      <w:r>
        <w:rPr>
          <w:shd w:val="clear" w:color="auto" w:fill="FFFFFF"/>
        </w:rPr>
        <w:t>行权方式：自主行权</w:t>
      </w:r>
    </w:p>
    <w:p>
      <w:pPr>
        <w:numPr>
          <w:ilvl w:val="0"/>
          <w:numId w:val="1"/>
        </w:numPr>
        <w:adjustRightInd w:val="0"/>
        <w:snapToGrid w:val="0"/>
        <w:spacing w:line="560" w:lineRule="exact"/>
        <w:ind w:firstLine="420"/>
        <w:rPr>
          <w:shd w:val="clear" w:color="auto" w:fill="FFFFFF"/>
        </w:rPr>
      </w:pPr>
      <w:r>
        <w:rPr>
          <w:shd w:val="clear" w:color="auto" w:fill="FFFFFF"/>
        </w:rPr>
        <w:t>股票来源：公司向激励对象发行的本公司人民币A股普通股股票</w:t>
      </w:r>
    </w:p>
    <w:p>
      <w:pPr>
        <w:numPr>
          <w:ilvl w:val="0"/>
          <w:numId w:val="1"/>
        </w:numPr>
        <w:adjustRightInd w:val="0"/>
        <w:snapToGrid w:val="0"/>
        <w:spacing w:line="560" w:lineRule="exact"/>
        <w:ind w:firstLine="420"/>
        <w:rPr>
          <w:shd w:val="clear" w:color="auto" w:fill="FFFFFF"/>
        </w:rPr>
      </w:pPr>
      <w:r>
        <w:rPr>
          <w:shd w:val="clear" w:color="auto" w:fill="FFFFFF"/>
        </w:rPr>
        <w:t>行权安排：首次授予部分第一个行权期为2022年7月28日-2023年7月27日，行权所得股票可于行权日（T日）后的第二个交易日（T+2）日上市交易</w:t>
      </w:r>
    </w:p>
    <w:p>
      <w:pPr>
        <w:numPr>
          <w:ilvl w:val="0"/>
          <w:numId w:val="1"/>
        </w:numPr>
        <w:adjustRightInd w:val="0"/>
        <w:snapToGrid w:val="0"/>
        <w:spacing w:line="560" w:lineRule="exact"/>
        <w:ind w:firstLine="420"/>
        <w:rPr>
          <w:shd w:val="clear" w:color="auto" w:fill="FFFFFF"/>
        </w:rPr>
      </w:pPr>
      <w:r>
        <w:rPr>
          <w:shd w:val="clear" w:color="auto" w:fill="FFFFFF"/>
        </w:rPr>
        <w:t>激励对象名单及</w:t>
      </w:r>
      <w:r>
        <w:rPr>
          <w:rFonts w:hint="eastAsia"/>
          <w:shd w:val="clear" w:color="auto" w:fill="FFFFFF"/>
        </w:rPr>
        <w:t>可</w:t>
      </w:r>
      <w:r>
        <w:rPr>
          <w:shd w:val="clear" w:color="auto" w:fill="FFFFFF"/>
        </w:rPr>
        <w:t>行权情况</w:t>
      </w:r>
    </w:p>
    <w:tbl>
      <w:tblPr>
        <w:tblStyle w:val="9"/>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1011"/>
        <w:gridCol w:w="976"/>
        <w:gridCol w:w="1459"/>
        <w:gridCol w:w="1967"/>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551" w:type="pct"/>
            <w:vAlign w:val="center"/>
          </w:tcPr>
          <w:p>
            <w:pPr>
              <w:jc w:val="center"/>
              <w:rPr>
                <w:b/>
                <w:szCs w:val="21"/>
              </w:rPr>
            </w:pPr>
            <w:r>
              <w:rPr>
                <w:b/>
                <w:szCs w:val="21"/>
              </w:rPr>
              <w:t>姓名</w:t>
            </w:r>
          </w:p>
        </w:tc>
        <w:tc>
          <w:tcPr>
            <w:tcW w:w="609" w:type="pct"/>
            <w:vAlign w:val="center"/>
          </w:tcPr>
          <w:p>
            <w:pPr>
              <w:jc w:val="center"/>
              <w:rPr>
                <w:b/>
                <w:szCs w:val="21"/>
              </w:rPr>
            </w:pPr>
            <w:r>
              <w:rPr>
                <w:b/>
                <w:szCs w:val="21"/>
              </w:rPr>
              <w:t>职务</w:t>
            </w:r>
          </w:p>
        </w:tc>
        <w:tc>
          <w:tcPr>
            <w:tcW w:w="588" w:type="pct"/>
            <w:vAlign w:val="center"/>
          </w:tcPr>
          <w:p>
            <w:pPr>
              <w:jc w:val="center"/>
              <w:rPr>
                <w:b/>
                <w:szCs w:val="21"/>
              </w:rPr>
            </w:pPr>
            <w:r>
              <w:rPr>
                <w:b/>
                <w:szCs w:val="21"/>
              </w:rPr>
              <w:t>获授的股票期权数量(万份)</w:t>
            </w:r>
          </w:p>
        </w:tc>
        <w:tc>
          <w:tcPr>
            <w:tcW w:w="879" w:type="pct"/>
            <w:vAlign w:val="center"/>
          </w:tcPr>
          <w:p>
            <w:pPr>
              <w:jc w:val="center"/>
              <w:rPr>
                <w:b/>
                <w:szCs w:val="21"/>
              </w:rPr>
            </w:pPr>
            <w:r>
              <w:rPr>
                <w:rFonts w:hint="eastAsia"/>
                <w:b/>
                <w:szCs w:val="21"/>
              </w:rPr>
              <w:t>本次可行权的股票期权数量（万份）</w:t>
            </w:r>
          </w:p>
        </w:tc>
        <w:tc>
          <w:tcPr>
            <w:tcW w:w="1185" w:type="pct"/>
            <w:vAlign w:val="center"/>
          </w:tcPr>
          <w:p>
            <w:pPr>
              <w:jc w:val="center"/>
              <w:rPr>
                <w:b/>
                <w:szCs w:val="21"/>
              </w:rPr>
            </w:pPr>
            <w:r>
              <w:rPr>
                <w:rFonts w:hint="eastAsia"/>
                <w:b/>
                <w:szCs w:val="21"/>
              </w:rPr>
              <w:t>本次可行权的股票期权数量</w:t>
            </w:r>
            <w:r>
              <w:rPr>
                <w:b/>
                <w:szCs w:val="21"/>
              </w:rPr>
              <w:t>占</w:t>
            </w:r>
            <w:r>
              <w:rPr>
                <w:rFonts w:hint="eastAsia"/>
                <w:b/>
                <w:szCs w:val="21"/>
              </w:rPr>
              <w:t>授予股票期权数量</w:t>
            </w:r>
            <w:r>
              <w:rPr>
                <w:b/>
                <w:szCs w:val="21"/>
              </w:rPr>
              <w:t>的比例</w:t>
            </w:r>
          </w:p>
        </w:tc>
        <w:tc>
          <w:tcPr>
            <w:tcW w:w="1185" w:type="pct"/>
            <w:vAlign w:val="center"/>
          </w:tcPr>
          <w:p>
            <w:pPr>
              <w:jc w:val="center"/>
              <w:rPr>
                <w:b/>
                <w:szCs w:val="21"/>
              </w:rPr>
            </w:pPr>
            <w:r>
              <w:rPr>
                <w:rFonts w:hint="eastAsia"/>
                <w:b/>
                <w:szCs w:val="21"/>
              </w:rPr>
              <w:t>本次可行权的股票期权数量占授予时股本总额比例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叶枫</w:t>
            </w:r>
          </w:p>
        </w:tc>
        <w:tc>
          <w:tcPr>
            <w:tcW w:w="609" w:type="pct"/>
            <w:vAlign w:val="center"/>
          </w:tcPr>
          <w:p>
            <w:pPr>
              <w:jc w:val="both"/>
              <w:rPr>
                <w:szCs w:val="21"/>
              </w:rPr>
            </w:pPr>
            <w:r>
              <w:rPr>
                <w:rFonts w:hint="eastAsia"/>
                <w:szCs w:val="21"/>
              </w:rPr>
              <w:t>董事、总经理</w:t>
            </w:r>
          </w:p>
        </w:tc>
        <w:tc>
          <w:tcPr>
            <w:tcW w:w="588" w:type="pct"/>
            <w:vAlign w:val="center"/>
          </w:tcPr>
          <w:p>
            <w:pPr>
              <w:jc w:val="both"/>
              <w:rPr>
                <w:szCs w:val="21"/>
              </w:rPr>
            </w:pPr>
            <w:r>
              <w:rPr>
                <w:szCs w:val="21"/>
              </w:rPr>
              <w:t>24.00</w:t>
            </w:r>
          </w:p>
        </w:tc>
        <w:tc>
          <w:tcPr>
            <w:tcW w:w="1459" w:type="dxa"/>
            <w:vAlign w:val="center"/>
          </w:tcPr>
          <w:p>
            <w:pPr>
              <w:jc w:val="both"/>
              <w:rPr>
                <w:szCs w:val="21"/>
              </w:rPr>
            </w:pPr>
            <w:r>
              <w:rPr>
                <w:rFonts w:hint="eastAsia"/>
                <w:szCs w:val="21"/>
              </w:rPr>
              <w:t>7.20</w:t>
            </w:r>
          </w:p>
        </w:tc>
        <w:tc>
          <w:tcPr>
            <w:tcW w:w="1185" w:type="pct"/>
            <w:vAlign w:val="center"/>
          </w:tcPr>
          <w:p>
            <w:pPr>
              <w:jc w:val="both"/>
              <w:textAlignment w:val="center"/>
              <w:rPr>
                <w:szCs w:val="21"/>
                <w:highlight w:val="yellow"/>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szCs w:val="21"/>
              </w:rPr>
            </w:pPr>
            <w:r>
              <w:rPr>
                <w:color w:val="000000"/>
                <w:szCs w:val="21"/>
                <w:lang w:bidi="ar"/>
              </w:rPr>
              <w:t>0.0311%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朱斌</w:t>
            </w:r>
          </w:p>
        </w:tc>
        <w:tc>
          <w:tcPr>
            <w:tcW w:w="609" w:type="pct"/>
            <w:vAlign w:val="center"/>
          </w:tcPr>
          <w:p>
            <w:pPr>
              <w:jc w:val="both"/>
              <w:rPr>
                <w:szCs w:val="21"/>
              </w:rPr>
            </w:pPr>
            <w:r>
              <w:rPr>
                <w:rFonts w:hint="eastAsia"/>
                <w:szCs w:val="21"/>
              </w:rPr>
              <w:t>董事</w:t>
            </w:r>
          </w:p>
        </w:tc>
        <w:tc>
          <w:tcPr>
            <w:tcW w:w="588" w:type="pct"/>
            <w:vAlign w:val="center"/>
          </w:tcPr>
          <w:p>
            <w:pPr>
              <w:jc w:val="both"/>
              <w:rPr>
                <w:szCs w:val="21"/>
              </w:rPr>
            </w:pPr>
            <w:r>
              <w:rPr>
                <w:szCs w:val="21"/>
              </w:rPr>
              <w:t>30.00</w:t>
            </w:r>
          </w:p>
        </w:tc>
        <w:tc>
          <w:tcPr>
            <w:tcW w:w="1459" w:type="dxa"/>
            <w:vAlign w:val="center"/>
          </w:tcPr>
          <w:p>
            <w:pPr>
              <w:jc w:val="both"/>
              <w:rPr>
                <w:szCs w:val="21"/>
              </w:rPr>
            </w:pPr>
            <w:r>
              <w:rPr>
                <w:rFonts w:hint="eastAsia"/>
                <w:szCs w:val="21"/>
              </w:rPr>
              <w:t>9.00</w:t>
            </w:r>
          </w:p>
        </w:tc>
        <w:tc>
          <w:tcPr>
            <w:tcW w:w="1185" w:type="pct"/>
            <w:vAlign w:val="center"/>
          </w:tcPr>
          <w:p>
            <w:pPr>
              <w:jc w:val="both"/>
              <w:textAlignment w:val="center"/>
              <w:rPr>
                <w:szCs w:val="21"/>
                <w:highlight w:val="yellow"/>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朱立通</w:t>
            </w:r>
          </w:p>
        </w:tc>
        <w:tc>
          <w:tcPr>
            <w:tcW w:w="609" w:type="pct"/>
            <w:vAlign w:val="center"/>
          </w:tcPr>
          <w:p>
            <w:pPr>
              <w:jc w:val="both"/>
              <w:rPr>
                <w:szCs w:val="21"/>
              </w:rPr>
            </w:pPr>
            <w:r>
              <w:rPr>
                <w:rFonts w:hint="eastAsia"/>
                <w:szCs w:val="21"/>
              </w:rPr>
              <w:t>董事、副总经理</w:t>
            </w:r>
          </w:p>
        </w:tc>
        <w:tc>
          <w:tcPr>
            <w:tcW w:w="588" w:type="pct"/>
            <w:vAlign w:val="center"/>
          </w:tcPr>
          <w:p>
            <w:pPr>
              <w:jc w:val="both"/>
              <w:rPr>
                <w:szCs w:val="21"/>
              </w:rPr>
            </w:pPr>
            <w:r>
              <w:rPr>
                <w:szCs w:val="21"/>
              </w:rPr>
              <w:t>30.00</w:t>
            </w:r>
          </w:p>
        </w:tc>
        <w:tc>
          <w:tcPr>
            <w:tcW w:w="1459" w:type="dxa"/>
            <w:vAlign w:val="center"/>
          </w:tcPr>
          <w:p>
            <w:pPr>
              <w:jc w:val="both"/>
              <w:rPr>
                <w:szCs w:val="21"/>
              </w:rPr>
            </w:pPr>
            <w:r>
              <w:rPr>
                <w:rFonts w:hint="eastAsia"/>
                <w:szCs w:val="21"/>
              </w:rPr>
              <w:t>9.00</w:t>
            </w:r>
          </w:p>
        </w:tc>
        <w:tc>
          <w:tcPr>
            <w:tcW w:w="1185" w:type="pct"/>
            <w:vAlign w:val="center"/>
          </w:tcPr>
          <w:p>
            <w:pPr>
              <w:jc w:val="both"/>
              <w:textAlignment w:val="center"/>
              <w:rPr>
                <w:szCs w:val="21"/>
                <w:highlight w:val="yellow"/>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李祥明</w:t>
            </w:r>
          </w:p>
        </w:tc>
        <w:tc>
          <w:tcPr>
            <w:tcW w:w="609" w:type="pct"/>
            <w:vAlign w:val="center"/>
          </w:tcPr>
          <w:p>
            <w:pPr>
              <w:jc w:val="both"/>
              <w:rPr>
                <w:szCs w:val="21"/>
              </w:rPr>
            </w:pPr>
            <w:r>
              <w:rPr>
                <w:rFonts w:hint="eastAsia"/>
                <w:szCs w:val="21"/>
              </w:rPr>
              <w:t>副总经理</w:t>
            </w:r>
          </w:p>
        </w:tc>
        <w:tc>
          <w:tcPr>
            <w:tcW w:w="588" w:type="pct"/>
            <w:vAlign w:val="center"/>
          </w:tcPr>
          <w:p>
            <w:pPr>
              <w:jc w:val="both"/>
              <w:rPr>
                <w:szCs w:val="21"/>
              </w:rPr>
            </w:pPr>
            <w:r>
              <w:rPr>
                <w:szCs w:val="21"/>
              </w:rPr>
              <w:t>13.80</w:t>
            </w:r>
          </w:p>
        </w:tc>
        <w:tc>
          <w:tcPr>
            <w:tcW w:w="1459" w:type="dxa"/>
            <w:vAlign w:val="center"/>
          </w:tcPr>
          <w:p>
            <w:pPr>
              <w:jc w:val="both"/>
              <w:rPr>
                <w:szCs w:val="21"/>
              </w:rPr>
            </w:pPr>
            <w:r>
              <w:rPr>
                <w:rFonts w:hint="eastAsia"/>
                <w:szCs w:val="21"/>
              </w:rPr>
              <w:t>4.14</w:t>
            </w:r>
          </w:p>
        </w:tc>
        <w:tc>
          <w:tcPr>
            <w:tcW w:w="1185" w:type="pct"/>
            <w:vAlign w:val="center"/>
          </w:tcPr>
          <w:p>
            <w:pPr>
              <w:jc w:val="both"/>
              <w:textAlignment w:val="center"/>
              <w:rPr>
                <w:szCs w:val="21"/>
                <w:highlight w:val="yellow"/>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szCs w:val="21"/>
              </w:rPr>
            </w:pPr>
            <w:r>
              <w:rPr>
                <w:color w:val="000000"/>
                <w:szCs w:val="21"/>
                <w:lang w:bidi="ar"/>
              </w:rPr>
              <w:t>0.0179%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范峰</w:t>
            </w:r>
          </w:p>
        </w:tc>
        <w:tc>
          <w:tcPr>
            <w:tcW w:w="609" w:type="pct"/>
            <w:vAlign w:val="center"/>
          </w:tcPr>
          <w:p>
            <w:pPr>
              <w:jc w:val="both"/>
              <w:rPr>
                <w:szCs w:val="21"/>
              </w:rPr>
            </w:pPr>
            <w:r>
              <w:rPr>
                <w:rFonts w:hint="eastAsia"/>
                <w:szCs w:val="21"/>
              </w:rPr>
              <w:t>副总经理</w:t>
            </w:r>
          </w:p>
        </w:tc>
        <w:tc>
          <w:tcPr>
            <w:tcW w:w="588" w:type="pct"/>
            <w:vAlign w:val="center"/>
          </w:tcPr>
          <w:p>
            <w:pPr>
              <w:jc w:val="both"/>
              <w:rPr>
                <w:szCs w:val="21"/>
              </w:rPr>
            </w:pPr>
            <w:r>
              <w:rPr>
                <w:szCs w:val="21"/>
              </w:rPr>
              <w:t>8.40</w:t>
            </w:r>
          </w:p>
        </w:tc>
        <w:tc>
          <w:tcPr>
            <w:tcW w:w="1459" w:type="dxa"/>
            <w:vAlign w:val="center"/>
          </w:tcPr>
          <w:p>
            <w:pPr>
              <w:jc w:val="both"/>
              <w:rPr>
                <w:szCs w:val="21"/>
              </w:rPr>
            </w:pPr>
            <w:r>
              <w:rPr>
                <w:rFonts w:hint="eastAsia"/>
                <w:szCs w:val="21"/>
              </w:rPr>
              <w:t>2.52</w:t>
            </w:r>
          </w:p>
        </w:tc>
        <w:tc>
          <w:tcPr>
            <w:tcW w:w="1185" w:type="pct"/>
            <w:vAlign w:val="center"/>
          </w:tcPr>
          <w:p>
            <w:pPr>
              <w:jc w:val="both"/>
              <w:textAlignment w:val="center"/>
              <w:rPr>
                <w:szCs w:val="21"/>
                <w:highlight w:val="yellow"/>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szCs w:val="21"/>
              </w:rPr>
            </w:pPr>
            <w:r>
              <w:rPr>
                <w:color w:val="000000"/>
                <w:szCs w:val="21"/>
                <w:lang w:bidi="ar"/>
              </w:rPr>
              <w:t>0.0109%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51" w:type="pct"/>
            <w:vAlign w:val="center"/>
          </w:tcPr>
          <w:p>
            <w:pPr>
              <w:jc w:val="both"/>
              <w:rPr>
                <w:szCs w:val="21"/>
              </w:rPr>
            </w:pPr>
            <w:r>
              <w:rPr>
                <w:rFonts w:hint="eastAsia"/>
                <w:szCs w:val="21"/>
              </w:rPr>
              <w:t>卫杰</w:t>
            </w:r>
          </w:p>
        </w:tc>
        <w:tc>
          <w:tcPr>
            <w:tcW w:w="609" w:type="pct"/>
            <w:vAlign w:val="center"/>
          </w:tcPr>
          <w:p>
            <w:pPr>
              <w:jc w:val="both"/>
              <w:rPr>
                <w:szCs w:val="21"/>
              </w:rPr>
            </w:pPr>
            <w:r>
              <w:rPr>
                <w:rFonts w:hint="eastAsia"/>
                <w:szCs w:val="21"/>
              </w:rPr>
              <w:t>副总经理</w:t>
            </w:r>
          </w:p>
        </w:tc>
        <w:tc>
          <w:tcPr>
            <w:tcW w:w="588" w:type="pct"/>
            <w:vAlign w:val="center"/>
          </w:tcPr>
          <w:p>
            <w:pPr>
              <w:jc w:val="both"/>
              <w:rPr>
                <w:szCs w:val="21"/>
              </w:rPr>
            </w:pPr>
            <w:r>
              <w:rPr>
                <w:szCs w:val="21"/>
              </w:rPr>
              <w:t>7.20</w:t>
            </w:r>
          </w:p>
        </w:tc>
        <w:tc>
          <w:tcPr>
            <w:tcW w:w="1459" w:type="dxa"/>
            <w:vAlign w:val="center"/>
          </w:tcPr>
          <w:p>
            <w:pPr>
              <w:jc w:val="both"/>
              <w:rPr>
                <w:szCs w:val="21"/>
              </w:rPr>
            </w:pPr>
            <w:r>
              <w:rPr>
                <w:rFonts w:hint="eastAsia"/>
                <w:szCs w:val="21"/>
              </w:rPr>
              <w:t>2.16</w:t>
            </w:r>
          </w:p>
        </w:tc>
        <w:tc>
          <w:tcPr>
            <w:tcW w:w="1185" w:type="pct"/>
            <w:vAlign w:val="center"/>
          </w:tcPr>
          <w:p>
            <w:pPr>
              <w:jc w:val="both"/>
              <w:textAlignment w:val="center"/>
              <w:rPr>
                <w:color w:val="000000"/>
                <w:szCs w:val="21"/>
                <w:lang w:bidi="ar"/>
              </w:rPr>
            </w:pPr>
            <w:r>
              <w:rPr>
                <w:color w:val="000000"/>
                <w:szCs w:val="21"/>
                <w:lang w:bidi="ar"/>
              </w:rPr>
              <w:t>3</w:t>
            </w:r>
            <w:r>
              <w:rPr>
                <w:rFonts w:hint="eastAsia"/>
                <w:color w:val="000000"/>
                <w:szCs w:val="21"/>
                <w:lang w:bidi="ar"/>
              </w:rPr>
              <w:t>0</w:t>
            </w:r>
            <w:r>
              <w:rPr>
                <w:color w:val="000000"/>
                <w:szCs w:val="21"/>
                <w:lang w:bidi="ar"/>
              </w:rPr>
              <w:t>%</w:t>
            </w:r>
          </w:p>
        </w:tc>
        <w:tc>
          <w:tcPr>
            <w:tcW w:w="1185" w:type="pct"/>
            <w:vAlign w:val="center"/>
          </w:tcPr>
          <w:p>
            <w:pPr>
              <w:jc w:val="both"/>
              <w:textAlignment w:val="center"/>
              <w:rPr>
                <w:color w:val="000000"/>
                <w:szCs w:val="21"/>
                <w:lang w:bidi="ar"/>
              </w:rPr>
            </w:pPr>
            <w:r>
              <w:rPr>
                <w:color w:val="000000"/>
                <w:szCs w:val="21"/>
                <w:lang w:bidi="ar"/>
              </w:rPr>
              <w:t>0.0093%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0" w:type="pct"/>
            <w:gridSpan w:val="2"/>
            <w:vAlign w:val="center"/>
          </w:tcPr>
          <w:p>
            <w:pPr>
              <w:jc w:val="both"/>
              <w:rPr>
                <w:szCs w:val="21"/>
              </w:rPr>
            </w:pPr>
            <w:r>
              <w:rPr>
                <w:rFonts w:hint="eastAsia"/>
                <w:szCs w:val="21"/>
              </w:rPr>
              <w:t>核心业务（技术）人员</w:t>
            </w:r>
            <w:r>
              <w:rPr>
                <w:szCs w:val="21"/>
              </w:rPr>
              <w:t>/</w:t>
            </w:r>
            <w:r>
              <w:rPr>
                <w:rFonts w:hint="eastAsia"/>
                <w:szCs w:val="21"/>
              </w:rPr>
              <w:t>管理人员（</w:t>
            </w:r>
            <w:r>
              <w:rPr>
                <w:szCs w:val="21"/>
              </w:rPr>
              <w:t>1</w:t>
            </w:r>
            <w:r>
              <w:rPr>
                <w:rFonts w:hint="eastAsia"/>
                <w:szCs w:val="21"/>
              </w:rPr>
              <w:t>47人）</w:t>
            </w:r>
          </w:p>
        </w:tc>
        <w:tc>
          <w:tcPr>
            <w:tcW w:w="588" w:type="pct"/>
            <w:vAlign w:val="center"/>
          </w:tcPr>
          <w:p>
            <w:pPr>
              <w:jc w:val="both"/>
              <w:textAlignment w:val="center"/>
              <w:rPr>
                <w:szCs w:val="21"/>
              </w:rPr>
            </w:pPr>
            <w:r>
              <w:rPr>
                <w:color w:val="000000"/>
                <w:szCs w:val="21"/>
                <w:lang w:bidi="ar"/>
              </w:rPr>
              <w:t>5</w:t>
            </w:r>
            <w:r>
              <w:rPr>
                <w:rFonts w:hint="eastAsia"/>
                <w:color w:val="000000"/>
                <w:szCs w:val="21"/>
                <w:lang w:bidi="ar"/>
              </w:rPr>
              <w:t>41.5</w:t>
            </w:r>
            <w:r>
              <w:rPr>
                <w:color w:val="000000"/>
                <w:szCs w:val="21"/>
                <w:lang w:bidi="ar"/>
              </w:rPr>
              <w:t>0</w:t>
            </w:r>
          </w:p>
        </w:tc>
        <w:tc>
          <w:tcPr>
            <w:tcW w:w="1459" w:type="dxa"/>
            <w:vAlign w:val="center"/>
          </w:tcPr>
          <w:p>
            <w:pPr>
              <w:jc w:val="both"/>
              <w:textAlignment w:val="center"/>
              <w:rPr>
                <w:szCs w:val="21"/>
              </w:rPr>
            </w:pPr>
            <w:r>
              <w:rPr>
                <w:rFonts w:hint="eastAsia"/>
                <w:color w:val="000000"/>
                <w:szCs w:val="21"/>
                <w:lang w:bidi="ar"/>
              </w:rPr>
              <w:t>162.45</w:t>
            </w:r>
          </w:p>
        </w:tc>
        <w:tc>
          <w:tcPr>
            <w:tcW w:w="1185" w:type="pct"/>
            <w:vAlign w:val="center"/>
          </w:tcPr>
          <w:p>
            <w:pPr>
              <w:jc w:val="both"/>
              <w:textAlignment w:val="center"/>
              <w:rPr>
                <w:color w:val="000000"/>
                <w:szCs w:val="21"/>
                <w:lang w:bidi="ar"/>
              </w:rPr>
            </w:pPr>
            <w:r>
              <w:rPr>
                <w:color w:val="000000"/>
                <w:szCs w:val="21"/>
                <w:lang w:bidi="ar"/>
              </w:rPr>
              <w:t>3</w:t>
            </w:r>
            <w:r>
              <w:rPr>
                <w:rFonts w:hint="eastAsia"/>
                <w:color w:val="000000"/>
                <w:szCs w:val="21"/>
                <w:lang w:bidi="ar"/>
              </w:rPr>
              <w:t>0</w:t>
            </w:r>
            <w:r>
              <w:rPr>
                <w:color w:val="000000"/>
                <w:szCs w:val="21"/>
                <w:lang w:bidi="ar"/>
              </w:rPr>
              <w:t>%</w:t>
            </w:r>
          </w:p>
        </w:tc>
        <w:tc>
          <w:tcPr>
            <w:tcW w:w="1967" w:type="dxa"/>
            <w:vAlign w:val="center"/>
          </w:tcPr>
          <w:p>
            <w:pPr>
              <w:jc w:val="both"/>
              <w:textAlignment w:val="center"/>
              <w:rPr>
                <w:color w:val="000000"/>
                <w:szCs w:val="21"/>
                <w:lang w:bidi="ar"/>
              </w:rPr>
            </w:pPr>
            <w:r>
              <w:rPr>
                <w:rFonts w:hint="eastAsia"/>
                <w:color w:val="000000"/>
                <w:szCs w:val="21"/>
                <w:lang w:bidi="ar"/>
              </w:rPr>
              <w:t>0.701</w:t>
            </w:r>
            <w:r>
              <w:rPr>
                <w:color w:val="000000"/>
                <w:szCs w:val="21"/>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0" w:type="pct"/>
            <w:gridSpan w:val="2"/>
            <w:vAlign w:val="center"/>
          </w:tcPr>
          <w:p>
            <w:pPr>
              <w:jc w:val="both"/>
              <w:rPr>
                <w:b/>
                <w:szCs w:val="21"/>
              </w:rPr>
            </w:pPr>
            <w:r>
              <w:rPr>
                <w:rFonts w:hint="eastAsia"/>
                <w:b/>
                <w:szCs w:val="21"/>
              </w:rPr>
              <w:t>合计</w:t>
            </w:r>
          </w:p>
        </w:tc>
        <w:tc>
          <w:tcPr>
            <w:tcW w:w="588" w:type="pct"/>
            <w:vAlign w:val="center"/>
          </w:tcPr>
          <w:p>
            <w:pPr>
              <w:jc w:val="both"/>
              <w:rPr>
                <w:b/>
                <w:szCs w:val="21"/>
              </w:rPr>
            </w:pPr>
            <w:r>
              <w:rPr>
                <w:rFonts w:hint="eastAsia"/>
                <w:b/>
                <w:szCs w:val="21"/>
              </w:rPr>
              <w:t>654.90</w:t>
            </w:r>
          </w:p>
        </w:tc>
        <w:tc>
          <w:tcPr>
            <w:tcW w:w="1459" w:type="dxa"/>
            <w:vAlign w:val="center"/>
          </w:tcPr>
          <w:p>
            <w:pPr>
              <w:jc w:val="both"/>
              <w:rPr>
                <w:b/>
                <w:szCs w:val="21"/>
              </w:rPr>
            </w:pPr>
            <w:r>
              <w:rPr>
                <w:rFonts w:hint="eastAsia"/>
                <w:b/>
                <w:szCs w:val="21"/>
              </w:rPr>
              <w:t>196.47</w:t>
            </w:r>
          </w:p>
        </w:tc>
        <w:tc>
          <w:tcPr>
            <w:tcW w:w="1185" w:type="pct"/>
            <w:vAlign w:val="center"/>
          </w:tcPr>
          <w:p>
            <w:pPr>
              <w:jc w:val="both"/>
              <w:textAlignment w:val="center"/>
              <w:rPr>
                <w:color w:val="000000"/>
                <w:szCs w:val="21"/>
                <w:lang w:bidi="ar"/>
              </w:rPr>
            </w:pPr>
            <w:r>
              <w:rPr>
                <w:color w:val="000000"/>
                <w:szCs w:val="21"/>
                <w:lang w:bidi="ar"/>
              </w:rPr>
              <w:t>3</w:t>
            </w:r>
            <w:r>
              <w:rPr>
                <w:rFonts w:hint="eastAsia"/>
                <w:color w:val="000000"/>
                <w:szCs w:val="21"/>
                <w:lang w:bidi="ar"/>
              </w:rPr>
              <w:t>0</w:t>
            </w:r>
            <w:r>
              <w:rPr>
                <w:color w:val="000000"/>
                <w:szCs w:val="21"/>
                <w:lang w:bidi="ar"/>
              </w:rPr>
              <w:t>%</w:t>
            </w:r>
          </w:p>
        </w:tc>
        <w:tc>
          <w:tcPr>
            <w:tcW w:w="1967" w:type="dxa"/>
            <w:vAlign w:val="center"/>
          </w:tcPr>
          <w:p>
            <w:pPr>
              <w:jc w:val="both"/>
              <w:textAlignment w:val="center"/>
              <w:rPr>
                <w:color w:val="000000"/>
                <w:szCs w:val="21"/>
                <w:lang w:bidi="ar"/>
              </w:rPr>
            </w:pPr>
            <w:r>
              <w:rPr>
                <w:rFonts w:hint="eastAsia"/>
                <w:color w:val="000000"/>
                <w:szCs w:val="21"/>
                <w:lang w:bidi="ar"/>
              </w:rPr>
              <w:t>0.8</w:t>
            </w:r>
            <w:r>
              <w:rPr>
                <w:color w:val="000000"/>
                <w:szCs w:val="21"/>
                <w:lang w:bidi="ar"/>
              </w:rPr>
              <w:t>479%</w:t>
            </w:r>
          </w:p>
        </w:tc>
      </w:tr>
    </w:tbl>
    <w:p>
      <w:pPr>
        <w:jc w:val="both"/>
        <w:rPr>
          <w:sz w:val="21"/>
          <w:szCs w:val="21"/>
        </w:rPr>
      </w:pPr>
      <w:r>
        <w:rPr>
          <w:sz w:val="21"/>
          <w:szCs w:val="21"/>
        </w:rPr>
        <w:t>注：对于上表所列的可行权数量以中国证券登记结算有限公司实际确认数为准。</w:t>
      </w:r>
    </w:p>
    <w:p>
      <w:pPr>
        <w:numPr>
          <w:ilvl w:val="0"/>
          <w:numId w:val="1"/>
        </w:numPr>
        <w:adjustRightInd w:val="0"/>
        <w:snapToGrid w:val="0"/>
        <w:spacing w:line="560" w:lineRule="exact"/>
        <w:ind w:firstLine="420"/>
        <w:rPr>
          <w:shd w:val="clear" w:color="auto" w:fill="FFFFFF"/>
        </w:rPr>
      </w:pPr>
      <w:r>
        <w:rPr>
          <w:shd w:val="clear" w:color="auto" w:fill="FFFFFF"/>
        </w:rPr>
        <w:t>可行权日必须为交易日，但不得在下列期间内行权：（1）公司年度报告、半年度报告公告前三十日内，因特殊原因推迟年度报告、半年度报告公告日期的，自原预约公告日前三十日起算，至公告前一日；（2）公司季度报告、业绩预告、业绩快报公告前十日内；（3）自可能对本公司股票及其衍生品种交易价格产生较大影响的重大事件发生之日或者进入决策程序之日，至依法披露之日；（4）中国证监会及上海证券交易所规定的其它期间。</w:t>
      </w:r>
    </w:p>
    <w:p>
      <w:pPr>
        <w:numPr>
          <w:ilvl w:val="0"/>
          <w:numId w:val="1"/>
        </w:numPr>
        <w:adjustRightInd w:val="0"/>
        <w:snapToGrid w:val="0"/>
        <w:spacing w:line="560" w:lineRule="exact"/>
        <w:ind w:firstLine="420"/>
        <w:rPr>
          <w:shd w:val="clear" w:color="auto" w:fill="FFFFFF"/>
        </w:rPr>
      </w:pPr>
      <w:r>
        <w:rPr>
          <w:shd w:val="clear" w:color="auto" w:fill="FFFFFF"/>
        </w:rPr>
        <w:t>公司将在定期报告（包括季度报告、半年度报告及年度报告）中或以临时报告形式披露每季度股权激励对象变化、股票期权重要参数调整情况、激励对象自主行权情况以及公司股份变化情况等信息。</w:t>
      </w:r>
    </w:p>
    <w:p>
      <w:pPr>
        <w:adjustRightInd w:val="0"/>
        <w:snapToGrid w:val="0"/>
        <w:spacing w:line="560" w:lineRule="exact"/>
        <w:rPr>
          <w:shd w:val="clear" w:color="auto" w:fill="FFFFFF"/>
        </w:rPr>
      </w:pPr>
    </w:p>
    <w:p>
      <w:pPr>
        <w:snapToGrid w:val="0"/>
        <w:spacing w:line="360" w:lineRule="auto"/>
        <w:ind w:firstLine="460" w:firstLineChars="192"/>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pPr>
      <w:r>
        <w:rPr>
          <w:rFonts w:eastAsiaTheme="minorEastAsia"/>
        </w:rPr>
        <w:t>2022年7月</w:t>
      </w:r>
      <w:r>
        <w:rPr>
          <w:rFonts w:hint="eastAsia" w:eastAsiaTheme="minorEastAsia"/>
        </w:rPr>
        <w:t>16</w:t>
      </w:r>
      <w:r>
        <w:rPr>
          <w:rFonts w:eastAsiaTheme="minorEastAsia"/>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3EBFA8"/>
    <w:multiLevelType w:val="singleLevel"/>
    <w:tmpl w:val="553EBFA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21C26"/>
    <w:rsid w:val="00022E62"/>
    <w:rsid w:val="00034C18"/>
    <w:rsid w:val="0006001C"/>
    <w:rsid w:val="00062682"/>
    <w:rsid w:val="000805F0"/>
    <w:rsid w:val="000B2247"/>
    <w:rsid w:val="000B6613"/>
    <w:rsid w:val="000D159E"/>
    <w:rsid w:val="000D6DC1"/>
    <w:rsid w:val="000E2099"/>
    <w:rsid w:val="000E6472"/>
    <w:rsid w:val="000F28C0"/>
    <w:rsid w:val="00106FFA"/>
    <w:rsid w:val="00110697"/>
    <w:rsid w:val="00126977"/>
    <w:rsid w:val="0012771B"/>
    <w:rsid w:val="00131460"/>
    <w:rsid w:val="00133A94"/>
    <w:rsid w:val="001356CB"/>
    <w:rsid w:val="00163A3C"/>
    <w:rsid w:val="0017115E"/>
    <w:rsid w:val="00173872"/>
    <w:rsid w:val="00191EB6"/>
    <w:rsid w:val="001A13FD"/>
    <w:rsid w:val="001B313D"/>
    <w:rsid w:val="001E14A7"/>
    <w:rsid w:val="001F1231"/>
    <w:rsid w:val="001F31B2"/>
    <w:rsid w:val="00201867"/>
    <w:rsid w:val="002115E2"/>
    <w:rsid w:val="00213E54"/>
    <w:rsid w:val="00214D08"/>
    <w:rsid w:val="00220129"/>
    <w:rsid w:val="00233B53"/>
    <w:rsid w:val="002447E5"/>
    <w:rsid w:val="00261677"/>
    <w:rsid w:val="002750E8"/>
    <w:rsid w:val="00284D3B"/>
    <w:rsid w:val="00290949"/>
    <w:rsid w:val="002C7394"/>
    <w:rsid w:val="002E0BC0"/>
    <w:rsid w:val="002F1D31"/>
    <w:rsid w:val="002F20A4"/>
    <w:rsid w:val="0030246F"/>
    <w:rsid w:val="003064A7"/>
    <w:rsid w:val="003168B3"/>
    <w:rsid w:val="00323A9D"/>
    <w:rsid w:val="00325A33"/>
    <w:rsid w:val="00332E22"/>
    <w:rsid w:val="00335674"/>
    <w:rsid w:val="003434F6"/>
    <w:rsid w:val="0037562B"/>
    <w:rsid w:val="003D0490"/>
    <w:rsid w:val="003E2EC3"/>
    <w:rsid w:val="003F4838"/>
    <w:rsid w:val="0043128F"/>
    <w:rsid w:val="00434C93"/>
    <w:rsid w:val="00441DB1"/>
    <w:rsid w:val="00456B3F"/>
    <w:rsid w:val="00462E44"/>
    <w:rsid w:val="00482B62"/>
    <w:rsid w:val="004A2F1B"/>
    <w:rsid w:val="004A51E2"/>
    <w:rsid w:val="004D3047"/>
    <w:rsid w:val="004E19B2"/>
    <w:rsid w:val="004F5440"/>
    <w:rsid w:val="00512621"/>
    <w:rsid w:val="005143EC"/>
    <w:rsid w:val="00536953"/>
    <w:rsid w:val="005411D1"/>
    <w:rsid w:val="00541CB7"/>
    <w:rsid w:val="0056507B"/>
    <w:rsid w:val="0057109C"/>
    <w:rsid w:val="00581AA0"/>
    <w:rsid w:val="00582E21"/>
    <w:rsid w:val="005843C8"/>
    <w:rsid w:val="0059046A"/>
    <w:rsid w:val="005B2138"/>
    <w:rsid w:val="005C37FF"/>
    <w:rsid w:val="005C5EB6"/>
    <w:rsid w:val="005C6518"/>
    <w:rsid w:val="00607864"/>
    <w:rsid w:val="00616A3F"/>
    <w:rsid w:val="0064491F"/>
    <w:rsid w:val="0067142C"/>
    <w:rsid w:val="00674272"/>
    <w:rsid w:val="006919FF"/>
    <w:rsid w:val="006A269B"/>
    <w:rsid w:val="006B1EBD"/>
    <w:rsid w:val="006C6417"/>
    <w:rsid w:val="006C6B4D"/>
    <w:rsid w:val="006E72E7"/>
    <w:rsid w:val="00703D83"/>
    <w:rsid w:val="00732C0F"/>
    <w:rsid w:val="0075001C"/>
    <w:rsid w:val="0075122B"/>
    <w:rsid w:val="00755D25"/>
    <w:rsid w:val="00781184"/>
    <w:rsid w:val="00782594"/>
    <w:rsid w:val="00791B8D"/>
    <w:rsid w:val="007D3A51"/>
    <w:rsid w:val="007E1209"/>
    <w:rsid w:val="007E26DA"/>
    <w:rsid w:val="007F4B01"/>
    <w:rsid w:val="007F69D0"/>
    <w:rsid w:val="00861A8E"/>
    <w:rsid w:val="008709AC"/>
    <w:rsid w:val="008716AE"/>
    <w:rsid w:val="00891777"/>
    <w:rsid w:val="008A4360"/>
    <w:rsid w:val="008B09DA"/>
    <w:rsid w:val="008C3BC7"/>
    <w:rsid w:val="008C42D1"/>
    <w:rsid w:val="008D3158"/>
    <w:rsid w:val="008D7D5F"/>
    <w:rsid w:val="008E450B"/>
    <w:rsid w:val="008F4B5B"/>
    <w:rsid w:val="00923A69"/>
    <w:rsid w:val="00940A25"/>
    <w:rsid w:val="00961C0E"/>
    <w:rsid w:val="0096659B"/>
    <w:rsid w:val="00970B7D"/>
    <w:rsid w:val="009716E5"/>
    <w:rsid w:val="009A6108"/>
    <w:rsid w:val="009B3919"/>
    <w:rsid w:val="009C6E42"/>
    <w:rsid w:val="009D490D"/>
    <w:rsid w:val="00A047DF"/>
    <w:rsid w:val="00A1415E"/>
    <w:rsid w:val="00A41FFE"/>
    <w:rsid w:val="00A61F00"/>
    <w:rsid w:val="00A62962"/>
    <w:rsid w:val="00A71C97"/>
    <w:rsid w:val="00A72368"/>
    <w:rsid w:val="00A9390F"/>
    <w:rsid w:val="00A96597"/>
    <w:rsid w:val="00AC4A33"/>
    <w:rsid w:val="00AD7B8B"/>
    <w:rsid w:val="00B02BC2"/>
    <w:rsid w:val="00B153C5"/>
    <w:rsid w:val="00B22C1A"/>
    <w:rsid w:val="00B27DBC"/>
    <w:rsid w:val="00B55470"/>
    <w:rsid w:val="00B77B90"/>
    <w:rsid w:val="00B8509F"/>
    <w:rsid w:val="00B90A28"/>
    <w:rsid w:val="00B91097"/>
    <w:rsid w:val="00B9474F"/>
    <w:rsid w:val="00B94DF3"/>
    <w:rsid w:val="00B95149"/>
    <w:rsid w:val="00BC13B0"/>
    <w:rsid w:val="00BD2941"/>
    <w:rsid w:val="00BE539C"/>
    <w:rsid w:val="00BF62EF"/>
    <w:rsid w:val="00C00B3E"/>
    <w:rsid w:val="00C55A63"/>
    <w:rsid w:val="00C569F2"/>
    <w:rsid w:val="00C65383"/>
    <w:rsid w:val="00C85161"/>
    <w:rsid w:val="00C90D3C"/>
    <w:rsid w:val="00C970BB"/>
    <w:rsid w:val="00CA0083"/>
    <w:rsid w:val="00CD17CF"/>
    <w:rsid w:val="00CE13E7"/>
    <w:rsid w:val="00D07CD5"/>
    <w:rsid w:val="00D07DCA"/>
    <w:rsid w:val="00D207A5"/>
    <w:rsid w:val="00D23697"/>
    <w:rsid w:val="00D27792"/>
    <w:rsid w:val="00D30C51"/>
    <w:rsid w:val="00D370E0"/>
    <w:rsid w:val="00D45446"/>
    <w:rsid w:val="00D53CA9"/>
    <w:rsid w:val="00D64105"/>
    <w:rsid w:val="00D657AB"/>
    <w:rsid w:val="00D810EE"/>
    <w:rsid w:val="00D92124"/>
    <w:rsid w:val="00DA06E2"/>
    <w:rsid w:val="00DB096A"/>
    <w:rsid w:val="00DB75CF"/>
    <w:rsid w:val="00DC2022"/>
    <w:rsid w:val="00DC4A38"/>
    <w:rsid w:val="00DC6AA1"/>
    <w:rsid w:val="00DE1453"/>
    <w:rsid w:val="00DE3EDD"/>
    <w:rsid w:val="00E1611E"/>
    <w:rsid w:val="00E21F93"/>
    <w:rsid w:val="00E33166"/>
    <w:rsid w:val="00E36290"/>
    <w:rsid w:val="00E44B3A"/>
    <w:rsid w:val="00E638CE"/>
    <w:rsid w:val="00E82A9E"/>
    <w:rsid w:val="00EA31D3"/>
    <w:rsid w:val="00EA7340"/>
    <w:rsid w:val="00EB25E7"/>
    <w:rsid w:val="00ED7676"/>
    <w:rsid w:val="00EF053F"/>
    <w:rsid w:val="00EF0CB4"/>
    <w:rsid w:val="00F0408C"/>
    <w:rsid w:val="00F10FE9"/>
    <w:rsid w:val="00F22ADD"/>
    <w:rsid w:val="00F43499"/>
    <w:rsid w:val="00F65091"/>
    <w:rsid w:val="00FB2AC6"/>
    <w:rsid w:val="00FB4734"/>
    <w:rsid w:val="00FB6F73"/>
    <w:rsid w:val="00FB79A2"/>
    <w:rsid w:val="00FC0663"/>
    <w:rsid w:val="00FD1530"/>
    <w:rsid w:val="00FD3001"/>
    <w:rsid w:val="00FE47EA"/>
    <w:rsid w:val="00FF2439"/>
    <w:rsid w:val="00FF49AD"/>
    <w:rsid w:val="011F4360"/>
    <w:rsid w:val="01E3316A"/>
    <w:rsid w:val="02214FC3"/>
    <w:rsid w:val="02B95212"/>
    <w:rsid w:val="04383D88"/>
    <w:rsid w:val="06C44988"/>
    <w:rsid w:val="073D3EE8"/>
    <w:rsid w:val="092822A5"/>
    <w:rsid w:val="0AC67B39"/>
    <w:rsid w:val="0B100CAC"/>
    <w:rsid w:val="0C1D2426"/>
    <w:rsid w:val="0C490DA4"/>
    <w:rsid w:val="0CA3523B"/>
    <w:rsid w:val="0DC21D96"/>
    <w:rsid w:val="0E41082D"/>
    <w:rsid w:val="0ED830F1"/>
    <w:rsid w:val="0F851FF3"/>
    <w:rsid w:val="102B4305"/>
    <w:rsid w:val="10597E57"/>
    <w:rsid w:val="117F52E5"/>
    <w:rsid w:val="13143F34"/>
    <w:rsid w:val="14502B5A"/>
    <w:rsid w:val="1AAE6AF0"/>
    <w:rsid w:val="1B037CDD"/>
    <w:rsid w:val="1D093BE7"/>
    <w:rsid w:val="1F20370F"/>
    <w:rsid w:val="21597A58"/>
    <w:rsid w:val="216A1B8D"/>
    <w:rsid w:val="21ED770F"/>
    <w:rsid w:val="224462EA"/>
    <w:rsid w:val="22FE2970"/>
    <w:rsid w:val="232D64B7"/>
    <w:rsid w:val="234447AB"/>
    <w:rsid w:val="23CF0795"/>
    <w:rsid w:val="24C108AD"/>
    <w:rsid w:val="25483E3A"/>
    <w:rsid w:val="26950971"/>
    <w:rsid w:val="26F9428A"/>
    <w:rsid w:val="2859184C"/>
    <w:rsid w:val="28A90D4C"/>
    <w:rsid w:val="2A1022F5"/>
    <w:rsid w:val="2A1E425C"/>
    <w:rsid w:val="2BEA0F44"/>
    <w:rsid w:val="2C4F2AD7"/>
    <w:rsid w:val="2CC8097D"/>
    <w:rsid w:val="2E227416"/>
    <w:rsid w:val="2EF01BE2"/>
    <w:rsid w:val="2F8751FB"/>
    <w:rsid w:val="2FD327D9"/>
    <w:rsid w:val="2FD94771"/>
    <w:rsid w:val="32654859"/>
    <w:rsid w:val="32BA5BD3"/>
    <w:rsid w:val="331A4B9F"/>
    <w:rsid w:val="33E653E8"/>
    <w:rsid w:val="37092B3E"/>
    <w:rsid w:val="38D26630"/>
    <w:rsid w:val="3B277FFC"/>
    <w:rsid w:val="3D356685"/>
    <w:rsid w:val="3E920F0F"/>
    <w:rsid w:val="3FB222DC"/>
    <w:rsid w:val="407E0AA8"/>
    <w:rsid w:val="416C38DF"/>
    <w:rsid w:val="41A12AA1"/>
    <w:rsid w:val="436B7FDA"/>
    <w:rsid w:val="44064FCD"/>
    <w:rsid w:val="44C7795C"/>
    <w:rsid w:val="45316EFE"/>
    <w:rsid w:val="4532027A"/>
    <w:rsid w:val="45B253A3"/>
    <w:rsid w:val="46092479"/>
    <w:rsid w:val="467C66C9"/>
    <w:rsid w:val="47FE7124"/>
    <w:rsid w:val="490876A7"/>
    <w:rsid w:val="496A4CD3"/>
    <w:rsid w:val="49B86908"/>
    <w:rsid w:val="49E12C87"/>
    <w:rsid w:val="4A172A4E"/>
    <w:rsid w:val="4B3D59C8"/>
    <w:rsid w:val="4BF70D33"/>
    <w:rsid w:val="4DA62092"/>
    <w:rsid w:val="4EF4496D"/>
    <w:rsid w:val="4F486310"/>
    <w:rsid w:val="507024A0"/>
    <w:rsid w:val="557030FD"/>
    <w:rsid w:val="56E22B76"/>
    <w:rsid w:val="56EF4352"/>
    <w:rsid w:val="58556BFC"/>
    <w:rsid w:val="5A070C42"/>
    <w:rsid w:val="5A150BDD"/>
    <w:rsid w:val="5A7E1718"/>
    <w:rsid w:val="5AF87FEB"/>
    <w:rsid w:val="5B4F7984"/>
    <w:rsid w:val="5C332A84"/>
    <w:rsid w:val="5CFC0A5F"/>
    <w:rsid w:val="5E8F65BA"/>
    <w:rsid w:val="5EBD29C7"/>
    <w:rsid w:val="607E7678"/>
    <w:rsid w:val="621857A8"/>
    <w:rsid w:val="662034EA"/>
    <w:rsid w:val="663049B1"/>
    <w:rsid w:val="66720B4E"/>
    <w:rsid w:val="67596B94"/>
    <w:rsid w:val="684E0A93"/>
    <w:rsid w:val="69411A88"/>
    <w:rsid w:val="6A0D0B87"/>
    <w:rsid w:val="6AB54AA0"/>
    <w:rsid w:val="6EAC4C03"/>
    <w:rsid w:val="70285E66"/>
    <w:rsid w:val="70765533"/>
    <w:rsid w:val="713B55CA"/>
    <w:rsid w:val="722B71FD"/>
    <w:rsid w:val="73B86637"/>
    <w:rsid w:val="74D35AD8"/>
    <w:rsid w:val="75D352C7"/>
    <w:rsid w:val="76F7441A"/>
    <w:rsid w:val="773430B1"/>
    <w:rsid w:val="7742482B"/>
    <w:rsid w:val="77781FC6"/>
    <w:rsid w:val="78975E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Document Map"/>
    <w:basedOn w:val="1"/>
    <w:link w:val="21"/>
    <w:semiHidden/>
    <w:unhideWhenUsed/>
    <w:qFormat/>
    <w:uiPriority w:val="99"/>
    <w:rPr>
      <w:rFonts w:ascii="宋体"/>
      <w:sz w:val="18"/>
      <w:szCs w:val="18"/>
    </w:rPr>
  </w:style>
  <w:style w:type="paragraph" w:styleId="3">
    <w:name w:val="annotation text"/>
    <w:basedOn w:val="1"/>
    <w:link w:val="23"/>
    <w:semiHidden/>
    <w:unhideWhenUsed/>
    <w:qFormat/>
    <w:uiPriority w:val="99"/>
  </w:style>
  <w:style w:type="paragraph" w:styleId="4">
    <w:name w:val="Date"/>
    <w:basedOn w:val="1"/>
    <w:next w:val="1"/>
    <w:link w:val="18"/>
    <w:semiHidden/>
    <w:unhideWhenUsed/>
    <w:qFormat/>
    <w:uiPriority w:val="99"/>
    <w:pPr>
      <w:ind w:left="100" w:leftChars="2500"/>
    </w:pPr>
  </w:style>
  <w:style w:type="paragraph" w:styleId="5">
    <w:name w:val="footer"/>
    <w:basedOn w:val="1"/>
    <w:link w:val="20"/>
    <w:unhideWhenUsed/>
    <w:qFormat/>
    <w:uiPriority w:val="99"/>
    <w:pPr>
      <w:tabs>
        <w:tab w:val="center" w:pos="4153"/>
        <w:tab w:val="right" w:pos="8306"/>
      </w:tabs>
      <w:snapToGrid w:val="0"/>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pPr>
  </w:style>
  <w:style w:type="paragraph" w:styleId="8">
    <w:name w:val="annotation subject"/>
    <w:basedOn w:val="3"/>
    <w:next w:val="3"/>
    <w:link w:val="24"/>
    <w:semiHidden/>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semiHidden/>
    <w:unhideWhenUsed/>
    <w:qFormat/>
    <w:uiPriority w:val="99"/>
    <w:rPr>
      <w:sz w:val="21"/>
      <w:szCs w:val="21"/>
    </w:rPr>
  </w:style>
  <w:style w:type="paragraph" w:customStyle="1" w:styleId="15">
    <w:name w:val="Default"/>
    <w:link w:val="1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6">
    <w:name w:val="Default Char"/>
    <w:link w:val="15"/>
    <w:qFormat/>
    <w:uiPriority w:val="0"/>
    <w:rPr>
      <w:rFonts w:ascii="楷体_GB2312" w:hAnsi="Times New Roman" w:eastAsia="楷体_GB2312" w:cs="Times New Roman"/>
      <w:color w:val="000000"/>
      <w:kern w:val="0"/>
      <w:sz w:val="24"/>
      <w:szCs w:val="24"/>
    </w:rPr>
  </w:style>
  <w:style w:type="paragraph" w:styleId="17">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8">
    <w:name w:val="日期 字符"/>
    <w:basedOn w:val="11"/>
    <w:link w:val="4"/>
    <w:semiHidden/>
    <w:qFormat/>
    <w:uiPriority w:val="99"/>
    <w:rPr>
      <w:rFonts w:ascii="Times New Roman" w:hAnsi="Times New Roman" w:eastAsia="宋体" w:cs="Times New Roman"/>
      <w:kern w:val="0"/>
      <w:sz w:val="24"/>
      <w:szCs w:val="24"/>
    </w:rPr>
  </w:style>
  <w:style w:type="character" w:customStyle="1" w:styleId="19">
    <w:name w:val="页眉 字符"/>
    <w:basedOn w:val="11"/>
    <w:link w:val="6"/>
    <w:qFormat/>
    <w:uiPriority w:val="99"/>
    <w:rPr>
      <w:rFonts w:ascii="Times New Roman" w:hAnsi="Times New Roman" w:eastAsia="宋体" w:cs="Times New Roman"/>
      <w:kern w:val="0"/>
      <w:sz w:val="18"/>
      <w:szCs w:val="18"/>
    </w:rPr>
  </w:style>
  <w:style w:type="character" w:customStyle="1" w:styleId="20">
    <w:name w:val="页脚 字符"/>
    <w:basedOn w:val="11"/>
    <w:link w:val="5"/>
    <w:qFormat/>
    <w:uiPriority w:val="99"/>
    <w:rPr>
      <w:rFonts w:ascii="Times New Roman" w:hAnsi="Times New Roman" w:eastAsia="宋体" w:cs="Times New Roman"/>
      <w:kern w:val="0"/>
      <w:sz w:val="18"/>
      <w:szCs w:val="18"/>
    </w:rPr>
  </w:style>
  <w:style w:type="character" w:customStyle="1" w:styleId="21">
    <w:name w:val="文档结构图 字符"/>
    <w:basedOn w:val="11"/>
    <w:link w:val="2"/>
    <w:semiHidden/>
    <w:qFormat/>
    <w:uiPriority w:val="99"/>
    <w:rPr>
      <w:rFonts w:ascii="宋体" w:hAnsi="Times New Roman" w:eastAsia="宋体" w:cs="Times New Roman"/>
      <w:kern w:val="0"/>
      <w:sz w:val="18"/>
      <w:szCs w:val="18"/>
    </w:rPr>
  </w:style>
  <w:style w:type="paragraph" w:customStyle="1" w:styleId="22">
    <w:name w:val="修订1"/>
    <w:hidden/>
    <w:semiHidden/>
    <w:qFormat/>
    <w:uiPriority w:val="99"/>
    <w:rPr>
      <w:rFonts w:ascii="Times New Roman" w:hAnsi="Times New Roman" w:eastAsia="宋体" w:cs="Times New Roman"/>
      <w:sz w:val="24"/>
      <w:szCs w:val="24"/>
      <w:lang w:val="en-US" w:eastAsia="zh-CN" w:bidi="ar-SA"/>
    </w:rPr>
  </w:style>
  <w:style w:type="character" w:customStyle="1" w:styleId="23">
    <w:name w:val="批注文字 字符"/>
    <w:basedOn w:val="11"/>
    <w:link w:val="3"/>
    <w:semiHidden/>
    <w:qFormat/>
    <w:uiPriority w:val="99"/>
    <w:rPr>
      <w:rFonts w:ascii="Times New Roman" w:hAnsi="Times New Roman" w:eastAsia="宋体" w:cs="Times New Roman"/>
      <w:sz w:val="24"/>
      <w:szCs w:val="24"/>
    </w:rPr>
  </w:style>
  <w:style w:type="character" w:customStyle="1" w:styleId="24">
    <w:name w:val="批注主题 字符"/>
    <w:basedOn w:val="23"/>
    <w:link w:val="8"/>
    <w:semiHidden/>
    <w:qFormat/>
    <w:uiPriority w:val="99"/>
    <w:rPr>
      <w:rFonts w:ascii="Times New Roman" w:hAnsi="Times New Roman" w:eastAsia="宋体" w:cs="Times New Roman"/>
      <w:b/>
      <w:bCs/>
      <w:sz w:val="24"/>
      <w:szCs w:val="24"/>
    </w:rPr>
  </w:style>
  <w:style w:type="paragraph" w:customStyle="1" w:styleId="25">
    <w:name w:val="修订2"/>
    <w:hidden/>
    <w:semiHidden/>
    <w:qFormat/>
    <w:uiPriority w:val="99"/>
    <w:rPr>
      <w:rFonts w:ascii="Times New Roman" w:hAnsi="Times New Roman" w:eastAsia="宋体" w:cs="Times New Roman"/>
      <w:sz w:val="24"/>
      <w:szCs w:val="24"/>
      <w:lang w:val="en-US" w:eastAsia="zh-CN" w:bidi="ar-SA"/>
    </w:rPr>
  </w:style>
  <w:style w:type="paragraph" w:customStyle="1" w:styleId="26">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3</Pages>
  <Words>997</Words>
  <Characters>1183</Characters>
  <Lines>9</Lines>
  <Paragraphs>2</Paragraphs>
  <TotalTime>5</TotalTime>
  <ScaleCrop>false</ScaleCrop>
  <LinksUpToDate>false</LinksUpToDate>
  <CharactersWithSpaces>1216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2022-07-15T05:05:00Z</dcterms:created>
  <dc:creator>admin</dc:creator>
  <cp:lastModifiedBy>suuuu</cp:lastModifiedBy>
  <cp:lastPrinted>2019-06-12T08:48:00Z</cp:lastPrinted>
  <dcterms:modified xsi:type="dcterms:W3CDTF">2022-07-15T08:19:47Z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1083E1F6EA374D31A4705593CD3E3119</vt:lpwstr>
  </property>
</Properties>
</file>