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eastAsiaTheme="minorEastAsia"/>
          <w:szCs w:val="21"/>
        </w:rPr>
      </w:pPr>
      <w:r>
        <w:rPr>
          <w:rFonts w:eastAsiaTheme="minorEastAsia"/>
          <w:szCs w:val="21"/>
        </w:rPr>
        <w:t>证券代码：603232               证券简称：格尔软件            公告编号：202</w:t>
      </w:r>
      <w:r>
        <w:rPr>
          <w:rFonts w:hint="eastAsia" w:eastAsiaTheme="minorEastAsia"/>
          <w:szCs w:val="21"/>
        </w:rPr>
        <w:t>2</w:t>
      </w:r>
      <w:r>
        <w:rPr>
          <w:rFonts w:eastAsiaTheme="minorEastAsia"/>
          <w:szCs w:val="21"/>
        </w:rPr>
        <w:t>-0</w:t>
      </w:r>
      <w:r>
        <w:rPr>
          <w:rFonts w:hint="eastAsia" w:eastAsiaTheme="minorEastAsia"/>
          <w:szCs w:val="21"/>
        </w:rPr>
        <w:t>64</w:t>
      </w:r>
    </w:p>
    <w:p>
      <w:pPr>
        <w:spacing w:line="312" w:lineRule="auto"/>
        <w:rPr>
          <w:rFonts w:eastAsiaTheme="minorEastAsia"/>
          <w:szCs w:val="21"/>
        </w:rPr>
      </w:pPr>
    </w:p>
    <w:p>
      <w:pPr>
        <w:adjustRightInd w:val="0"/>
        <w:snapToGrid w:val="0"/>
        <w:spacing w:line="360" w:lineRule="auto"/>
        <w:jc w:val="center"/>
        <w:rPr>
          <w:rFonts w:ascii="黑体" w:hAnsi="黑体" w:eastAsia="黑体"/>
          <w:b/>
          <w:color w:val="FF0000"/>
          <w:sz w:val="32"/>
          <w:szCs w:val="32"/>
        </w:rPr>
      </w:pPr>
      <w:r>
        <w:rPr>
          <w:rFonts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ascii="黑体" w:hAnsi="黑体" w:eastAsia="黑体"/>
          <w:b/>
          <w:color w:val="FF0000"/>
          <w:sz w:val="32"/>
          <w:szCs w:val="32"/>
        </w:rPr>
        <w:t>关于</w:t>
      </w:r>
      <w:r>
        <w:rPr>
          <w:rFonts w:hint="eastAsia" w:ascii="黑体" w:hAnsi="黑体" w:eastAsia="黑体"/>
          <w:b/>
          <w:color w:val="FF0000"/>
          <w:sz w:val="32"/>
          <w:szCs w:val="32"/>
        </w:rPr>
        <w:t>放弃同比例增资优先认购权暨关联交易的</w:t>
      </w:r>
      <w:r>
        <w:rPr>
          <w:rFonts w:ascii="黑体" w:hAnsi="黑体" w:eastAsia="黑体"/>
          <w:b/>
          <w:color w:val="FF0000"/>
          <w:sz w:val="32"/>
          <w:szCs w:val="32"/>
        </w:rPr>
        <w:t>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eastAsiaTheme="minorEastAsia"/>
          <w:color w:val="000000"/>
          <w:szCs w:val="21"/>
        </w:rPr>
      </w:pPr>
      <w:r>
        <w:rPr>
          <w:rFonts w:hint="eastAsia" w:eastAsiaTheme="minorEastAsia"/>
          <w:color w:val="000000"/>
          <w:szCs w:val="21"/>
        </w:rPr>
        <w:t>本公司董事会及全体董事保证本公告内容不存在任何虚假记载、误导性陈述或者重大遗漏，并对其内容的真实性、准确性和完整性依法承担法律责任</w:t>
      </w:r>
    </w:p>
    <w:p>
      <w:pPr>
        <w:adjustRightInd w:val="0"/>
        <w:snapToGrid w:val="0"/>
        <w:spacing w:line="360" w:lineRule="auto"/>
        <w:rPr>
          <w:rFonts w:eastAsiaTheme="minorEastAsia"/>
          <w:b/>
          <w:sz w:val="24"/>
          <w:szCs w:val="24"/>
        </w:rPr>
      </w:pPr>
    </w:p>
    <w:p>
      <w:pPr>
        <w:adjustRightInd w:val="0"/>
        <w:snapToGrid w:val="0"/>
        <w:spacing w:line="360" w:lineRule="auto"/>
        <w:rPr>
          <w:rFonts w:eastAsiaTheme="minorEastAsia"/>
          <w:b/>
          <w:sz w:val="24"/>
          <w:szCs w:val="24"/>
        </w:rPr>
      </w:pPr>
      <w:r>
        <w:rPr>
          <w:rFonts w:eastAsiaTheme="minorEastAsia"/>
          <w:b/>
          <w:sz w:val="24"/>
          <w:szCs w:val="24"/>
        </w:rPr>
        <w:t>重要内容提示：</w:t>
      </w:r>
    </w:p>
    <w:p>
      <w:pPr>
        <w:pStyle w:val="34"/>
        <w:numPr>
          <w:ilvl w:val="0"/>
          <w:numId w:val="1"/>
        </w:numPr>
        <w:spacing w:line="360" w:lineRule="auto"/>
        <w:jc w:val="both"/>
        <w:rPr>
          <w:rFonts w:eastAsiaTheme="minorEastAsia"/>
          <w:color w:val="000000"/>
          <w:kern w:val="0"/>
          <w:sz w:val="24"/>
          <w:szCs w:val="24"/>
          <w:lang w:bidi="ar"/>
        </w:rPr>
      </w:pPr>
      <w:r>
        <w:rPr>
          <w:rFonts w:hint="eastAsia" w:eastAsiaTheme="minorEastAsia"/>
          <w:color w:val="000000"/>
          <w:kern w:val="0"/>
          <w:sz w:val="24"/>
          <w:szCs w:val="24"/>
          <w:lang w:bidi="ar"/>
        </w:rPr>
        <w:t>嘉兴上汽创永股权投资合伙企业（有限合伙）（以下简称“嘉兴上汽”）和青岛上汽创新升级产业股权投资基金合伙企业（有限合伙）（以下简称“青岛上汽”）拟向格尔软件股份有限公司（以下简称“格尔股份”或“公司”）持有1.8138%股权的参股公司上海芯钛信息科技有限公司（以下简称“上海芯钛”）实施增资合计18,000.00万元，公司同意本次增资事项，并放弃</w:t>
      </w:r>
      <w:bookmarkStart w:id="0" w:name="_Hlk117726085"/>
      <w:r>
        <w:rPr>
          <w:rFonts w:hint="eastAsia" w:eastAsiaTheme="minorEastAsia"/>
          <w:color w:val="000000"/>
          <w:kern w:val="0"/>
          <w:sz w:val="24"/>
          <w:szCs w:val="24"/>
          <w:lang w:bidi="ar"/>
        </w:rPr>
        <w:t>对上海芯钛同比例增资</w:t>
      </w:r>
      <w:bookmarkEnd w:id="0"/>
      <w:r>
        <w:rPr>
          <w:rFonts w:hint="eastAsia" w:eastAsiaTheme="minorEastAsia"/>
          <w:color w:val="000000"/>
          <w:kern w:val="0"/>
          <w:sz w:val="24"/>
          <w:szCs w:val="24"/>
          <w:lang w:bidi="ar"/>
        </w:rPr>
        <w:t>优先认购权，本次增资完成后，公司持有上海芯钛的股权比例将下降至1.7111%。本次交易完成后，上海芯钛仍为公司参股公司，未导致公司合并报表范围变更。</w:t>
      </w:r>
    </w:p>
    <w:p>
      <w:pPr>
        <w:widowControl/>
        <w:numPr>
          <w:ilvl w:val="0"/>
          <w:numId w:val="1"/>
        </w:numPr>
        <w:spacing w:line="360" w:lineRule="auto"/>
        <w:rPr>
          <w:rFonts w:eastAsiaTheme="minorEastAsia"/>
          <w:color w:val="000000"/>
          <w:kern w:val="0"/>
          <w:sz w:val="24"/>
          <w:szCs w:val="24"/>
          <w:lang w:bidi="ar"/>
        </w:rPr>
      </w:pPr>
      <w:r>
        <w:rPr>
          <w:rFonts w:hint="eastAsia"/>
          <w:color w:val="000000"/>
          <w:sz w:val="24"/>
          <w:szCs w:val="24"/>
        </w:rPr>
        <w:t>本次放弃增资优先认购权构成关联交易，已经公司第八届董事会第六次会议审议通过，关联董事陆海天已回避表决。除本次公司放弃同比例优先认购权以外，过去</w:t>
      </w:r>
      <w:r>
        <w:rPr>
          <w:color w:val="000000"/>
          <w:sz w:val="24"/>
          <w:szCs w:val="24"/>
        </w:rPr>
        <w:t>12</w:t>
      </w:r>
      <w:r>
        <w:rPr>
          <w:rFonts w:hint="eastAsia"/>
          <w:color w:val="000000"/>
          <w:sz w:val="24"/>
          <w:szCs w:val="24"/>
        </w:rPr>
        <w:t>个</w:t>
      </w:r>
      <w:r>
        <w:rPr>
          <w:color w:val="000000"/>
          <w:sz w:val="24"/>
          <w:szCs w:val="24"/>
        </w:rPr>
        <w:t>月</w:t>
      </w:r>
      <w:r>
        <w:rPr>
          <w:rFonts w:hint="eastAsia"/>
          <w:color w:val="000000"/>
          <w:sz w:val="24"/>
          <w:szCs w:val="24"/>
        </w:rPr>
        <w:t>内</w:t>
      </w:r>
      <w:r>
        <w:rPr>
          <w:color w:val="000000"/>
          <w:sz w:val="24"/>
          <w:szCs w:val="24"/>
        </w:rPr>
        <w:t>公司与上海芯钛</w:t>
      </w:r>
      <w:r>
        <w:rPr>
          <w:rFonts w:hint="eastAsia"/>
          <w:color w:val="000000"/>
          <w:sz w:val="24"/>
          <w:szCs w:val="24"/>
        </w:rPr>
        <w:t>、上海芯胜企业管理咨询中心（有限合伙）（以下简称“上海芯胜”）、上海歆檀企业管理咨询中心（有限合伙）（以下简称“上海歆檀”）</w:t>
      </w:r>
      <w:r>
        <w:rPr>
          <w:color w:val="000000"/>
          <w:sz w:val="24"/>
          <w:szCs w:val="24"/>
        </w:rPr>
        <w:t>及其关联方</w:t>
      </w:r>
      <w:r>
        <w:rPr>
          <w:rFonts w:hint="eastAsia"/>
          <w:color w:val="000000"/>
          <w:sz w:val="24"/>
          <w:szCs w:val="24"/>
        </w:rPr>
        <w:t>进行的非日常</w:t>
      </w:r>
      <w:r>
        <w:rPr>
          <w:color w:val="000000"/>
          <w:sz w:val="24"/>
          <w:szCs w:val="24"/>
        </w:rPr>
        <w:t>关联交易</w:t>
      </w:r>
      <w:r>
        <w:rPr>
          <w:rFonts w:hint="eastAsia"/>
          <w:color w:val="000000"/>
          <w:sz w:val="24"/>
          <w:szCs w:val="24"/>
        </w:rPr>
        <w:t>金额为500万元，今年3月格尔软件向上海芯钛增资500万元，该事项经公司2022年1月15日总经理办公会议决议通过。过去</w:t>
      </w:r>
      <w:r>
        <w:rPr>
          <w:color w:val="000000"/>
          <w:sz w:val="24"/>
          <w:szCs w:val="24"/>
        </w:rPr>
        <w:t>12个月内公司与同一关联人或与不同关联人之间</w:t>
      </w:r>
      <w:r>
        <w:rPr>
          <w:rFonts w:hint="eastAsia"/>
          <w:color w:val="000000"/>
          <w:sz w:val="24"/>
          <w:szCs w:val="24"/>
        </w:rPr>
        <w:t>进行的相同</w:t>
      </w:r>
      <w:r>
        <w:rPr>
          <w:color w:val="000000"/>
          <w:sz w:val="24"/>
          <w:szCs w:val="24"/>
        </w:rPr>
        <w:t>交易类别</w:t>
      </w:r>
      <w:r>
        <w:rPr>
          <w:rFonts w:hint="eastAsia"/>
          <w:color w:val="000000"/>
          <w:sz w:val="24"/>
          <w:szCs w:val="24"/>
        </w:rPr>
        <w:t>下标的</w:t>
      </w:r>
      <w:r>
        <w:rPr>
          <w:color w:val="000000"/>
          <w:sz w:val="24"/>
          <w:szCs w:val="24"/>
        </w:rPr>
        <w:t>相关的关联交易未达到占公司最近一期经审计净资产绝对值5%以上。</w:t>
      </w:r>
      <w:r>
        <w:rPr>
          <w:rFonts w:hint="eastAsia"/>
          <w:color w:val="000000"/>
          <w:sz w:val="24"/>
          <w:szCs w:val="24"/>
        </w:rPr>
        <w:t>根据上海证券交易所《股票上市规则》及《公司章程》规定，该事项无需提交股东大会审议。</w:t>
      </w:r>
    </w:p>
    <w:p>
      <w:pPr>
        <w:widowControl/>
        <w:numPr>
          <w:ilvl w:val="0"/>
          <w:numId w:val="1"/>
        </w:numPr>
        <w:spacing w:line="360" w:lineRule="auto"/>
        <w:rPr>
          <w:rFonts w:eastAsiaTheme="minorEastAsia"/>
          <w:color w:val="000000"/>
          <w:kern w:val="0"/>
          <w:sz w:val="24"/>
          <w:szCs w:val="24"/>
          <w:lang w:bidi="ar"/>
        </w:rPr>
      </w:pPr>
      <w:r>
        <w:rPr>
          <w:rFonts w:hint="eastAsia" w:ascii="宋体" w:hAnsi="宋体"/>
          <w:bCs/>
          <w:sz w:val="24"/>
        </w:rPr>
        <w:t>本次放弃增资优先认购权，未导致公司主营业务、资产、收入发生重大变化，不构成《上市公司重大资产重组管理办法》规定的重大资产重组。</w:t>
      </w:r>
    </w:p>
    <w:p>
      <w:pPr>
        <w:pStyle w:val="19"/>
        <w:numPr>
          <w:ilvl w:val="0"/>
          <w:numId w:val="2"/>
        </w:numPr>
        <w:spacing w:before="156" w:beforeLines="50" w:after="156" w:afterLines="50" w:line="360" w:lineRule="auto"/>
        <w:rPr>
          <w:rFonts w:ascii="Times New Roman" w:hAnsi="Times New Roman" w:cs="Times New Roman" w:eastAsiaTheme="minorEastAsia"/>
        </w:rPr>
      </w:pPr>
      <w:r>
        <w:rPr>
          <w:rFonts w:hint="eastAsia" w:ascii="Times New Roman" w:hAnsi="Times New Roman" w:cs="Times New Roman" w:eastAsiaTheme="minorEastAsia"/>
          <w:b/>
          <w:bCs/>
        </w:rPr>
        <w:t>关联交易概述</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系公司参股企业，公司持有其1.8138%股权。为满足上海芯钛经营发展需要，拟引进新投资者嘉兴上汽和青岛上汽向上海芯钛实施增资合计18,000.00万元，其中207.6388万元计入注册资本。公司基于长期发展战略规划，同意本次上海芯钛增资事项，并放弃本次对上海芯钛同比例增资优先认购权。本次增资完成后，上海芯钛注册资本将由</w:t>
      </w:r>
      <w:r>
        <w:rPr>
          <w:rFonts w:ascii="Times New Roman" w:hAnsi="Times New Roman" w:cs="Times New Roman"/>
        </w:rPr>
        <w:t>3,460.6451</w:t>
      </w:r>
      <w:r>
        <w:rPr>
          <w:rFonts w:hint="eastAsia" w:ascii="Times New Roman" w:hAnsi="Times New Roman" w:cs="Times New Roman" w:eastAsiaTheme="minorEastAsia"/>
        </w:rPr>
        <w:t>万元增加至</w:t>
      </w:r>
      <w:r>
        <w:rPr>
          <w:rFonts w:ascii="Times New Roman" w:hAnsi="Times New Roman" w:cs="Times New Roman"/>
        </w:rPr>
        <w:t>3</w:t>
      </w:r>
      <w:r>
        <w:rPr>
          <w:rFonts w:hint="eastAsia" w:ascii="Times New Roman" w:hAnsi="Times New Roman" w:cs="Times New Roman"/>
        </w:rPr>
        <w:t>,</w:t>
      </w:r>
      <w:r>
        <w:rPr>
          <w:rFonts w:ascii="Times New Roman" w:hAnsi="Times New Roman" w:cs="Times New Roman"/>
        </w:rPr>
        <w:t>668.283</w:t>
      </w:r>
      <w:r>
        <w:rPr>
          <w:rFonts w:hint="eastAsia" w:ascii="Times New Roman" w:hAnsi="Times New Roman" w:cs="Times New Roman"/>
        </w:rPr>
        <w:t>9</w:t>
      </w:r>
      <w:r>
        <w:rPr>
          <w:rFonts w:hint="eastAsia" w:ascii="Times New Roman" w:hAnsi="Times New Roman" w:cs="Times New Roman" w:eastAsiaTheme="minorEastAsia"/>
        </w:rPr>
        <w:t>万元，公司持有上海芯钛的股权比例将由1.8138%下降至</w:t>
      </w:r>
      <w:r>
        <w:rPr>
          <w:rFonts w:hint="default" w:ascii="Times New Roman" w:hAnsi="Times New Roman" w:cs="Times New Roman" w:eastAsiaTheme="minorEastAsia"/>
          <w:lang w:bidi="ar"/>
        </w:rPr>
        <w:t>1.7111%</w:t>
      </w:r>
      <w:r>
        <w:rPr>
          <w:rFonts w:hint="eastAsia" w:ascii="Times New Roman" w:hAnsi="Times New Roman" w:cs="Times New Roman" w:eastAsiaTheme="minorEastAsia"/>
        </w:rPr>
        <w:t>。</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控股股东、实际控制人孔旻先生为公司控股股东、实际控制人孔令钢年满18周岁的子女，因此上海芯钛及孔旻先生为公司关联方。上海芯胜的执行事务合伙人孔旻先生为公司控股股东、实际控制人孔令钢年满18周岁的子女，上海芯胜为上海芯钛的股东，因此上海芯胜为公司关联方。上海歆檀的执行事务合伙人孔旻先生为公司控股股东、实际控制人孔令钢年满18周岁的子女，上海歆檀为上海芯钛的股东，因此上海歆檀为公司关联方。</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根据上海证券交易所《股票上市规则》及《上海证券交易所上市公司自律监管指引第5号——交易与关联交易》的有关规定，公司放弃上海芯钛同比例增资优先认购权构成关联交易，但不构成《上市公司重大资产重组管理办法》规定的重大资产重组。本次公司对上海芯钛放弃同比例增资优先认购权所涉金额为326.4840万元，过去12个月内公司与上海芯钛、上海芯胜、上海歆檀及其关联方除已披露的日常关联交易以外的关联交易金额为500万元</w:t>
      </w:r>
      <w:r>
        <w:rPr>
          <w:rFonts w:hint="eastAsia"/>
        </w:rPr>
        <w:t>，今年3月格尔软件向上海芯钛增资500万元，该事项经公司2022年1月15日总经理办公会议决议通过。</w:t>
      </w:r>
      <w:r>
        <w:rPr>
          <w:rFonts w:ascii="Times New Roman" w:hAnsi="Times New Roman" w:cs="Times New Roman"/>
          <w:kern w:val="2"/>
        </w:rPr>
        <w:t>未与不同关联人进行</w:t>
      </w:r>
      <w:r>
        <w:rPr>
          <w:rFonts w:hint="eastAsia" w:ascii="Times New Roman" w:hAnsi="Times New Roman" w:cs="Times New Roman"/>
          <w:kern w:val="2"/>
        </w:rPr>
        <w:t>的相同</w:t>
      </w:r>
      <w:r>
        <w:rPr>
          <w:rFonts w:ascii="Times New Roman" w:hAnsi="Times New Roman" w:cs="Times New Roman"/>
          <w:kern w:val="2"/>
        </w:rPr>
        <w:t>交易类别</w:t>
      </w:r>
      <w:r>
        <w:rPr>
          <w:rFonts w:hint="eastAsia" w:ascii="Times New Roman" w:hAnsi="Times New Roman" w:cs="Times New Roman"/>
          <w:kern w:val="2"/>
        </w:rPr>
        <w:t>下标的</w:t>
      </w:r>
      <w:r>
        <w:rPr>
          <w:rFonts w:ascii="Times New Roman" w:hAnsi="Times New Roman" w:cs="Times New Roman"/>
          <w:kern w:val="2"/>
        </w:rPr>
        <w:t>相关的交易</w:t>
      </w:r>
      <w:r>
        <w:rPr>
          <w:rFonts w:hint="eastAsia" w:ascii="Times New Roman" w:hAnsi="Times New Roman" w:cs="Times New Roman"/>
          <w:kern w:val="2"/>
        </w:rPr>
        <w:t>，</w:t>
      </w:r>
      <w:r>
        <w:rPr>
          <w:rFonts w:hint="eastAsia" w:ascii="Times New Roman" w:hAnsi="Times New Roman" w:cs="Times New Roman" w:eastAsiaTheme="minorEastAsia"/>
        </w:rPr>
        <w:t>累计占公司最近一期经审计归属于上市公司股东的净资产0.59%。</w:t>
      </w:r>
      <w:r>
        <w:rPr>
          <w:rFonts w:hint="eastAsia" w:ascii="Times New Roman" w:hAnsi="Times New Roman" w:cs="Times New Roman"/>
          <w:kern w:val="2"/>
        </w:rPr>
        <w:t>过去</w:t>
      </w:r>
      <w:r>
        <w:rPr>
          <w:rFonts w:ascii="Times New Roman" w:hAnsi="Times New Roman" w:cs="Times New Roman"/>
          <w:kern w:val="2"/>
        </w:rPr>
        <w:t>12个月内公司与</w:t>
      </w:r>
      <w:r>
        <w:rPr>
          <w:rFonts w:hint="eastAsia" w:ascii="Times New Roman" w:hAnsi="Times New Roman" w:cs="Times New Roman"/>
          <w:kern w:val="2"/>
        </w:rPr>
        <w:t>同一关联人或与</w:t>
      </w:r>
      <w:r>
        <w:rPr>
          <w:rFonts w:ascii="Times New Roman" w:hAnsi="Times New Roman" w:cs="Times New Roman"/>
          <w:kern w:val="2"/>
        </w:rPr>
        <w:t>不同关联人之间</w:t>
      </w:r>
      <w:r>
        <w:rPr>
          <w:rFonts w:hint="eastAsia" w:ascii="Times New Roman" w:hAnsi="Times New Roman" w:cs="Times New Roman"/>
          <w:kern w:val="2"/>
        </w:rPr>
        <w:t>进行的相同</w:t>
      </w:r>
      <w:r>
        <w:rPr>
          <w:rFonts w:ascii="Times New Roman" w:hAnsi="Times New Roman" w:cs="Times New Roman"/>
          <w:kern w:val="2"/>
        </w:rPr>
        <w:t>交易类别</w:t>
      </w:r>
      <w:r>
        <w:rPr>
          <w:rFonts w:hint="eastAsia" w:ascii="Times New Roman" w:hAnsi="Times New Roman" w:cs="Times New Roman"/>
          <w:kern w:val="2"/>
        </w:rPr>
        <w:t>下标的</w:t>
      </w:r>
      <w:r>
        <w:rPr>
          <w:rFonts w:ascii="Times New Roman" w:hAnsi="Times New Roman" w:cs="Times New Roman"/>
          <w:kern w:val="2"/>
        </w:rPr>
        <w:t>相关的关联交易未达到占公司最近一期经审计净资产绝对值5%以上。</w:t>
      </w:r>
      <w:r>
        <w:rPr>
          <w:rFonts w:hint="eastAsia" w:ascii="Times New Roman" w:hAnsi="Times New Roman" w:cs="Times New Roman" w:eastAsiaTheme="minorEastAsia"/>
        </w:rPr>
        <w:t>根据上海证券交易所《股票上市规则》及《公司章程》规定，该事项无需提交股东大会审批。</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关联方介绍</w:t>
      </w:r>
    </w:p>
    <w:p>
      <w:pPr>
        <w:pStyle w:val="19"/>
        <w:numPr>
          <w:ilvl w:val="0"/>
          <w:numId w:val="3"/>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关联方关系介绍</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上海芯钛控股股东、实际控制人孔旻先生为公司控股股东、实际控制人孔令钢年满18周岁的子女，因此上海芯钛及孔旻先生为公司关联方。</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上海芯胜的执行事务合伙人孔旻先生为公司控股股东、实际控制人孔令钢年满18周岁的子女，上海芯胜为上海芯钛的股东，因此上海芯胜为公司关联方。</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述关联方均为公司参股公司上海芯钛的股东，且上海芯钛作为本次公司对参股公司放弃优先增资认购权的标的，根据上海证券交易所《股票上市规则》及《上海证券交易所上市公司自律监管指引第5号——交易与关联交易》的有关规定，公司放弃上海芯钛同比例增资优先认购权构成关联交易。</w:t>
      </w:r>
    </w:p>
    <w:p>
      <w:pPr>
        <w:pStyle w:val="19"/>
        <w:numPr>
          <w:ilvl w:val="0"/>
          <w:numId w:val="3"/>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关联人基本情况</w:t>
      </w:r>
    </w:p>
    <w:p>
      <w:pPr>
        <w:pStyle w:val="19"/>
        <w:numPr>
          <w:ilvl w:val="0"/>
          <w:numId w:val="4"/>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关联人一：上海芯钛信息科技有限公司（详见本公告“三、关联交易标的的基本情况（二）上海芯钛的基本情况”）</w:t>
      </w:r>
    </w:p>
    <w:p>
      <w:pPr>
        <w:pStyle w:val="19"/>
        <w:numPr>
          <w:ilvl w:val="0"/>
          <w:numId w:val="4"/>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关联人二：孔旻先生，男，中国国籍，常住于上海市静安区，2018年至今任上海格尔实业发展有限公司执行副总裁。</w:t>
      </w:r>
      <w:r>
        <w:rPr>
          <w:rFonts w:hint="eastAsia" w:hAnsi="宋体"/>
        </w:rPr>
        <w:t>除上述已披露的事项外，孔旻先生与公司之间不存在任何产权、业务、资产、债权债务、人员等方面的其它关系。</w:t>
      </w:r>
    </w:p>
    <w:p>
      <w:pPr>
        <w:pStyle w:val="19"/>
        <w:numPr>
          <w:ilvl w:val="0"/>
          <w:numId w:val="4"/>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关联人三：上海芯胜企业管理咨询中心（有限合伙）</w:t>
      </w:r>
    </w:p>
    <w:p>
      <w:pPr>
        <w:pStyle w:val="19"/>
        <w:numPr>
          <w:ilvl w:val="0"/>
          <w:numId w:val="5"/>
        </w:numPr>
        <w:spacing w:line="360" w:lineRule="auto"/>
        <w:ind w:left="420" w:leftChars="200" w:firstLine="0"/>
        <w:rPr>
          <w:rFonts w:ascii="Times New Roman" w:hAnsi="Times New Roman" w:cs="Times New Roman" w:eastAsiaTheme="minorEastAsia"/>
        </w:rPr>
      </w:pPr>
      <w:r>
        <w:rPr>
          <w:rFonts w:hint="eastAsia" w:ascii="Times New Roman" w:hAnsi="Times New Roman" w:cs="Times New Roman" w:eastAsiaTheme="minorEastAsia"/>
        </w:rPr>
        <w:t>基本情况：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上海芯胜企业管理咨询中心（有限合伙）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有限合伙企业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执行事务合伙人</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孔旻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统一社会信用代码</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91310230MA1K172E9Y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150.0000万元人民币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2018年7月3日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2018年7月3日至无固定期限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上海市崇明区陈家镇瀛东村53号3幢2592室（上海智慧岛数据产业园）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企业管理咨询，商务信息咨询，财务咨询，电子商务（不得从事增值信息、金融业务），市场营销策划，企业形象策划，网络、信息、电子科技专业领域内的技术开发、技术转让、技术咨询和技术服务，会务服务，展览展示服务，日用百货、五金交电、电子产品、通讯器材、办公用品及设备、计算机软硬件的销售。【依法须经批准的项目，经相关部门批准后方可开展经营活动】</w:t>
            </w:r>
          </w:p>
        </w:tc>
      </w:tr>
    </w:tbl>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上海芯胜的主要股东为孔旻先生及刘功哲先生，分别持有上海芯胜0.0667%及99.9333%股权。</w:t>
      </w:r>
    </w:p>
    <w:p>
      <w:pPr>
        <w:pStyle w:val="19"/>
        <w:numPr>
          <w:ilvl w:val="0"/>
          <w:numId w:val="5"/>
        </w:numPr>
        <w:spacing w:line="360" w:lineRule="auto"/>
        <w:ind w:left="0" w:firstLine="420" w:firstLineChars="175"/>
        <w:rPr>
          <w:rFonts w:ascii="Times New Roman" w:hAnsi="Times New Roman" w:cs="Times New Roman" w:eastAsiaTheme="minorEastAsia"/>
        </w:rPr>
      </w:pPr>
      <w:r>
        <w:rPr>
          <w:rFonts w:hint="eastAsia" w:hAnsi="宋体"/>
        </w:rPr>
        <w:t>上海芯胜与公司之间不存在任何产权、业务、资产、债权债务、人员等方面的其它关系。</w:t>
      </w:r>
    </w:p>
    <w:p>
      <w:pPr>
        <w:pStyle w:val="19"/>
        <w:numPr>
          <w:ilvl w:val="0"/>
          <w:numId w:val="4"/>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关联人四：上海歆檀企业管理咨询中心（有限合伙）</w:t>
      </w:r>
    </w:p>
    <w:p>
      <w:pPr>
        <w:pStyle w:val="19"/>
        <w:numPr>
          <w:ilvl w:val="255"/>
          <w:numId w:val="0"/>
        </w:numPr>
        <w:spacing w:line="360" w:lineRule="auto"/>
        <w:ind w:left="420" w:leftChars="200"/>
        <w:rPr>
          <w:rFonts w:ascii="Times New Roman" w:hAnsi="Times New Roman" w:cs="Times New Roman" w:eastAsiaTheme="minorEastAsia"/>
        </w:rPr>
      </w:pPr>
      <w:r>
        <w:rPr>
          <w:rFonts w:hint="eastAsia" w:ascii="Times New Roman" w:hAnsi="Times New Roman" w:cs="Times New Roman" w:eastAsiaTheme="minorEastAsia"/>
        </w:rPr>
        <w:t>1）基本情况：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上海歆檀企业管理咨询中心（有限合伙）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有限合伙企业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执行事务合伙人</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孔旻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统一社会信用代码</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91310230MA7AX3RK2T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50.0000万元人民币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2021年9月6日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2021年9月6日至无固定期限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7014" w:type="dxa"/>
          </w:tcPr>
          <w:p>
            <w:pPr>
              <w:pStyle w:val="19"/>
              <w:spacing w:line="360" w:lineRule="auto"/>
              <w:jc w:val="both"/>
              <w:rPr>
                <w:rFonts w:ascii="Times New Roman" w:hAnsi="Times New Roman" w:cs="Times New Roman" w:eastAsiaTheme="minorEastAsia"/>
              </w:rPr>
            </w:pPr>
            <w:r>
              <w:rPr>
                <w:rFonts w:hint="eastAsia"/>
              </w:rPr>
              <w:t>上海市崇明区陈家镇层海路888号3号楼1层(上海智慧岛数据产业园)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一般项目：企业管理咨询；商务信息咨询（不含投资类咨询）；电子商务（不得从事增值</w:t>
            </w:r>
            <w:r>
              <w:rPr>
                <w:rFonts w:hint="eastAsia" w:ascii="Times New Roman" w:hAnsi="Times New Roman" w:cs="Times New Roman" w:eastAsiaTheme="minorEastAsia"/>
                <w:lang w:val="en-US" w:eastAsia="zh-CN"/>
              </w:rPr>
              <w:t>电信</w:t>
            </w:r>
            <w:r>
              <w:rPr>
                <w:rFonts w:hint="eastAsia" w:ascii="Times New Roman" w:hAnsi="Times New Roman" w:cs="Times New Roman" w:eastAsiaTheme="minorEastAsia"/>
              </w:rPr>
              <w:t>、金融业务）</w:t>
            </w:r>
            <w:r>
              <w:rPr>
                <w:rFonts w:hint="eastAsia" w:ascii="Times New Roman" w:hAnsi="Times New Roman" w:cs="Times New Roman" w:eastAsiaTheme="minorEastAsia"/>
                <w:lang w:eastAsia="zh-CN"/>
              </w:rPr>
              <w:t>；</w:t>
            </w:r>
            <w:r>
              <w:rPr>
                <w:rFonts w:hint="eastAsia" w:ascii="Times New Roman" w:hAnsi="Times New Roman" w:cs="Times New Roman" w:eastAsiaTheme="minorEastAsia"/>
              </w:rPr>
              <w:t>市场营销策划</w:t>
            </w:r>
            <w:r>
              <w:rPr>
                <w:rFonts w:hint="eastAsia" w:ascii="Times New Roman" w:hAnsi="Times New Roman" w:cs="Times New Roman" w:eastAsiaTheme="minorEastAsia"/>
                <w:lang w:eastAsia="zh-CN"/>
              </w:rPr>
              <w:t>；</w:t>
            </w:r>
            <w:r>
              <w:rPr>
                <w:rFonts w:hint="eastAsia" w:ascii="Times New Roman" w:hAnsi="Times New Roman" w:cs="Times New Roman" w:eastAsiaTheme="minorEastAsia"/>
              </w:rPr>
              <w:t>企业形象策划</w:t>
            </w:r>
            <w:r>
              <w:rPr>
                <w:rFonts w:hint="eastAsia" w:ascii="Times New Roman" w:hAnsi="Times New Roman" w:cs="Times New Roman" w:eastAsiaTheme="minorEastAsia"/>
                <w:lang w:eastAsia="zh-CN"/>
              </w:rPr>
              <w:t>；</w:t>
            </w:r>
            <w:r>
              <w:rPr>
                <w:rFonts w:hint="eastAsia" w:ascii="Times New Roman" w:hAnsi="Times New Roman" w:cs="Times New Roman" w:eastAsiaTheme="minorEastAsia"/>
              </w:rPr>
              <w:t>技术服务、技术开发、技术咨询、技术交流、技术转让、技术推广；会议及展览服务；日用百货、五金交电、电子产品、通讯器材、办公用品、计算机、软硬件及辅助设备的销售。【</w:t>
            </w:r>
            <w:r>
              <w:rPr>
                <w:rFonts w:hint="eastAsia" w:ascii="Times New Roman" w:hAnsi="Times New Roman" w:cs="Times New Roman" w:eastAsiaTheme="minorEastAsia"/>
                <w:lang w:val="en-US" w:eastAsia="zh-CN"/>
              </w:rPr>
              <w:t>除</w:t>
            </w:r>
            <w:r>
              <w:rPr>
                <w:rFonts w:hint="eastAsia" w:ascii="Times New Roman" w:hAnsi="Times New Roman" w:cs="Times New Roman" w:eastAsiaTheme="minorEastAsia"/>
              </w:rPr>
              <w:t>依法须经批准的项目</w:t>
            </w:r>
            <w:r>
              <w:rPr>
                <w:rFonts w:hint="eastAsia" w:ascii="Times New Roman" w:hAnsi="Times New Roman" w:cs="Times New Roman" w:eastAsiaTheme="minorEastAsia"/>
                <w:lang w:val="en-US" w:eastAsia="zh-CN"/>
              </w:rPr>
              <w:t>外</w:t>
            </w:r>
            <w:r>
              <w:rPr>
                <w:rFonts w:hint="eastAsia" w:ascii="Times New Roman" w:hAnsi="Times New Roman" w:cs="Times New Roman" w:eastAsiaTheme="minorEastAsia"/>
              </w:rPr>
              <w:t>，凭营业执照依法自主开展经营活动】</w:t>
            </w:r>
          </w:p>
        </w:tc>
      </w:tr>
    </w:tbl>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上海歆檀的主要股东为孔旻先生及刘功哲先生，分别持有上海歆檀1%及99%股权。</w:t>
      </w:r>
      <w:bookmarkStart w:id="1" w:name="_GoBack"/>
      <w:bookmarkEnd w:id="1"/>
    </w:p>
    <w:p>
      <w:pPr>
        <w:pStyle w:val="19"/>
        <w:numPr>
          <w:ilvl w:val="255"/>
          <w:numId w:val="0"/>
        </w:numPr>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2）上海歆檀与公司之间不存在任何产权、业务、资产、债权债务、人员等方面的其它关系。</w:t>
      </w:r>
    </w:p>
    <w:p>
      <w:pPr>
        <w:pStyle w:val="19"/>
        <w:numPr>
          <w:ilvl w:val="255"/>
          <w:numId w:val="0"/>
        </w:numPr>
        <w:spacing w:line="360" w:lineRule="auto"/>
        <w:rPr>
          <w:rFonts w:ascii="Times New Roman" w:hAnsi="Times New Roman" w:cs="Times New Roman" w:eastAsiaTheme="minorEastAsia"/>
        </w:rPr>
      </w:pP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关联交易标的的基本情况</w:t>
      </w:r>
    </w:p>
    <w:p>
      <w:pPr>
        <w:pStyle w:val="19"/>
        <w:numPr>
          <w:ilvl w:val="0"/>
          <w:numId w:val="6"/>
        </w:numPr>
        <w:spacing w:before="156" w:beforeLines="50" w:after="156" w:afterLines="50" w:line="360" w:lineRule="auto"/>
        <w:rPr>
          <w:rFonts w:ascii="Times New Roman" w:hAnsi="Times New Roman" w:cs="Times New Roman" w:eastAsiaTheme="minorEastAsia"/>
        </w:rPr>
      </w:pPr>
      <w:r>
        <w:rPr>
          <w:rFonts w:hint="eastAsia" w:ascii="Times New Roman" w:hAnsi="Times New Roman" w:cs="Times New Roman" w:eastAsiaTheme="minorEastAsia"/>
        </w:rPr>
        <w:t>交易标的名称和类别</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本次放弃优先认购权标的为公司放弃对上海芯钛同比例增资优先认购权所对应的股权。</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（二）上海芯钛的基本情况：</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上海芯钛信息科技有限公司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有限责任公司（自然人投资或控股）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法定代表人</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刘功哲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统一社会信用代码</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91310230MA1JYGN873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3</w:t>
            </w:r>
            <w:r>
              <w:rPr>
                <w:rFonts w:ascii="Times New Roman" w:hAnsi="Times New Roman" w:cs="Times New Roman" w:eastAsiaTheme="minorEastAsia"/>
              </w:rPr>
              <w:t>,</w:t>
            </w:r>
            <w:r>
              <w:rPr>
                <w:rFonts w:hint="eastAsia" w:ascii="Times New Roman" w:hAnsi="Times New Roman" w:cs="Times New Roman" w:eastAsiaTheme="minorEastAsia"/>
              </w:rPr>
              <w:t>460.6451万元人民币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2017年7月7日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2017年7月7日至2037年7月6日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上海市崇明区长兴镇潘园公路1800号3号楼14347室（上海泰和经济发展区）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7014"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从事信息、计算机、通讯、电子、集成电路科技领域内的技术开发、技术转让、技术咨询和技术服务，从事货物及技术的进出口业务。【依法须经批准的项目，经相关部门批准后方可开展经营活动】</w:t>
            </w:r>
          </w:p>
        </w:tc>
      </w:tr>
    </w:tbl>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定位于汽车半导体芯片设计研发和产品应用，聚焦在智能网联汽车产业，为汽车电子智能化、网联化发展提供芯片产品及应用方案支撑。目前上海芯钛已面向市场推出了汽车级安全芯片产品-Mizar系列M20、M300、M2000三款产品，该系列产品主要解决智能网联汽车业务的车云加密认证、车载安全通信加密认证、V2X消息认证等需求。Mizar系列产品的设计研发、生产制造及封装测试全流程均达到了汽车半导体质量要求，量产产品已通过了第三方权威机构AEC-Q100 Grade1（-40度～125度）等级质量考核要求。2020年已完成Mizar芯片应用车型量产上市销售，实现了芯片销售收入。</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上海芯钛与公司之间不存在任何产权、业务、资产、债权债务、人员等方面的其它关系。</w:t>
      </w: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上海芯钛的股权结构如下：</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6"/>
        <w:gridCol w:w="2758"/>
        <w:gridCol w:w="2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76" w:type="dxa"/>
            <w:shd w:val="clear" w:color="auto" w:fill="D8D8D8" w:themeFill="background1" w:themeFillShade="D9"/>
          </w:tcPr>
          <w:p>
            <w:pPr>
              <w:widowControl/>
              <w:jc w:val="center"/>
              <w:rPr>
                <w:b/>
                <w:color w:val="000000"/>
                <w:sz w:val="24"/>
                <w:szCs w:val="24"/>
              </w:rPr>
            </w:pPr>
            <w:r>
              <w:rPr>
                <w:b/>
                <w:color w:val="000000"/>
                <w:sz w:val="24"/>
                <w:szCs w:val="24"/>
              </w:rPr>
              <w:t>股东名称/姓名</w:t>
            </w:r>
          </w:p>
        </w:tc>
        <w:tc>
          <w:tcPr>
            <w:tcW w:w="2758" w:type="dxa"/>
            <w:shd w:val="clear" w:color="auto" w:fill="D8D8D8" w:themeFill="background1" w:themeFillShade="D9"/>
          </w:tcPr>
          <w:p>
            <w:pPr>
              <w:widowControl/>
              <w:jc w:val="center"/>
              <w:rPr>
                <w:b/>
                <w:color w:val="000000"/>
                <w:sz w:val="24"/>
                <w:szCs w:val="24"/>
              </w:rPr>
            </w:pPr>
            <w:r>
              <w:rPr>
                <w:b/>
                <w:color w:val="000000"/>
                <w:sz w:val="24"/>
                <w:szCs w:val="24"/>
              </w:rPr>
              <w:t>认缴出资额</w:t>
            </w:r>
          </w:p>
          <w:p>
            <w:pPr>
              <w:widowControl/>
              <w:jc w:val="center"/>
              <w:rPr>
                <w:b/>
                <w:color w:val="000000"/>
                <w:sz w:val="24"/>
                <w:szCs w:val="24"/>
              </w:rPr>
            </w:pPr>
            <w:r>
              <w:rPr>
                <w:b/>
                <w:color w:val="000000"/>
                <w:sz w:val="24"/>
                <w:szCs w:val="24"/>
              </w:rPr>
              <w:t>（</w:t>
            </w:r>
            <w:r>
              <w:rPr>
                <w:rFonts w:hint="eastAsia"/>
                <w:b/>
                <w:color w:val="000000"/>
                <w:sz w:val="24"/>
                <w:szCs w:val="24"/>
              </w:rPr>
              <w:t>人民币</w:t>
            </w:r>
            <w:r>
              <w:rPr>
                <w:b/>
                <w:color w:val="000000"/>
                <w:sz w:val="24"/>
                <w:szCs w:val="24"/>
              </w:rPr>
              <w:t>万元）</w:t>
            </w:r>
          </w:p>
        </w:tc>
        <w:tc>
          <w:tcPr>
            <w:tcW w:w="2788" w:type="dxa"/>
            <w:shd w:val="clear" w:color="auto" w:fill="D8D8D8" w:themeFill="background1" w:themeFillShade="D9"/>
          </w:tcPr>
          <w:p>
            <w:pPr>
              <w:widowControl/>
              <w:jc w:val="center"/>
              <w:rPr>
                <w:b/>
                <w:color w:val="000000"/>
                <w:sz w:val="24"/>
                <w:szCs w:val="24"/>
              </w:rPr>
            </w:pPr>
            <w:r>
              <w:rPr>
                <w:b/>
                <w:color w:val="000000"/>
                <w:sz w:val="24"/>
                <w:szCs w:val="24"/>
              </w:rPr>
              <w:t>股权比例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孔旻</w:t>
            </w:r>
          </w:p>
        </w:tc>
        <w:tc>
          <w:tcPr>
            <w:tcW w:w="2758" w:type="dxa"/>
            <w:vAlign w:val="center"/>
          </w:tcPr>
          <w:p>
            <w:pPr>
              <w:widowControl/>
              <w:jc w:val="right"/>
              <w:rPr>
                <w:color w:val="000000"/>
                <w:sz w:val="24"/>
              </w:rPr>
            </w:pPr>
            <w:r>
              <w:rPr>
                <w:color w:val="000000"/>
                <w:sz w:val="24"/>
              </w:rPr>
              <w:t>987.</w:t>
            </w:r>
            <w:r>
              <w:rPr>
                <w:bCs/>
                <w:color w:val="000000"/>
                <w:sz w:val="24"/>
                <w:szCs w:val="24"/>
              </w:rPr>
              <w:t>5000</w:t>
            </w:r>
            <w:r>
              <w:rPr>
                <w:color w:val="000000"/>
                <w:sz w:val="24"/>
              </w:rPr>
              <w:t xml:space="preserve"> </w:t>
            </w:r>
          </w:p>
        </w:tc>
        <w:tc>
          <w:tcPr>
            <w:tcW w:w="2788" w:type="dxa"/>
            <w:vAlign w:val="center"/>
          </w:tcPr>
          <w:p>
            <w:pPr>
              <w:widowControl/>
              <w:jc w:val="right"/>
              <w:rPr>
                <w:bCs/>
                <w:color w:val="000000"/>
                <w:sz w:val="24"/>
                <w:szCs w:val="24"/>
              </w:rPr>
            </w:pPr>
            <w:r>
              <w:rPr>
                <w:bCs/>
                <w:color w:val="000000"/>
                <w:sz w:val="24"/>
                <w:szCs w:val="24"/>
              </w:rPr>
              <w:t>28.5352%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朱肇恺</w:t>
            </w:r>
          </w:p>
        </w:tc>
        <w:tc>
          <w:tcPr>
            <w:tcW w:w="2758" w:type="dxa"/>
            <w:vAlign w:val="center"/>
          </w:tcPr>
          <w:p>
            <w:pPr>
              <w:widowControl/>
              <w:jc w:val="right"/>
              <w:rPr>
                <w:color w:val="000000"/>
                <w:sz w:val="24"/>
              </w:rPr>
            </w:pPr>
            <w:r>
              <w:rPr>
                <w:bCs/>
                <w:color w:val="000000"/>
                <w:sz w:val="24"/>
                <w:szCs w:val="24"/>
              </w:rPr>
              <w:t>304.7925</w:t>
            </w:r>
            <w:r>
              <w:rPr>
                <w:color w:val="000000"/>
                <w:sz w:val="24"/>
              </w:rPr>
              <w:t xml:space="preserve"> </w:t>
            </w:r>
          </w:p>
        </w:tc>
        <w:tc>
          <w:tcPr>
            <w:tcW w:w="2788" w:type="dxa"/>
            <w:vAlign w:val="center"/>
          </w:tcPr>
          <w:p>
            <w:pPr>
              <w:widowControl/>
              <w:jc w:val="right"/>
              <w:rPr>
                <w:bCs/>
                <w:color w:val="000000"/>
                <w:sz w:val="24"/>
                <w:szCs w:val="24"/>
              </w:rPr>
            </w:pPr>
            <w:r>
              <w:rPr>
                <w:bCs/>
                <w:color w:val="000000"/>
                <w:sz w:val="24"/>
                <w:szCs w:val="24"/>
              </w:rPr>
              <w:t>8.8074%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李澜涛</w:t>
            </w:r>
          </w:p>
        </w:tc>
        <w:tc>
          <w:tcPr>
            <w:tcW w:w="2758" w:type="dxa"/>
            <w:vAlign w:val="center"/>
          </w:tcPr>
          <w:p>
            <w:pPr>
              <w:widowControl/>
              <w:jc w:val="right"/>
              <w:rPr>
                <w:color w:val="000000"/>
                <w:sz w:val="24"/>
              </w:rPr>
            </w:pPr>
            <w:r>
              <w:rPr>
                <w:color w:val="000000"/>
                <w:sz w:val="24"/>
              </w:rPr>
              <w:t>170.</w:t>
            </w:r>
            <w:r>
              <w:rPr>
                <w:bCs/>
                <w:color w:val="000000"/>
                <w:sz w:val="24"/>
                <w:szCs w:val="24"/>
              </w:rPr>
              <w:t>0000</w:t>
            </w:r>
            <w:r>
              <w:rPr>
                <w:color w:val="000000"/>
                <w:sz w:val="24"/>
              </w:rPr>
              <w:t xml:space="preserve"> </w:t>
            </w:r>
          </w:p>
        </w:tc>
        <w:tc>
          <w:tcPr>
            <w:tcW w:w="2788" w:type="dxa"/>
            <w:vAlign w:val="center"/>
          </w:tcPr>
          <w:p>
            <w:pPr>
              <w:widowControl/>
              <w:jc w:val="right"/>
              <w:rPr>
                <w:bCs/>
                <w:color w:val="000000"/>
                <w:sz w:val="24"/>
                <w:szCs w:val="24"/>
              </w:rPr>
            </w:pPr>
            <w:r>
              <w:rPr>
                <w:bCs/>
                <w:color w:val="000000"/>
                <w:sz w:val="24"/>
                <w:szCs w:val="24"/>
              </w:rPr>
              <w:t>4.9124%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徐骏捷</w:t>
            </w:r>
          </w:p>
        </w:tc>
        <w:tc>
          <w:tcPr>
            <w:tcW w:w="2758" w:type="dxa"/>
            <w:vAlign w:val="center"/>
          </w:tcPr>
          <w:p>
            <w:pPr>
              <w:widowControl/>
              <w:jc w:val="right"/>
              <w:rPr>
                <w:color w:val="000000"/>
                <w:sz w:val="24"/>
              </w:rPr>
            </w:pPr>
            <w:r>
              <w:rPr>
                <w:color w:val="000000"/>
                <w:sz w:val="24"/>
              </w:rPr>
              <w:t>106.</w:t>
            </w:r>
            <w:r>
              <w:rPr>
                <w:bCs/>
                <w:color w:val="000000"/>
                <w:sz w:val="24"/>
                <w:szCs w:val="24"/>
              </w:rPr>
              <w:t>2500</w:t>
            </w:r>
            <w:r>
              <w:rPr>
                <w:color w:val="000000"/>
                <w:sz w:val="24"/>
              </w:rPr>
              <w:t xml:space="preserve"> </w:t>
            </w:r>
          </w:p>
        </w:tc>
        <w:tc>
          <w:tcPr>
            <w:tcW w:w="2788" w:type="dxa"/>
            <w:vAlign w:val="center"/>
          </w:tcPr>
          <w:p>
            <w:pPr>
              <w:widowControl/>
              <w:jc w:val="right"/>
              <w:rPr>
                <w:bCs/>
                <w:color w:val="000000"/>
                <w:sz w:val="24"/>
                <w:szCs w:val="24"/>
              </w:rPr>
            </w:pPr>
            <w:r>
              <w:rPr>
                <w:bCs/>
                <w:color w:val="000000"/>
                <w:sz w:val="24"/>
                <w:szCs w:val="24"/>
              </w:rPr>
              <w:t>3.0703%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刘功哲</w:t>
            </w:r>
          </w:p>
        </w:tc>
        <w:tc>
          <w:tcPr>
            <w:tcW w:w="2758" w:type="dxa"/>
            <w:vAlign w:val="center"/>
          </w:tcPr>
          <w:p>
            <w:pPr>
              <w:widowControl/>
              <w:jc w:val="right"/>
              <w:rPr>
                <w:color w:val="000000"/>
                <w:sz w:val="24"/>
              </w:rPr>
            </w:pPr>
            <w:r>
              <w:rPr>
                <w:color w:val="000000"/>
                <w:sz w:val="24"/>
              </w:rPr>
              <w:t>485.</w:t>
            </w:r>
            <w:r>
              <w:rPr>
                <w:bCs/>
                <w:color w:val="000000"/>
                <w:sz w:val="24"/>
                <w:szCs w:val="24"/>
              </w:rPr>
              <w:t>0000</w:t>
            </w:r>
            <w:r>
              <w:rPr>
                <w:color w:val="000000"/>
                <w:sz w:val="24"/>
              </w:rPr>
              <w:t xml:space="preserve"> </w:t>
            </w:r>
          </w:p>
        </w:tc>
        <w:tc>
          <w:tcPr>
            <w:tcW w:w="2788" w:type="dxa"/>
            <w:vAlign w:val="center"/>
          </w:tcPr>
          <w:p>
            <w:pPr>
              <w:widowControl/>
              <w:jc w:val="right"/>
              <w:rPr>
                <w:bCs/>
                <w:color w:val="000000"/>
                <w:sz w:val="24"/>
                <w:szCs w:val="24"/>
              </w:rPr>
            </w:pPr>
            <w:r>
              <w:rPr>
                <w:bCs/>
                <w:color w:val="000000"/>
                <w:sz w:val="24"/>
                <w:szCs w:val="24"/>
              </w:rPr>
              <w:t>14.0147%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林宗芳</w:t>
            </w:r>
          </w:p>
        </w:tc>
        <w:tc>
          <w:tcPr>
            <w:tcW w:w="2758" w:type="dxa"/>
            <w:vAlign w:val="center"/>
          </w:tcPr>
          <w:p>
            <w:pPr>
              <w:widowControl/>
              <w:jc w:val="right"/>
              <w:rPr>
                <w:color w:val="000000"/>
                <w:sz w:val="24"/>
              </w:rPr>
            </w:pPr>
            <w:r>
              <w:rPr>
                <w:color w:val="000000"/>
                <w:sz w:val="24"/>
              </w:rPr>
              <w:t>106.</w:t>
            </w:r>
            <w:r>
              <w:rPr>
                <w:bCs/>
                <w:color w:val="000000"/>
                <w:sz w:val="24"/>
                <w:szCs w:val="24"/>
              </w:rPr>
              <w:t>2500</w:t>
            </w:r>
            <w:r>
              <w:rPr>
                <w:color w:val="000000"/>
                <w:sz w:val="24"/>
              </w:rPr>
              <w:t xml:space="preserve"> </w:t>
            </w:r>
          </w:p>
        </w:tc>
        <w:tc>
          <w:tcPr>
            <w:tcW w:w="2788" w:type="dxa"/>
            <w:vAlign w:val="center"/>
          </w:tcPr>
          <w:p>
            <w:pPr>
              <w:widowControl/>
              <w:jc w:val="right"/>
              <w:rPr>
                <w:bCs/>
                <w:color w:val="000000"/>
                <w:sz w:val="24"/>
                <w:szCs w:val="24"/>
              </w:rPr>
            </w:pPr>
            <w:r>
              <w:rPr>
                <w:bCs/>
                <w:color w:val="000000"/>
                <w:sz w:val="24"/>
                <w:szCs w:val="24"/>
              </w:rPr>
              <w:t>3.0703%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冯华</w:t>
            </w:r>
          </w:p>
        </w:tc>
        <w:tc>
          <w:tcPr>
            <w:tcW w:w="2758" w:type="dxa"/>
            <w:vAlign w:val="center"/>
          </w:tcPr>
          <w:p>
            <w:pPr>
              <w:widowControl/>
              <w:jc w:val="right"/>
              <w:rPr>
                <w:color w:val="000000"/>
                <w:sz w:val="24"/>
              </w:rPr>
            </w:pPr>
            <w:r>
              <w:rPr>
                <w:color w:val="000000"/>
                <w:sz w:val="24"/>
              </w:rPr>
              <w:t>75.</w:t>
            </w:r>
            <w:r>
              <w:rPr>
                <w:bCs/>
                <w:color w:val="000000"/>
                <w:sz w:val="24"/>
                <w:szCs w:val="24"/>
              </w:rPr>
              <w:t>0000</w:t>
            </w:r>
            <w:r>
              <w:rPr>
                <w:color w:val="000000"/>
                <w:sz w:val="24"/>
              </w:rPr>
              <w:t xml:space="preserve"> </w:t>
            </w:r>
          </w:p>
        </w:tc>
        <w:tc>
          <w:tcPr>
            <w:tcW w:w="2788" w:type="dxa"/>
            <w:vAlign w:val="center"/>
          </w:tcPr>
          <w:p>
            <w:pPr>
              <w:widowControl/>
              <w:jc w:val="right"/>
              <w:rPr>
                <w:bCs/>
                <w:color w:val="000000"/>
                <w:sz w:val="24"/>
                <w:szCs w:val="24"/>
              </w:rPr>
            </w:pPr>
            <w:r>
              <w:rPr>
                <w:bCs/>
                <w:color w:val="000000"/>
                <w:sz w:val="24"/>
                <w:szCs w:val="24"/>
              </w:rPr>
              <w:t>2.1672%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上海芯胜企业管理咨询中心（有限合伙）</w:t>
            </w:r>
          </w:p>
        </w:tc>
        <w:tc>
          <w:tcPr>
            <w:tcW w:w="2758" w:type="dxa"/>
            <w:vAlign w:val="center"/>
          </w:tcPr>
          <w:p>
            <w:pPr>
              <w:widowControl/>
              <w:jc w:val="right"/>
              <w:rPr>
                <w:color w:val="000000"/>
                <w:sz w:val="24"/>
              </w:rPr>
            </w:pPr>
            <w:r>
              <w:rPr>
                <w:color w:val="000000"/>
                <w:sz w:val="24"/>
              </w:rPr>
              <w:t>195.</w:t>
            </w:r>
            <w:r>
              <w:rPr>
                <w:bCs/>
                <w:color w:val="000000"/>
                <w:sz w:val="24"/>
                <w:szCs w:val="24"/>
              </w:rPr>
              <w:t>0000</w:t>
            </w:r>
            <w:r>
              <w:rPr>
                <w:color w:val="000000"/>
                <w:sz w:val="24"/>
              </w:rPr>
              <w:t xml:space="preserve"> </w:t>
            </w:r>
          </w:p>
        </w:tc>
        <w:tc>
          <w:tcPr>
            <w:tcW w:w="2788" w:type="dxa"/>
            <w:vAlign w:val="center"/>
          </w:tcPr>
          <w:p>
            <w:pPr>
              <w:widowControl/>
              <w:jc w:val="right"/>
              <w:rPr>
                <w:bCs/>
                <w:color w:val="000000"/>
                <w:sz w:val="24"/>
                <w:szCs w:val="24"/>
              </w:rPr>
            </w:pPr>
            <w:r>
              <w:rPr>
                <w:bCs/>
                <w:color w:val="000000"/>
                <w:sz w:val="24"/>
                <w:szCs w:val="24"/>
              </w:rPr>
              <w:t>5.6348%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陈宁生</w:t>
            </w:r>
          </w:p>
        </w:tc>
        <w:tc>
          <w:tcPr>
            <w:tcW w:w="2758" w:type="dxa"/>
            <w:vAlign w:val="center"/>
          </w:tcPr>
          <w:p>
            <w:pPr>
              <w:widowControl/>
              <w:jc w:val="right"/>
              <w:rPr>
                <w:color w:val="000000"/>
                <w:sz w:val="24"/>
              </w:rPr>
            </w:pPr>
            <w:r>
              <w:rPr>
                <w:color w:val="000000"/>
                <w:sz w:val="24"/>
              </w:rPr>
              <w:t xml:space="preserve">145.5027 </w:t>
            </w:r>
          </w:p>
        </w:tc>
        <w:tc>
          <w:tcPr>
            <w:tcW w:w="2788" w:type="dxa"/>
            <w:vAlign w:val="center"/>
          </w:tcPr>
          <w:p>
            <w:pPr>
              <w:widowControl/>
              <w:jc w:val="right"/>
              <w:rPr>
                <w:bCs/>
                <w:color w:val="000000"/>
                <w:sz w:val="24"/>
                <w:szCs w:val="24"/>
              </w:rPr>
            </w:pPr>
            <w:r>
              <w:rPr>
                <w:bCs/>
                <w:color w:val="000000"/>
                <w:sz w:val="24"/>
                <w:szCs w:val="24"/>
              </w:rPr>
              <w:t>4.2045%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eastAsia="新宋体"/>
                <w:b/>
                <w:color w:val="000000"/>
                <w:sz w:val="24"/>
                <w:szCs w:val="24"/>
              </w:rPr>
              <w:t>上海晁裕科技合伙企业（有限合伙）</w:t>
            </w:r>
          </w:p>
        </w:tc>
        <w:tc>
          <w:tcPr>
            <w:tcW w:w="2758" w:type="dxa"/>
            <w:vAlign w:val="center"/>
          </w:tcPr>
          <w:p>
            <w:pPr>
              <w:widowControl/>
              <w:jc w:val="right"/>
              <w:rPr>
                <w:bCs/>
                <w:color w:val="000000"/>
                <w:sz w:val="24"/>
                <w:szCs w:val="24"/>
              </w:rPr>
            </w:pPr>
            <w:r>
              <w:rPr>
                <w:bCs/>
                <w:color w:val="000000"/>
                <w:sz w:val="24"/>
                <w:szCs w:val="24"/>
              </w:rPr>
              <w:t xml:space="preserve">39.4376 </w:t>
            </w:r>
          </w:p>
        </w:tc>
        <w:tc>
          <w:tcPr>
            <w:tcW w:w="2788" w:type="dxa"/>
            <w:vAlign w:val="center"/>
          </w:tcPr>
          <w:p>
            <w:pPr>
              <w:widowControl/>
              <w:jc w:val="right"/>
              <w:rPr>
                <w:bCs/>
                <w:color w:val="000000"/>
                <w:sz w:val="24"/>
                <w:szCs w:val="24"/>
              </w:rPr>
            </w:pPr>
            <w:r>
              <w:rPr>
                <w:bCs/>
                <w:color w:val="000000"/>
                <w:sz w:val="24"/>
                <w:szCs w:val="24"/>
              </w:rPr>
              <w:t>1.1396%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广东广祺肆号股权投资合伙企业（有限合伙）</w:t>
            </w:r>
          </w:p>
        </w:tc>
        <w:tc>
          <w:tcPr>
            <w:tcW w:w="2758" w:type="dxa"/>
            <w:vAlign w:val="center"/>
          </w:tcPr>
          <w:p>
            <w:pPr>
              <w:widowControl/>
              <w:jc w:val="right"/>
              <w:rPr>
                <w:color w:val="000000"/>
                <w:sz w:val="24"/>
              </w:rPr>
            </w:pPr>
            <w:r>
              <w:rPr>
                <w:color w:val="000000"/>
                <w:sz w:val="24"/>
              </w:rPr>
              <w:t>132.2742</w:t>
            </w:r>
            <w:r>
              <w:rPr>
                <w:bCs/>
                <w:color w:val="000000"/>
                <w:sz w:val="24"/>
                <w:szCs w:val="24"/>
              </w:rPr>
              <w:t xml:space="preserve"> </w:t>
            </w:r>
          </w:p>
        </w:tc>
        <w:tc>
          <w:tcPr>
            <w:tcW w:w="2788" w:type="dxa"/>
            <w:vAlign w:val="center"/>
          </w:tcPr>
          <w:p>
            <w:pPr>
              <w:widowControl/>
              <w:jc w:val="right"/>
              <w:rPr>
                <w:bCs/>
                <w:color w:val="000000"/>
                <w:sz w:val="24"/>
                <w:szCs w:val="24"/>
              </w:rPr>
            </w:pPr>
            <w:r>
              <w:rPr>
                <w:bCs/>
                <w:color w:val="000000"/>
                <w:sz w:val="24"/>
                <w:szCs w:val="24"/>
              </w:rPr>
              <w:t>3.8222%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嘉兴创荣股权投资合伙企业（有限合伙）</w:t>
            </w:r>
          </w:p>
        </w:tc>
        <w:tc>
          <w:tcPr>
            <w:tcW w:w="2758" w:type="dxa"/>
            <w:vAlign w:val="center"/>
          </w:tcPr>
          <w:p>
            <w:pPr>
              <w:widowControl/>
              <w:jc w:val="right"/>
              <w:rPr>
                <w:color w:val="000000"/>
                <w:sz w:val="24"/>
              </w:rPr>
            </w:pPr>
            <w:r>
              <w:rPr>
                <w:bCs/>
                <w:color w:val="000000"/>
                <w:sz w:val="24"/>
                <w:szCs w:val="24"/>
              </w:rPr>
              <w:t xml:space="preserve">138.5208 </w:t>
            </w:r>
          </w:p>
        </w:tc>
        <w:tc>
          <w:tcPr>
            <w:tcW w:w="2788" w:type="dxa"/>
            <w:vAlign w:val="center"/>
          </w:tcPr>
          <w:p>
            <w:pPr>
              <w:widowControl/>
              <w:jc w:val="right"/>
              <w:rPr>
                <w:bCs/>
                <w:color w:val="000000"/>
                <w:sz w:val="24"/>
                <w:szCs w:val="24"/>
              </w:rPr>
            </w:pPr>
            <w:r>
              <w:rPr>
                <w:bCs/>
                <w:color w:val="000000"/>
                <w:sz w:val="24"/>
                <w:szCs w:val="24"/>
              </w:rPr>
              <w:t>4.0027%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深圳市投控东海中小微创业投资企业（有限合伙）</w:t>
            </w:r>
          </w:p>
        </w:tc>
        <w:tc>
          <w:tcPr>
            <w:tcW w:w="2758" w:type="dxa"/>
            <w:vAlign w:val="center"/>
          </w:tcPr>
          <w:p>
            <w:pPr>
              <w:widowControl/>
              <w:jc w:val="right"/>
              <w:rPr>
                <w:color w:val="000000"/>
                <w:sz w:val="24"/>
              </w:rPr>
            </w:pPr>
            <w:r>
              <w:rPr>
                <w:color w:val="000000"/>
                <w:sz w:val="24"/>
              </w:rPr>
              <w:t>79.3645</w:t>
            </w:r>
            <w:r>
              <w:rPr>
                <w:bCs/>
                <w:color w:val="000000"/>
                <w:sz w:val="24"/>
                <w:szCs w:val="24"/>
              </w:rPr>
              <w:t xml:space="preserve"> </w:t>
            </w:r>
          </w:p>
        </w:tc>
        <w:tc>
          <w:tcPr>
            <w:tcW w:w="2788" w:type="dxa"/>
            <w:vAlign w:val="center"/>
          </w:tcPr>
          <w:p>
            <w:pPr>
              <w:widowControl/>
              <w:jc w:val="right"/>
              <w:rPr>
                <w:bCs/>
                <w:color w:val="000000"/>
                <w:sz w:val="24"/>
                <w:szCs w:val="24"/>
              </w:rPr>
            </w:pPr>
            <w:r>
              <w:rPr>
                <w:bCs/>
                <w:color w:val="000000"/>
                <w:sz w:val="24"/>
                <w:szCs w:val="24"/>
              </w:rPr>
              <w:t>2.2933%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格尔软件股份有限公司</w:t>
            </w:r>
          </w:p>
        </w:tc>
        <w:tc>
          <w:tcPr>
            <w:tcW w:w="2758" w:type="dxa"/>
            <w:vAlign w:val="center"/>
          </w:tcPr>
          <w:p>
            <w:pPr>
              <w:widowControl/>
              <w:jc w:val="right"/>
              <w:rPr>
                <w:color w:val="000000"/>
                <w:sz w:val="24"/>
              </w:rPr>
            </w:pPr>
            <w:r>
              <w:rPr>
                <w:bCs/>
                <w:color w:val="000000"/>
                <w:sz w:val="24"/>
                <w:szCs w:val="24"/>
              </w:rPr>
              <w:t xml:space="preserve">62.7691 </w:t>
            </w:r>
          </w:p>
        </w:tc>
        <w:tc>
          <w:tcPr>
            <w:tcW w:w="2788" w:type="dxa"/>
            <w:vAlign w:val="center"/>
          </w:tcPr>
          <w:p>
            <w:pPr>
              <w:widowControl/>
              <w:jc w:val="right"/>
              <w:rPr>
                <w:bCs/>
                <w:color w:val="000000"/>
                <w:sz w:val="24"/>
                <w:szCs w:val="24"/>
              </w:rPr>
            </w:pPr>
            <w:r>
              <w:rPr>
                <w:bCs/>
                <w:color w:val="000000"/>
                <w:sz w:val="24"/>
                <w:szCs w:val="24"/>
              </w:rPr>
              <w:t>1.8138%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b/>
                <w:color w:val="000000"/>
                <w:sz w:val="24"/>
              </w:rPr>
              <w:t>上海火山石二期创业投资合伙企业（有限合伙）</w:t>
            </w:r>
          </w:p>
        </w:tc>
        <w:tc>
          <w:tcPr>
            <w:tcW w:w="2758" w:type="dxa"/>
            <w:vAlign w:val="center"/>
          </w:tcPr>
          <w:p>
            <w:pPr>
              <w:widowControl/>
              <w:jc w:val="right"/>
              <w:rPr>
                <w:color w:val="000000"/>
                <w:sz w:val="24"/>
              </w:rPr>
            </w:pPr>
            <w:r>
              <w:rPr>
                <w:bCs/>
                <w:color w:val="000000"/>
                <w:sz w:val="24"/>
                <w:szCs w:val="24"/>
              </w:rPr>
              <w:t xml:space="preserve">72.6285 </w:t>
            </w:r>
          </w:p>
        </w:tc>
        <w:tc>
          <w:tcPr>
            <w:tcW w:w="2788" w:type="dxa"/>
            <w:vAlign w:val="center"/>
          </w:tcPr>
          <w:p>
            <w:pPr>
              <w:widowControl/>
              <w:jc w:val="right"/>
              <w:rPr>
                <w:bCs/>
                <w:color w:val="000000"/>
                <w:sz w:val="24"/>
                <w:szCs w:val="24"/>
              </w:rPr>
            </w:pPr>
            <w:r>
              <w:rPr>
                <w:bCs/>
                <w:color w:val="000000"/>
                <w:sz w:val="24"/>
                <w:szCs w:val="24"/>
              </w:rPr>
              <w:t>2.0987%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ascii="新宋体" w:hAnsi="新宋体" w:eastAsia="新宋体"/>
                <w:b/>
                <w:color w:val="000000"/>
                <w:sz w:val="24"/>
                <w:szCs w:val="24"/>
              </w:rPr>
              <w:t>上海国策科技制造股权投资基金合伙企业（有限合伙）</w:t>
            </w:r>
          </w:p>
        </w:tc>
        <w:tc>
          <w:tcPr>
            <w:tcW w:w="2758" w:type="dxa"/>
            <w:vAlign w:val="center"/>
          </w:tcPr>
          <w:p>
            <w:pPr>
              <w:widowControl/>
              <w:jc w:val="right"/>
              <w:rPr>
                <w:bCs/>
                <w:color w:val="000000"/>
                <w:sz w:val="24"/>
                <w:szCs w:val="24"/>
              </w:rPr>
            </w:pPr>
            <w:r>
              <w:rPr>
                <w:bCs/>
                <w:color w:val="000000"/>
                <w:sz w:val="24"/>
                <w:szCs w:val="24"/>
              </w:rPr>
              <w:t xml:space="preserve">70.2075 </w:t>
            </w:r>
          </w:p>
        </w:tc>
        <w:tc>
          <w:tcPr>
            <w:tcW w:w="2788" w:type="dxa"/>
            <w:vAlign w:val="center"/>
          </w:tcPr>
          <w:p>
            <w:pPr>
              <w:widowControl/>
              <w:jc w:val="right"/>
              <w:rPr>
                <w:bCs/>
                <w:color w:val="000000"/>
                <w:sz w:val="24"/>
                <w:szCs w:val="24"/>
              </w:rPr>
            </w:pPr>
            <w:r>
              <w:rPr>
                <w:bCs/>
                <w:color w:val="000000"/>
                <w:sz w:val="24"/>
                <w:szCs w:val="24"/>
              </w:rPr>
              <w:t>2.0287%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bCs/>
                <w:color w:val="000000"/>
                <w:kern w:val="0"/>
                <w:sz w:val="24"/>
                <w:szCs w:val="24"/>
              </w:rPr>
            </w:pPr>
            <w:r>
              <w:rPr>
                <w:rFonts w:hint="eastAsia" w:ascii="新宋体" w:hAnsi="新宋体" w:eastAsia="新宋体"/>
                <w:b/>
                <w:color w:val="000000"/>
                <w:sz w:val="24"/>
                <w:szCs w:val="24"/>
              </w:rPr>
              <w:t>上海歆檀企业管理咨询中心（有限合伙）</w:t>
            </w:r>
          </w:p>
        </w:tc>
        <w:tc>
          <w:tcPr>
            <w:tcW w:w="2758" w:type="dxa"/>
            <w:vAlign w:val="center"/>
          </w:tcPr>
          <w:p>
            <w:pPr>
              <w:widowControl/>
              <w:jc w:val="right"/>
              <w:rPr>
                <w:bCs/>
                <w:color w:val="000000"/>
                <w:sz w:val="24"/>
                <w:szCs w:val="24"/>
              </w:rPr>
            </w:pPr>
            <w:r>
              <w:rPr>
                <w:bCs/>
                <w:color w:val="000000"/>
                <w:sz w:val="24"/>
                <w:szCs w:val="24"/>
              </w:rPr>
              <w:t xml:space="preserve">152.1163 </w:t>
            </w:r>
          </w:p>
        </w:tc>
        <w:tc>
          <w:tcPr>
            <w:tcW w:w="2788" w:type="dxa"/>
            <w:vAlign w:val="center"/>
          </w:tcPr>
          <w:p>
            <w:pPr>
              <w:widowControl/>
              <w:jc w:val="right"/>
              <w:rPr>
                <w:bCs/>
                <w:color w:val="000000"/>
                <w:sz w:val="24"/>
                <w:szCs w:val="24"/>
              </w:rPr>
            </w:pPr>
            <w:r>
              <w:rPr>
                <w:bCs/>
                <w:color w:val="000000"/>
                <w:sz w:val="24"/>
                <w:szCs w:val="24"/>
              </w:rPr>
              <w:t>4.3956%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rFonts w:eastAsia="Times New Roman"/>
                <w:b/>
                <w:color w:val="000000"/>
                <w:sz w:val="24"/>
                <w:szCs w:val="24"/>
              </w:rPr>
            </w:pPr>
            <w:r>
              <w:rPr>
                <w:rFonts w:hint="eastAsia"/>
                <w:b/>
                <w:color w:val="000000"/>
                <w:sz w:val="24"/>
              </w:rPr>
              <w:t>苏州方广三期创业投资合伙企业（有限合伙）</w:t>
            </w:r>
          </w:p>
        </w:tc>
        <w:tc>
          <w:tcPr>
            <w:tcW w:w="2758" w:type="dxa"/>
            <w:vAlign w:val="center"/>
          </w:tcPr>
          <w:p>
            <w:pPr>
              <w:widowControl/>
              <w:jc w:val="right"/>
              <w:rPr>
                <w:color w:val="000000"/>
                <w:sz w:val="24"/>
              </w:rPr>
            </w:pPr>
            <w:r>
              <w:rPr>
                <w:bCs/>
                <w:color w:val="000000"/>
                <w:sz w:val="24"/>
                <w:szCs w:val="24"/>
              </w:rPr>
              <w:t xml:space="preserve">98.7122 </w:t>
            </w:r>
          </w:p>
        </w:tc>
        <w:tc>
          <w:tcPr>
            <w:tcW w:w="2788" w:type="dxa"/>
            <w:vAlign w:val="center"/>
          </w:tcPr>
          <w:p>
            <w:pPr>
              <w:widowControl/>
              <w:jc w:val="right"/>
              <w:rPr>
                <w:color w:val="000000"/>
                <w:sz w:val="24"/>
              </w:rPr>
            </w:pPr>
            <w:r>
              <w:rPr>
                <w:bCs/>
                <w:color w:val="000000"/>
                <w:sz w:val="24"/>
                <w:szCs w:val="24"/>
              </w:rPr>
              <w:t>2.8524%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vAlign w:val="center"/>
          </w:tcPr>
          <w:p>
            <w:pPr>
              <w:widowControl/>
              <w:jc w:val="center"/>
              <w:rPr>
                <w:b/>
                <w:color w:val="000000"/>
                <w:sz w:val="24"/>
                <w:szCs w:val="24"/>
              </w:rPr>
            </w:pPr>
            <w:r>
              <w:rPr>
                <w:rFonts w:hint="eastAsia"/>
                <w:b/>
                <w:color w:val="000000"/>
                <w:sz w:val="24"/>
              </w:rPr>
              <w:t>常州方广三期股权投资合伙企业（有限合伙）</w:t>
            </w:r>
          </w:p>
        </w:tc>
        <w:tc>
          <w:tcPr>
            <w:tcW w:w="2758" w:type="dxa"/>
            <w:vAlign w:val="center"/>
          </w:tcPr>
          <w:p>
            <w:pPr>
              <w:widowControl/>
              <w:jc w:val="right"/>
              <w:rPr>
                <w:color w:val="000000"/>
                <w:sz w:val="24"/>
              </w:rPr>
            </w:pPr>
            <w:r>
              <w:rPr>
                <w:bCs/>
                <w:color w:val="000000"/>
                <w:sz w:val="24"/>
                <w:szCs w:val="24"/>
              </w:rPr>
              <w:t xml:space="preserve">39.3192 </w:t>
            </w:r>
          </w:p>
        </w:tc>
        <w:tc>
          <w:tcPr>
            <w:tcW w:w="2788" w:type="dxa"/>
            <w:vAlign w:val="center"/>
          </w:tcPr>
          <w:p>
            <w:pPr>
              <w:widowControl/>
              <w:jc w:val="right"/>
              <w:rPr>
                <w:color w:val="000000"/>
                <w:sz w:val="24"/>
              </w:rPr>
            </w:pPr>
            <w:r>
              <w:rPr>
                <w:bCs/>
                <w:color w:val="000000"/>
                <w:sz w:val="24"/>
                <w:szCs w:val="24"/>
              </w:rPr>
              <w:t>1.1362%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6" w:type="dxa"/>
          </w:tcPr>
          <w:p>
            <w:pPr>
              <w:widowControl/>
              <w:jc w:val="center"/>
              <w:rPr>
                <w:rFonts w:eastAsia="Times New Roman"/>
                <w:b/>
                <w:color w:val="000000"/>
                <w:sz w:val="24"/>
                <w:szCs w:val="24"/>
              </w:rPr>
            </w:pPr>
            <w:r>
              <w:rPr>
                <w:rFonts w:hint="eastAsia"/>
                <w:b/>
                <w:color w:val="000000"/>
                <w:sz w:val="24"/>
                <w:szCs w:val="24"/>
              </w:rPr>
              <w:t>总计</w:t>
            </w:r>
          </w:p>
        </w:tc>
        <w:tc>
          <w:tcPr>
            <w:tcW w:w="2758" w:type="dxa"/>
            <w:vAlign w:val="center"/>
          </w:tcPr>
          <w:p>
            <w:pPr>
              <w:widowControl/>
              <w:jc w:val="right"/>
              <w:rPr>
                <w:color w:val="000000"/>
                <w:sz w:val="24"/>
              </w:rPr>
            </w:pPr>
            <w:r>
              <w:rPr>
                <w:bCs/>
                <w:color w:val="000000"/>
                <w:sz w:val="24"/>
                <w:szCs w:val="24"/>
              </w:rPr>
              <w:t xml:space="preserve">3,460.6451 </w:t>
            </w:r>
          </w:p>
        </w:tc>
        <w:tc>
          <w:tcPr>
            <w:tcW w:w="2788" w:type="dxa"/>
            <w:vAlign w:val="center"/>
          </w:tcPr>
          <w:p>
            <w:pPr>
              <w:widowControl/>
              <w:jc w:val="right"/>
              <w:rPr>
                <w:color w:val="000000"/>
                <w:sz w:val="24"/>
              </w:rPr>
            </w:pPr>
            <w:r>
              <w:rPr>
                <w:bCs/>
                <w:color w:val="000000"/>
                <w:sz w:val="24"/>
                <w:szCs w:val="24"/>
              </w:rPr>
              <w:t>100.00%</w:t>
            </w:r>
          </w:p>
        </w:tc>
      </w:tr>
    </w:tbl>
    <w:p>
      <w:pPr>
        <w:pStyle w:val="19"/>
        <w:spacing w:line="360" w:lineRule="auto"/>
        <w:ind w:firstLine="420"/>
        <w:jc w:val="both"/>
        <w:rPr>
          <w:rFonts w:ascii="Times New Roman" w:hAnsi="Times New Roman" w:cs="Times New Roman" w:eastAsiaTheme="minorEastAsia"/>
        </w:rPr>
      </w:pPr>
    </w:p>
    <w:p>
      <w:pPr>
        <w:pStyle w:val="19"/>
        <w:spacing w:line="360" w:lineRule="auto"/>
        <w:ind w:firstLine="420"/>
        <w:jc w:val="both"/>
        <w:rPr>
          <w:rFonts w:ascii="Times New Roman" w:hAnsi="Times New Roman" w:cs="Times New Roman" w:eastAsiaTheme="minorEastAsia"/>
        </w:rPr>
      </w:pPr>
      <w:r>
        <w:rPr>
          <w:rFonts w:hint="eastAsia" w:ascii="Times New Roman" w:hAnsi="Times New Roman" w:cs="Times New Roman" w:eastAsiaTheme="minorEastAsia"/>
        </w:rPr>
        <w:t>上海芯钛主要财务指标如下：</w:t>
      </w:r>
    </w:p>
    <w:p>
      <w:pPr>
        <w:pStyle w:val="19"/>
        <w:spacing w:line="360" w:lineRule="auto"/>
        <w:jc w:val="right"/>
        <w:rPr>
          <w:rFonts w:ascii="Times New Roman" w:hAnsi="Times New Roman" w:cs="Times New Roman" w:eastAsiaTheme="minorEastAsia"/>
        </w:rPr>
      </w:pPr>
      <w:r>
        <w:rPr>
          <w:rFonts w:hint="eastAsia" w:hAnsi="宋体" w:eastAsiaTheme="minorEastAsia"/>
        </w:rPr>
        <w:t>单位：人民币 万元</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4"/>
        <w:gridCol w:w="2771"/>
        <w:gridCol w:w="2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4"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主要财务指标类别</w:t>
            </w:r>
          </w:p>
        </w:tc>
        <w:tc>
          <w:tcPr>
            <w:tcW w:w="2771"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2021年12月31日</w:t>
            </w:r>
          </w:p>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（2021年度）</w:t>
            </w:r>
          </w:p>
        </w:tc>
        <w:tc>
          <w:tcPr>
            <w:tcW w:w="2771"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2022年</w:t>
            </w:r>
            <w:r>
              <w:rPr>
                <w:rFonts w:ascii="Times New Roman" w:hAnsi="Times New Roman" w:cs="Times New Roman" w:eastAsiaTheme="minorEastAsia"/>
              </w:rPr>
              <w:t>6</w:t>
            </w:r>
            <w:r>
              <w:rPr>
                <w:rFonts w:hint="eastAsia" w:ascii="Times New Roman" w:hAnsi="Times New Roman" w:cs="Times New Roman" w:eastAsiaTheme="minorEastAsia"/>
              </w:rPr>
              <w:t>月30日</w:t>
            </w:r>
          </w:p>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（2022年1-</w:t>
            </w:r>
            <w:r>
              <w:rPr>
                <w:rFonts w:ascii="Times New Roman" w:hAnsi="Times New Roman" w:cs="Times New Roman" w:eastAsiaTheme="minorEastAsia"/>
              </w:rPr>
              <w:t>6</w:t>
            </w:r>
            <w:r>
              <w:rPr>
                <w:rFonts w:hint="eastAsia" w:ascii="Times New Roman" w:hAnsi="Times New Roman" w:cs="Times New Roman" w:eastAsiaTheme="minorEastAsia"/>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4"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资产总额</w:t>
            </w:r>
          </w:p>
        </w:tc>
        <w:tc>
          <w:tcPr>
            <w:tcW w:w="277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7</w:t>
            </w:r>
            <w:r>
              <w:rPr>
                <w:rFonts w:ascii="Times New Roman" w:hAnsi="Times New Roman" w:cs="Times New Roman" w:eastAsiaTheme="minorEastAsia"/>
              </w:rPr>
              <w:t>,</w:t>
            </w:r>
            <w:r>
              <w:rPr>
                <w:rFonts w:hint="eastAsia" w:ascii="Times New Roman" w:hAnsi="Times New Roman" w:cs="Times New Roman" w:eastAsiaTheme="minorEastAsia"/>
              </w:rPr>
              <w:t>882</w:t>
            </w:r>
          </w:p>
        </w:tc>
        <w:tc>
          <w:tcPr>
            <w:tcW w:w="277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16,109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4"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资产净额</w:t>
            </w:r>
          </w:p>
        </w:tc>
        <w:tc>
          <w:tcPr>
            <w:tcW w:w="277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4</w:t>
            </w:r>
            <w:r>
              <w:rPr>
                <w:rFonts w:ascii="Times New Roman" w:hAnsi="Times New Roman" w:cs="Times New Roman" w:eastAsiaTheme="minorEastAsia"/>
              </w:rPr>
              <w:t>,</w:t>
            </w:r>
            <w:r>
              <w:rPr>
                <w:rFonts w:hint="eastAsia" w:ascii="Times New Roman" w:hAnsi="Times New Roman" w:cs="Times New Roman" w:eastAsiaTheme="minorEastAsia"/>
              </w:rPr>
              <w:t>543</w:t>
            </w:r>
          </w:p>
        </w:tc>
        <w:tc>
          <w:tcPr>
            <w:tcW w:w="277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16</w:t>
            </w:r>
            <w:r>
              <w:rPr>
                <w:rFonts w:ascii="Times New Roman" w:hAnsi="Times New Roman" w:cs="Times New Roman" w:eastAsiaTheme="minorEastAsia"/>
              </w:rPr>
              <w:t>,</w:t>
            </w:r>
            <w:r>
              <w:rPr>
                <w:rFonts w:hint="eastAsia" w:ascii="Times New Roman" w:hAnsi="Times New Roman" w:cs="Times New Roman" w:eastAsiaTheme="minorEastAsia"/>
              </w:rPr>
              <w:t>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4"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营业收入</w:t>
            </w:r>
          </w:p>
        </w:tc>
        <w:tc>
          <w:tcPr>
            <w:tcW w:w="277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w:t>
            </w:r>
            <w:r>
              <w:rPr>
                <w:rFonts w:ascii="Times New Roman" w:hAnsi="Times New Roman" w:cs="Times New Roman" w:eastAsiaTheme="minorEastAsia"/>
              </w:rPr>
              <w:t>,</w:t>
            </w:r>
            <w:r>
              <w:rPr>
                <w:rFonts w:hint="eastAsia" w:ascii="Times New Roman" w:hAnsi="Times New Roman" w:cs="Times New Roman" w:eastAsiaTheme="minorEastAsia"/>
              </w:rPr>
              <w:t>986</w:t>
            </w:r>
          </w:p>
        </w:tc>
        <w:tc>
          <w:tcPr>
            <w:tcW w:w="277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w:t>
            </w:r>
            <w:r>
              <w:rPr>
                <w:rFonts w:ascii="Times New Roman" w:hAnsi="Times New Roman" w:cs="Times New Roman" w:eastAsiaTheme="minorEastAsia"/>
              </w:rPr>
              <w:t>,</w:t>
            </w:r>
            <w:r>
              <w:rPr>
                <w:rFonts w:hint="eastAsia" w:ascii="Times New Roman" w:hAnsi="Times New Roman" w:cs="Times New Roman" w:eastAsiaTheme="minorEastAsia"/>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4" w:type="dxa"/>
          </w:tcPr>
          <w:p>
            <w:pPr>
              <w:pStyle w:val="19"/>
              <w:spacing w:line="360" w:lineRule="auto"/>
              <w:jc w:val="center"/>
              <w:rPr>
                <w:rFonts w:ascii="Times New Roman" w:hAnsi="Times New Roman" w:cs="Times New Roman" w:eastAsiaTheme="minorEastAsia"/>
              </w:rPr>
            </w:pPr>
            <w:r>
              <w:rPr>
                <w:rFonts w:hint="eastAsia" w:ascii="Times New Roman" w:hAnsi="Times New Roman" w:cs="Times New Roman" w:eastAsiaTheme="minorEastAsia"/>
              </w:rPr>
              <w:t>净利润</w:t>
            </w:r>
          </w:p>
        </w:tc>
        <w:tc>
          <w:tcPr>
            <w:tcW w:w="277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-7</w:t>
            </w:r>
            <w:r>
              <w:rPr>
                <w:rFonts w:ascii="Times New Roman" w:hAnsi="Times New Roman" w:cs="Times New Roman" w:eastAsiaTheme="minorEastAsia"/>
              </w:rPr>
              <w:t>,</w:t>
            </w:r>
            <w:r>
              <w:rPr>
                <w:rFonts w:hint="eastAsia" w:ascii="Times New Roman" w:hAnsi="Times New Roman" w:cs="Times New Roman" w:eastAsiaTheme="minorEastAsia"/>
              </w:rPr>
              <w:t>156</w:t>
            </w:r>
          </w:p>
        </w:tc>
        <w:tc>
          <w:tcPr>
            <w:tcW w:w="2771" w:type="dxa"/>
          </w:tcPr>
          <w:p>
            <w:pPr>
              <w:pStyle w:val="19"/>
              <w:spacing w:line="360" w:lineRule="auto"/>
              <w:jc w:val="right"/>
              <w:rPr>
                <w:rFonts w:ascii="Times New Roman" w:hAnsi="Times New Roman" w:cs="Times New Roman" w:eastAsiaTheme="minorEastAsia"/>
              </w:rPr>
            </w:pPr>
            <w:r>
              <w:rPr>
                <w:rFonts w:hint="eastAsia" w:ascii="Times New Roman" w:hAnsi="Times New Roman" w:cs="Times New Roman" w:eastAsiaTheme="minorEastAsia"/>
              </w:rPr>
              <w:t>-1,482</w:t>
            </w:r>
          </w:p>
        </w:tc>
      </w:tr>
    </w:tbl>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上海芯钛2021年度财务数据经上海中惠会计师事务所有限公司审计，2022年1-6月财务数据未经审计。</w:t>
      </w:r>
    </w:p>
    <w:p>
      <w:pPr>
        <w:pStyle w:val="19"/>
        <w:numPr>
          <w:ilvl w:val="0"/>
          <w:numId w:val="2"/>
        </w:numPr>
        <w:spacing w:before="156" w:beforeLines="50" w:after="156" w:afterLines="50" w:line="360" w:lineRule="auto"/>
        <w:rPr>
          <w:rFonts w:ascii="Times New Roman" w:hAnsi="Times New Roman" w:cs="Times New Roman" w:eastAsiaTheme="minorEastAsia"/>
          <w:b/>
          <w:bCs/>
        </w:rPr>
      </w:pPr>
      <w:r>
        <w:rPr>
          <w:rFonts w:hint="eastAsia" w:ascii="Times New Roman" w:hAnsi="Times New Roman" w:cs="Times New Roman" w:eastAsiaTheme="minorEastAsia"/>
          <w:b/>
          <w:bCs/>
        </w:rPr>
        <w:t>本次增资主体的基本情况</w:t>
      </w:r>
    </w:p>
    <w:p>
      <w:pPr>
        <w:pStyle w:val="19"/>
        <w:numPr>
          <w:ilvl w:val="0"/>
          <w:numId w:val="7"/>
        </w:numPr>
        <w:spacing w:line="360" w:lineRule="auto"/>
        <w:ind w:left="420"/>
        <w:rPr>
          <w:rFonts w:ascii="Times New Roman" w:hAnsi="Times New Roman" w:cs="Times New Roman" w:eastAsiaTheme="minorEastAsia"/>
        </w:rPr>
      </w:pPr>
      <w:r>
        <w:rPr>
          <w:rFonts w:hint="eastAsia" w:eastAsiaTheme="minorEastAsia"/>
          <w:lang w:bidi="ar"/>
        </w:rPr>
        <w:t>嘉兴上汽创永股权投资合伙企业（有限合伙）</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1"/>
        <w:gridCol w:w="6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96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6335" w:type="dxa"/>
          </w:tcPr>
          <w:p>
            <w:pPr>
              <w:pStyle w:val="19"/>
              <w:spacing w:line="360" w:lineRule="auto"/>
              <w:jc w:val="both"/>
              <w:rPr>
                <w:rFonts w:ascii="Times New Roman" w:hAnsi="Times New Roman" w:cs="Times New Roman" w:eastAsiaTheme="minorEastAsia"/>
              </w:rPr>
            </w:pPr>
            <w:r>
              <w:rPr>
                <w:rFonts w:hint="eastAsia" w:eastAsiaTheme="minorEastAsia"/>
                <w:lang w:bidi="ar"/>
              </w:rPr>
              <w:t>嘉兴上汽创永股权投资合伙企业（有限合伙）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633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执行事务合伙人</w:t>
            </w:r>
          </w:p>
        </w:tc>
        <w:tc>
          <w:tcPr>
            <w:tcW w:w="633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上海上汽恒旭投资管理有限公司、上海尚颀投资管理合伙企业（有限合伙）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tcPr>
          <w:p>
            <w:pPr>
              <w:pStyle w:val="19"/>
              <w:spacing w:line="360" w:lineRule="auto"/>
              <w:jc w:val="both"/>
              <w:rPr>
                <w:rFonts w:hint="eastAsia" w:ascii="Times New Roman" w:hAnsi="Times New Roman" w:cs="Times New Roman" w:eastAsiaTheme="minorEastAsia"/>
              </w:rPr>
            </w:pPr>
            <w:r>
              <w:rPr>
                <w:rFonts w:hint="eastAsia" w:ascii="Times New Roman" w:hAnsi="Times New Roman" w:cs="Times New Roman" w:eastAsiaTheme="minorEastAsia"/>
              </w:rPr>
              <w:t>统一社会信用代码</w:t>
            </w:r>
          </w:p>
        </w:tc>
        <w:tc>
          <w:tcPr>
            <w:tcW w:w="6335" w:type="dxa"/>
          </w:tcPr>
          <w:p>
            <w:pPr>
              <w:pStyle w:val="19"/>
              <w:spacing w:line="360" w:lineRule="auto"/>
              <w:jc w:val="both"/>
              <w:rPr>
                <w:rFonts w:hint="eastAsia" w:ascii="Times New Roman" w:hAnsi="Times New Roman" w:cs="Times New Roman" w:eastAsiaTheme="minorEastAsia"/>
              </w:rPr>
            </w:pPr>
            <w:r>
              <w:rPr>
                <w:rFonts w:hint="eastAsia" w:ascii="Times New Roman" w:hAnsi="Times New Roman" w:cs="Times New Roman" w:eastAsiaTheme="minorEastAsia"/>
              </w:rPr>
              <w:t>91330402MABRM3DB21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633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300,000万元人民币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633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2022年6月23日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633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2022年6月23日至无固定期限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633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浙江省嘉兴市南湖区东栅街道南江路1856号基金小镇1号楼189室-9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1"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6335"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一般项目：股权投资；投资咨询（除</w:t>
            </w:r>
            <w:r>
              <w:rPr>
                <w:rFonts w:ascii="Times New Roman" w:hAnsi="Times New Roman" w:cs="Times New Roman" w:eastAsiaTheme="minorEastAsia"/>
              </w:rPr>
              <w:t>依法须经批准的项目</w:t>
            </w:r>
            <w:r>
              <w:rPr>
                <w:rFonts w:hint="eastAsia" w:ascii="Times New Roman" w:hAnsi="Times New Roman" w:cs="Times New Roman" w:eastAsiaTheme="minorEastAsia"/>
              </w:rPr>
              <w:t>外，凭营业执照依法自主开展经营活动）</w:t>
            </w:r>
          </w:p>
        </w:tc>
      </w:tr>
    </w:tbl>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根据上海证券交易所《股票上市规则》</w:t>
      </w:r>
      <w:r>
        <w:rPr>
          <w:rFonts w:hint="eastAsia" w:ascii="Times New Roman" w:hAnsi="Times New Roman" w:cs="Times New Roman" w:eastAsiaTheme="minorEastAsia"/>
          <w:lang w:bidi="ar-SA"/>
        </w:rPr>
        <w:t>及相关法律法规，公司与</w:t>
      </w:r>
      <w:r>
        <w:rPr>
          <w:rFonts w:hint="eastAsia" w:ascii="Times New Roman" w:hAnsi="Times New Roman" w:cs="Times New Roman" w:eastAsiaTheme="minorEastAsia"/>
        </w:rPr>
        <w:t>嘉兴上汽不构成关联关系。</w:t>
      </w:r>
    </w:p>
    <w:p>
      <w:pPr>
        <w:pStyle w:val="19"/>
        <w:numPr>
          <w:ilvl w:val="0"/>
          <w:numId w:val="7"/>
        </w:numPr>
        <w:spacing w:line="360" w:lineRule="auto"/>
        <w:ind w:left="420"/>
        <w:rPr>
          <w:rFonts w:eastAsiaTheme="minorEastAsia"/>
          <w:lang w:bidi="ar"/>
        </w:rPr>
      </w:pPr>
      <w:r>
        <w:rPr>
          <w:rFonts w:hint="eastAsia" w:eastAsiaTheme="minorEastAsia"/>
          <w:lang w:bidi="ar"/>
        </w:rPr>
        <w:t>青岛上汽创新升级产业股权投资基金合伙企业（有限合伙）</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0"/>
        <w:gridCol w:w="6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960"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公司名称</w:t>
            </w:r>
          </w:p>
        </w:tc>
        <w:tc>
          <w:tcPr>
            <w:tcW w:w="6336" w:type="dxa"/>
          </w:tcPr>
          <w:p>
            <w:pPr>
              <w:pStyle w:val="19"/>
              <w:spacing w:line="360" w:lineRule="auto"/>
              <w:jc w:val="both"/>
              <w:rPr>
                <w:rFonts w:ascii="Times New Roman" w:hAnsi="Times New Roman" w:cs="Times New Roman" w:eastAsiaTheme="minorEastAsia"/>
              </w:rPr>
            </w:pPr>
            <w:r>
              <w:rPr>
                <w:rFonts w:hint="eastAsia" w:eastAsiaTheme="minorEastAsia"/>
                <w:lang w:bidi="ar"/>
              </w:rPr>
              <w:t>青岛上汽创新升级产业股权投资基金合伙企业（有限合伙）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公司类型</w:t>
            </w:r>
          </w:p>
        </w:tc>
        <w:tc>
          <w:tcPr>
            <w:tcW w:w="63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执行事务合伙人</w:t>
            </w:r>
          </w:p>
        </w:tc>
        <w:tc>
          <w:tcPr>
            <w:tcW w:w="63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上海尚颀投资管理合伙企业（有限合伙）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Pr>
          <w:p>
            <w:pPr>
              <w:pStyle w:val="19"/>
              <w:spacing w:line="360" w:lineRule="auto"/>
              <w:jc w:val="both"/>
              <w:rPr>
                <w:rFonts w:hint="eastAsia" w:ascii="Times New Roman" w:hAnsi="Times New Roman" w:cs="Times New Roman" w:eastAsiaTheme="minorEastAsia"/>
              </w:rPr>
            </w:pPr>
            <w:r>
              <w:rPr>
                <w:rFonts w:hint="eastAsia" w:ascii="Times New Roman" w:hAnsi="Times New Roman" w:cs="Times New Roman" w:eastAsiaTheme="minorEastAsia"/>
              </w:rPr>
              <w:t>统一社会信用代码</w:t>
            </w:r>
          </w:p>
        </w:tc>
        <w:tc>
          <w:tcPr>
            <w:tcW w:w="6336" w:type="dxa"/>
          </w:tcPr>
          <w:p>
            <w:pPr>
              <w:pStyle w:val="19"/>
              <w:spacing w:line="360" w:lineRule="auto"/>
              <w:jc w:val="both"/>
              <w:rPr>
                <w:rFonts w:hint="eastAsia" w:ascii="Times New Roman" w:hAnsi="Times New Roman" w:cs="Times New Roman" w:eastAsiaTheme="minorEastAsia"/>
              </w:rPr>
            </w:pPr>
            <w:r>
              <w:rPr>
                <w:rFonts w:hint="eastAsia" w:ascii="Times New Roman" w:hAnsi="Times New Roman" w:cs="Times New Roman" w:eastAsiaTheme="minorEastAsia"/>
              </w:rPr>
              <w:t>91370203MA3UTXE74K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注册资本</w:t>
            </w:r>
          </w:p>
        </w:tc>
        <w:tc>
          <w:tcPr>
            <w:tcW w:w="63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1,354,950万元人民币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成立日期</w:t>
            </w:r>
          </w:p>
        </w:tc>
        <w:tc>
          <w:tcPr>
            <w:tcW w:w="63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2021年1月12日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营业期限</w:t>
            </w:r>
          </w:p>
        </w:tc>
        <w:tc>
          <w:tcPr>
            <w:tcW w:w="63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2021年1月12日至无固定期限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住所</w:t>
            </w:r>
          </w:p>
        </w:tc>
        <w:tc>
          <w:tcPr>
            <w:tcW w:w="63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山东省青岛市市北区馆陶路34号6号楼101-01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经营范围</w:t>
            </w:r>
          </w:p>
        </w:tc>
        <w:tc>
          <w:tcPr>
            <w:tcW w:w="6336" w:type="dxa"/>
          </w:tcPr>
          <w:p>
            <w:pPr>
              <w:pStyle w:val="19"/>
              <w:spacing w:line="360" w:lineRule="auto"/>
              <w:jc w:val="both"/>
              <w:rPr>
                <w:rFonts w:ascii="Times New Roman" w:hAnsi="Times New Roman" w:cs="Times New Roman" w:eastAsiaTheme="minorEastAsia"/>
              </w:rPr>
            </w:pPr>
            <w:r>
              <w:rPr>
                <w:rFonts w:hint="eastAsia" w:ascii="Times New Roman" w:hAnsi="Times New Roman" w:cs="Times New Roman" w:eastAsiaTheme="minorEastAsia"/>
              </w:rPr>
              <w:t>一般项目：以私募基金从事股权投资、投资管理、资产管理等活动（须在中国证券投资基金业协会完成备案登</w:t>
            </w:r>
            <w:r>
              <w:rPr>
                <w:rFonts w:hint="eastAsia" w:ascii="Times New Roman" w:hAnsi="Times New Roman" w:cs="Times New Roman" w:eastAsiaTheme="minorEastAsia"/>
                <w:lang w:val="en-US" w:eastAsia="zh-CN"/>
              </w:rPr>
              <w:t>记</w:t>
            </w:r>
            <w:r>
              <w:rPr>
                <w:rFonts w:hint="eastAsia" w:ascii="Times New Roman" w:hAnsi="Times New Roman" w:cs="Times New Roman" w:eastAsiaTheme="minorEastAsia"/>
              </w:rPr>
              <w:t>后方可从事经营活动）。（除</w:t>
            </w:r>
            <w:r>
              <w:rPr>
                <w:rFonts w:ascii="Times New Roman" w:hAnsi="Times New Roman" w:cs="Times New Roman" w:eastAsiaTheme="minorEastAsia"/>
              </w:rPr>
              <w:t>依法须经批准的项目</w:t>
            </w:r>
            <w:r>
              <w:rPr>
                <w:rFonts w:hint="eastAsia" w:ascii="Times New Roman" w:hAnsi="Times New Roman" w:cs="Times New Roman" w:eastAsiaTheme="minorEastAsia"/>
              </w:rPr>
              <w:t>外，凭营业执照依法自主开展经营活动）</w:t>
            </w:r>
          </w:p>
        </w:tc>
      </w:tr>
    </w:tbl>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lang w:bidi="ar-SA"/>
        </w:rPr>
        <w:t>根据上海证券交易所《股票上市规则》及相关法律法规，公司与青岛</w:t>
      </w:r>
      <w:r>
        <w:rPr>
          <w:rFonts w:hint="eastAsia" w:ascii="Times New Roman" w:hAnsi="Times New Roman" w:cs="Times New Roman" w:eastAsiaTheme="minorEastAsia"/>
        </w:rPr>
        <w:t>上汽不构成关联关系。</w:t>
      </w:r>
    </w:p>
    <w:p>
      <w:pPr>
        <w:pStyle w:val="19"/>
        <w:numPr>
          <w:ilvl w:val="255"/>
          <w:numId w:val="0"/>
        </w:numPr>
        <w:spacing w:before="156" w:beforeLines="50" w:after="156" w:afterLines="50" w:line="360" w:lineRule="auto"/>
        <w:ind w:left="420"/>
        <w:rPr>
          <w:rFonts w:ascii="Times New Roman" w:hAnsi="Times New Roman" w:cs="Times New Roman" w:eastAsiaTheme="minorEastAsia"/>
          <w:b/>
          <w:bCs/>
        </w:rPr>
      </w:pPr>
      <w:r>
        <w:rPr>
          <w:rFonts w:hint="eastAsia" w:ascii="Times New Roman" w:hAnsi="Times New Roman" w:cs="Times New Roman" w:eastAsiaTheme="minorEastAsia"/>
          <w:b/>
          <w:bCs/>
        </w:rPr>
        <w:t>五、关联交易的定价情况</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上海芯钛本次增资定价根据上海芯钛实际运营情况，以及基于对其未来成长性的认可，遵循市场原则，经交易各方充分沟通、协商一致确定，具有合理性和公允性。</w:t>
      </w:r>
    </w:p>
    <w:p>
      <w:pPr>
        <w:pStyle w:val="19"/>
        <w:numPr>
          <w:ilvl w:val="255"/>
          <w:numId w:val="0"/>
        </w:numPr>
        <w:spacing w:line="360" w:lineRule="auto"/>
        <w:ind w:left="420"/>
        <w:rPr>
          <w:rFonts w:ascii="Times New Roman" w:hAnsi="Times New Roman" w:cs="Times New Roman" w:eastAsiaTheme="minorEastAsia"/>
          <w:b/>
          <w:bCs/>
        </w:rPr>
      </w:pPr>
      <w:r>
        <w:rPr>
          <w:rFonts w:hint="eastAsia" w:ascii="Times New Roman" w:hAnsi="Times New Roman" w:cs="Times New Roman" w:eastAsiaTheme="minorEastAsia"/>
          <w:b/>
          <w:bCs/>
        </w:rPr>
        <w:t>六、关联交易的必要性和对公司的影响</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公司本次放弃上海芯钛的优先认购权综合考虑了公司资金计划安排及整体发展规划，不存在损害公司及其他股东特别是中小股东利益的情形。本次交易完成后，上海芯钛仍为公司参股公司，未导致公司合并报表范围的变更，不会对公司2022年的财务状况、经营成果、主营业务及持续经营能力造成重大不利影响。</w:t>
      </w:r>
    </w:p>
    <w:p>
      <w:pPr>
        <w:pStyle w:val="19"/>
        <w:numPr>
          <w:ilvl w:val="255"/>
          <w:numId w:val="0"/>
        </w:numPr>
        <w:spacing w:before="156" w:beforeLines="50" w:after="156" w:afterLines="50" w:line="360" w:lineRule="auto"/>
        <w:ind w:left="420"/>
        <w:rPr>
          <w:rFonts w:ascii="Times New Roman" w:hAnsi="Times New Roman" w:cs="Times New Roman" w:eastAsiaTheme="minorEastAsia"/>
          <w:b/>
          <w:bCs/>
        </w:rPr>
      </w:pPr>
      <w:r>
        <w:rPr>
          <w:rFonts w:hint="eastAsia" w:ascii="Times New Roman" w:hAnsi="Times New Roman" w:cs="Times New Roman" w:eastAsiaTheme="minorEastAsia"/>
          <w:b/>
          <w:bCs/>
        </w:rPr>
        <w:t>七、该关联交易应当履行的审议程序</w:t>
      </w:r>
    </w:p>
    <w:p>
      <w:pPr>
        <w:pStyle w:val="19"/>
        <w:numPr>
          <w:ilvl w:val="0"/>
          <w:numId w:val="8"/>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董事会审议情况</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2022年11月10日，公司第八届董事会第六次会议审议通过了《关于同比例增资放弃优先认购权暨关联交易的议案》，表决结果：8票同意、0票反对、0票弃权，关联董事陆海天先生回避表决。</w:t>
      </w:r>
    </w:p>
    <w:p>
      <w:pPr>
        <w:pStyle w:val="19"/>
        <w:numPr>
          <w:ilvl w:val="0"/>
          <w:numId w:val="8"/>
        </w:numPr>
        <w:spacing w:line="360" w:lineRule="auto"/>
        <w:rPr>
          <w:rFonts w:ascii="Times New Roman" w:hAnsi="Times New Roman" w:cs="Times New Roman" w:eastAsiaTheme="minorEastAsia"/>
        </w:rPr>
      </w:pPr>
      <w:r>
        <w:rPr>
          <w:rFonts w:hint="eastAsia" w:ascii="Times New Roman" w:hAnsi="Times New Roman" w:cs="Times New Roman" w:eastAsiaTheme="minorEastAsia"/>
        </w:rPr>
        <w:t>独立董事意见</w:t>
      </w:r>
    </w:p>
    <w:p>
      <w:pPr>
        <w:pStyle w:val="19"/>
        <w:numPr>
          <w:ilvl w:val="0"/>
          <w:numId w:val="9"/>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独立董事事前认可</w:t>
      </w:r>
    </w:p>
    <w:p>
      <w:pPr>
        <w:pStyle w:val="19"/>
        <w:spacing w:line="360" w:lineRule="auto"/>
        <w:ind w:firstLine="420"/>
        <w:rPr>
          <w:rFonts w:ascii="Times New Roman" w:hAnsi="Times New Roman" w:cs="Times New Roman" w:eastAsiaTheme="minorEastAsia"/>
        </w:rPr>
      </w:pPr>
      <w:r>
        <w:rPr>
          <w:rFonts w:hint="eastAsia"/>
          <w:lang w:bidi="ar"/>
        </w:rPr>
        <w:t>经核查，我们认为：公司本次放弃同比例增资优先认购权暨关联交易事项是综合考虑了公司资金计划安排及整体发展规划，在平等、协商的基础上进行的，符合相关法律法规和《公司章程》的</w:t>
      </w:r>
      <w:r>
        <w:rPr>
          <w:rFonts w:hint="eastAsia"/>
          <w:lang w:val="en-US" w:eastAsia="zh-CN" w:bidi="ar"/>
        </w:rPr>
        <w:t>有关</w:t>
      </w:r>
      <w:r>
        <w:rPr>
          <w:rFonts w:hint="eastAsia"/>
          <w:lang w:bidi="ar"/>
        </w:rPr>
        <w:t>规定，不存在损害公司及其他股东特别是中小股东利益的情形。因此，我们同意公司本次放弃</w:t>
      </w:r>
      <w:r>
        <w:rPr>
          <w:rFonts w:hint="eastAsia"/>
          <w:lang w:val="en-US" w:eastAsia="zh-CN" w:bidi="ar"/>
        </w:rPr>
        <w:t>同比例增资</w:t>
      </w:r>
      <w:r>
        <w:rPr>
          <w:rFonts w:hint="eastAsia"/>
          <w:lang w:bidi="ar"/>
        </w:rPr>
        <w:t>优先认购权暨关联交易事项，并将该议案提交公司董事会审议。</w:t>
      </w:r>
    </w:p>
    <w:p>
      <w:pPr>
        <w:pStyle w:val="19"/>
        <w:numPr>
          <w:ilvl w:val="0"/>
          <w:numId w:val="9"/>
        </w:numPr>
        <w:spacing w:line="360" w:lineRule="auto"/>
        <w:ind w:firstLine="480" w:firstLineChars="200"/>
        <w:rPr>
          <w:rFonts w:ascii="Times New Roman" w:hAnsi="Times New Roman" w:cs="Times New Roman" w:eastAsiaTheme="minorEastAsia"/>
        </w:rPr>
      </w:pPr>
      <w:r>
        <w:rPr>
          <w:rFonts w:hint="eastAsia" w:ascii="Times New Roman" w:hAnsi="Times New Roman" w:cs="Times New Roman" w:eastAsiaTheme="minorEastAsia"/>
        </w:rPr>
        <w:t>独立董事意见</w:t>
      </w:r>
    </w:p>
    <w:p>
      <w:pPr>
        <w:pStyle w:val="19"/>
        <w:spacing w:line="360" w:lineRule="auto"/>
        <w:ind w:firstLine="420"/>
        <w:rPr>
          <w:rFonts w:ascii="Times New Roman" w:hAnsi="Times New Roman" w:cs="Times New Roman" w:eastAsiaTheme="minorEastAsia"/>
        </w:rPr>
      </w:pPr>
      <w:r>
        <w:rPr>
          <w:rFonts w:hint="eastAsia" w:ascii="Times New Roman" w:hAnsi="Times New Roman" w:cs="Times New Roman" w:eastAsiaTheme="minorEastAsia"/>
        </w:rPr>
        <w:t>经核查，我们认为：公司本次放弃同比例增资优先认购权暨关联交易事项是综合考虑了公司资金计划安排及整体发展规划，按照公平、公正原则开展，不存在损害公司及其他股东特别是中小股东利益的情形。公司董事会审议该事项时，关联董事已回避表决，董事会审议程序和表决程序符合《公司法》《证券法》等法律法规以及《公司章程》的有关规定。因此，我们同意公司本次放弃同比例增资优先认购权暨关联交易事项。</w:t>
      </w:r>
    </w:p>
    <w:p>
      <w:pPr>
        <w:pStyle w:val="19"/>
        <w:spacing w:before="156" w:beforeLines="50" w:after="156" w:afterLines="50" w:line="360" w:lineRule="auto"/>
        <w:ind w:left="420"/>
        <w:rPr>
          <w:rFonts w:ascii="Times New Roman" w:hAnsi="Times New Roman" w:cs="Times New Roman" w:eastAsiaTheme="minorEastAsia"/>
        </w:rPr>
      </w:pPr>
    </w:p>
    <w:p>
      <w:pPr>
        <w:pStyle w:val="19"/>
        <w:spacing w:before="156" w:beforeLines="50" w:after="156" w:afterLines="50" w:line="360" w:lineRule="auto"/>
        <w:ind w:firstLine="420" w:firstLineChars="175"/>
        <w:rPr>
          <w:rFonts w:ascii="Times New Roman" w:hAnsi="Times New Roman" w:cs="Times New Roman" w:eastAsiaTheme="minorEastAsia"/>
        </w:rPr>
      </w:pPr>
      <w:r>
        <w:rPr>
          <w:rFonts w:ascii="Times New Roman" w:hAnsi="Times New Roman" w:cs="Times New Roman" w:eastAsiaTheme="minorEastAsia"/>
        </w:rPr>
        <w:t>特此公告。</w:t>
      </w:r>
    </w:p>
    <w:p>
      <w:pPr>
        <w:spacing w:line="360" w:lineRule="auto"/>
        <w:ind w:firstLine="470" w:firstLineChars="196"/>
        <w:jc w:val="right"/>
        <w:rPr>
          <w:rFonts w:eastAsiaTheme="minorEastAsia"/>
          <w:color w:val="000000"/>
          <w:sz w:val="24"/>
          <w:szCs w:val="24"/>
        </w:rPr>
      </w:pPr>
      <w:r>
        <w:rPr>
          <w:rFonts w:eastAsiaTheme="minorEastAsia"/>
          <w:color w:val="000000"/>
          <w:sz w:val="24"/>
          <w:szCs w:val="24"/>
        </w:rPr>
        <w:t>格尔软件股份有限公司</w:t>
      </w:r>
      <w:r>
        <w:rPr>
          <w:rFonts w:hint="eastAsia" w:eastAsiaTheme="minorEastAsia"/>
          <w:color w:val="000000"/>
          <w:sz w:val="24"/>
          <w:szCs w:val="24"/>
        </w:rPr>
        <w:t>董事会</w:t>
      </w:r>
    </w:p>
    <w:p>
      <w:pPr>
        <w:spacing w:line="360" w:lineRule="auto"/>
        <w:ind w:firstLine="470" w:firstLineChars="196"/>
        <w:jc w:val="right"/>
        <w:rPr>
          <w:rFonts w:eastAsiaTheme="minorEastAsia"/>
          <w:color w:val="000000"/>
          <w:sz w:val="24"/>
          <w:szCs w:val="24"/>
        </w:rPr>
      </w:pPr>
      <w:r>
        <w:rPr>
          <w:rFonts w:eastAsiaTheme="minorEastAsia"/>
          <w:color w:val="000000"/>
          <w:sz w:val="24"/>
          <w:szCs w:val="24"/>
        </w:rPr>
        <w:t>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11月12</w:t>
      </w:r>
      <w:r>
        <w:rPr>
          <w:rFonts w:eastAsiaTheme="minorEastAsia"/>
          <w:color w:val="000000"/>
          <w:sz w:val="24"/>
          <w:szCs w:val="24"/>
        </w:rPr>
        <w:t>日</w:t>
      </w:r>
    </w:p>
    <w:p>
      <w:pPr>
        <w:spacing w:line="360" w:lineRule="auto"/>
        <w:ind w:firstLine="470" w:firstLineChars="196"/>
        <w:jc w:val="right"/>
        <w:rPr>
          <w:rFonts w:eastAsiaTheme="minorEastAsia"/>
          <w:color w:val="000000"/>
          <w:sz w:val="24"/>
          <w:szCs w:val="24"/>
        </w:rPr>
      </w:pPr>
    </w:p>
    <w:p>
      <w:pPr>
        <w:pStyle w:val="34"/>
        <w:numPr>
          <w:ilvl w:val="0"/>
          <w:numId w:val="10"/>
        </w:numPr>
        <w:adjustRightInd w:val="0"/>
        <w:snapToGrid w:val="0"/>
        <w:spacing w:line="360" w:lineRule="auto"/>
        <w:ind w:left="0" w:firstLine="482" w:firstLineChars="200"/>
        <w:rPr>
          <w:rFonts w:ascii="宋体" w:hAnsi="宋体" w:cs="宋体"/>
          <w:b/>
          <w:sz w:val="24"/>
          <w:szCs w:val="24"/>
        </w:rPr>
      </w:pPr>
      <w:r>
        <w:rPr>
          <w:rFonts w:hint="eastAsia" w:ascii="宋体" w:hAnsi="宋体" w:cs="宋体"/>
          <w:b/>
          <w:sz w:val="24"/>
          <w:szCs w:val="24"/>
        </w:rPr>
        <w:t>备查文件：</w:t>
      </w:r>
    </w:p>
    <w:p>
      <w:pPr>
        <w:numPr>
          <w:ilvl w:val="0"/>
          <w:numId w:val="11"/>
        </w:numPr>
        <w:spacing w:line="360" w:lineRule="auto"/>
        <w:rPr>
          <w:rFonts w:eastAsiaTheme="minorEastAsia"/>
          <w:color w:val="000000"/>
          <w:sz w:val="24"/>
          <w:szCs w:val="24"/>
        </w:rPr>
      </w:pPr>
      <w:r>
        <w:rPr>
          <w:rFonts w:hint="eastAsia" w:eastAsiaTheme="minorEastAsia"/>
          <w:color w:val="000000"/>
          <w:sz w:val="24"/>
          <w:szCs w:val="24"/>
        </w:rPr>
        <w:t>格尔软件股份有限公司第八届董事会第六次会议决议；</w:t>
      </w:r>
    </w:p>
    <w:p>
      <w:pPr>
        <w:numPr>
          <w:ilvl w:val="0"/>
          <w:numId w:val="11"/>
        </w:numPr>
        <w:spacing w:line="360" w:lineRule="auto"/>
        <w:rPr>
          <w:rFonts w:eastAsiaTheme="minorEastAsia"/>
          <w:color w:val="000000"/>
          <w:sz w:val="24"/>
          <w:szCs w:val="24"/>
        </w:rPr>
      </w:pPr>
      <w:r>
        <w:rPr>
          <w:rFonts w:eastAsiaTheme="minorEastAsia"/>
          <w:color w:val="000000"/>
          <w:sz w:val="24"/>
          <w:szCs w:val="24"/>
        </w:rPr>
        <w:t>格尔软件股份有限公司独立董事关于公司第</w:t>
      </w:r>
      <w:r>
        <w:rPr>
          <w:rFonts w:hint="eastAsia" w:eastAsiaTheme="minorEastAsia"/>
          <w:color w:val="000000"/>
          <w:sz w:val="24"/>
          <w:szCs w:val="24"/>
        </w:rPr>
        <w:t>八</w:t>
      </w:r>
      <w:r>
        <w:rPr>
          <w:rFonts w:eastAsiaTheme="minorEastAsia"/>
          <w:color w:val="000000"/>
          <w:sz w:val="24"/>
          <w:szCs w:val="24"/>
        </w:rPr>
        <w:t>届董事会第</w:t>
      </w:r>
      <w:r>
        <w:rPr>
          <w:rFonts w:hint="eastAsia" w:eastAsiaTheme="minorEastAsia"/>
          <w:color w:val="000000"/>
          <w:sz w:val="24"/>
          <w:szCs w:val="24"/>
        </w:rPr>
        <w:t>六</w:t>
      </w:r>
      <w:r>
        <w:rPr>
          <w:rFonts w:eastAsiaTheme="minorEastAsia"/>
          <w:color w:val="000000"/>
          <w:sz w:val="24"/>
          <w:szCs w:val="24"/>
        </w:rPr>
        <w:t>次会议相关事项的独立意见</w:t>
      </w:r>
      <w:r>
        <w:rPr>
          <w:rFonts w:hint="eastAsia" w:eastAsiaTheme="minorEastAsia"/>
          <w:color w:val="000000"/>
          <w:sz w:val="24"/>
          <w:szCs w:val="24"/>
        </w:rPr>
        <w:t>；</w:t>
      </w:r>
    </w:p>
    <w:p>
      <w:pPr>
        <w:numPr>
          <w:ilvl w:val="0"/>
          <w:numId w:val="11"/>
        </w:numPr>
        <w:spacing w:line="360" w:lineRule="auto"/>
        <w:rPr>
          <w:rFonts w:eastAsiaTheme="minorEastAsia"/>
          <w:color w:val="000000"/>
          <w:sz w:val="24"/>
          <w:szCs w:val="24"/>
        </w:rPr>
      </w:pPr>
      <w:r>
        <w:rPr>
          <w:rFonts w:eastAsiaTheme="minorEastAsia"/>
          <w:color w:val="000000"/>
          <w:sz w:val="24"/>
          <w:szCs w:val="24"/>
        </w:rPr>
        <w:t>格尔软件股份有限公司独立董事关于公司第</w:t>
      </w:r>
      <w:r>
        <w:rPr>
          <w:rFonts w:hint="eastAsia" w:eastAsiaTheme="minorEastAsia"/>
          <w:color w:val="000000"/>
          <w:sz w:val="24"/>
          <w:szCs w:val="24"/>
        </w:rPr>
        <w:t>八</w:t>
      </w:r>
      <w:r>
        <w:rPr>
          <w:rFonts w:eastAsiaTheme="minorEastAsia"/>
          <w:color w:val="000000"/>
          <w:sz w:val="24"/>
          <w:szCs w:val="24"/>
        </w:rPr>
        <w:t>届董事会第</w:t>
      </w:r>
      <w:r>
        <w:rPr>
          <w:rFonts w:hint="eastAsia" w:eastAsiaTheme="minorEastAsia"/>
          <w:color w:val="000000"/>
          <w:sz w:val="24"/>
          <w:szCs w:val="24"/>
        </w:rPr>
        <w:t>六</w:t>
      </w:r>
      <w:r>
        <w:rPr>
          <w:rFonts w:eastAsiaTheme="minorEastAsia"/>
          <w:color w:val="000000"/>
          <w:sz w:val="24"/>
          <w:szCs w:val="24"/>
        </w:rPr>
        <w:t>次会议相关事项的事前认可书</w:t>
      </w:r>
      <w:r>
        <w:rPr>
          <w:rFonts w:hint="eastAsia" w:eastAsiaTheme="minorEastAsia"/>
          <w:color w:val="000000"/>
          <w:sz w:val="24"/>
          <w:szCs w:val="24"/>
        </w:rPr>
        <w:t>；</w:t>
      </w:r>
    </w:p>
    <w:p>
      <w:pPr>
        <w:numPr>
          <w:ilvl w:val="0"/>
          <w:numId w:val="11"/>
        </w:numPr>
        <w:spacing w:line="360" w:lineRule="auto"/>
        <w:rPr>
          <w:rFonts w:eastAsiaTheme="minorEastAsia"/>
          <w:color w:val="000000"/>
          <w:sz w:val="24"/>
          <w:szCs w:val="24"/>
        </w:rPr>
      </w:pPr>
      <w:r>
        <w:rPr>
          <w:rFonts w:hint="eastAsia" w:eastAsiaTheme="minorEastAsia"/>
          <w:color w:val="000000"/>
          <w:sz w:val="24"/>
          <w:szCs w:val="24"/>
        </w:rPr>
        <w:t>格尔软件股份有限公司第八届董事会审计委员会第三次会议决议；</w:t>
      </w:r>
    </w:p>
    <w:p>
      <w:pPr>
        <w:numPr>
          <w:ilvl w:val="0"/>
          <w:numId w:val="11"/>
        </w:numPr>
        <w:spacing w:line="360" w:lineRule="auto"/>
        <w:rPr>
          <w:rFonts w:eastAsiaTheme="minorEastAsia"/>
          <w:color w:val="000000"/>
          <w:sz w:val="24"/>
          <w:szCs w:val="24"/>
        </w:rPr>
      </w:pPr>
      <w:r>
        <w:rPr>
          <w:rFonts w:eastAsiaTheme="minorEastAsia"/>
          <w:color w:val="000000"/>
          <w:sz w:val="24"/>
          <w:szCs w:val="24"/>
        </w:rPr>
        <w:t>上海芯钛信息科技有限公司增资协议</w:t>
      </w:r>
      <w:r>
        <w:rPr>
          <w:rFonts w:hint="eastAsia" w:eastAsiaTheme="minorEastAsia"/>
          <w:color w:val="000000"/>
          <w:sz w:val="24"/>
          <w:szCs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456D0"/>
    <w:multiLevelType w:val="singleLevel"/>
    <w:tmpl w:val="8A3456D0"/>
    <w:lvl w:ilvl="0" w:tentative="0">
      <w:start w:val="1"/>
      <w:numFmt w:val="chineseCounting"/>
      <w:suff w:val="nothing"/>
      <w:lvlText w:val="（%1）"/>
      <w:lvlJc w:val="left"/>
      <w:pPr>
        <w:ind w:left="0" w:firstLine="420"/>
      </w:pPr>
      <w:rPr>
        <w:rFonts w:hint="eastAsia"/>
      </w:rPr>
    </w:lvl>
  </w:abstractNum>
  <w:abstractNum w:abstractNumId="1">
    <w:nsid w:val="8F2E7F07"/>
    <w:multiLevelType w:val="singleLevel"/>
    <w:tmpl w:val="8F2E7F07"/>
    <w:lvl w:ilvl="0" w:tentative="0">
      <w:start w:val="1"/>
      <w:numFmt w:val="decimal"/>
      <w:suff w:val="nothing"/>
      <w:lvlText w:val="%1．"/>
      <w:lvlJc w:val="left"/>
      <w:pPr>
        <w:ind w:left="0" w:firstLine="400"/>
      </w:pPr>
      <w:rPr>
        <w:rFonts w:hint="default"/>
      </w:rPr>
    </w:lvl>
  </w:abstractNum>
  <w:abstractNum w:abstractNumId="2">
    <w:nsid w:val="B6CA0536"/>
    <w:multiLevelType w:val="singleLevel"/>
    <w:tmpl w:val="B6CA0536"/>
    <w:lvl w:ilvl="0" w:tentative="0">
      <w:start w:val="1"/>
      <w:numFmt w:val="chineseCounting"/>
      <w:suff w:val="nothing"/>
      <w:lvlText w:val="（%1）"/>
      <w:lvlJc w:val="left"/>
      <w:rPr>
        <w:rFonts w:hint="eastAsia"/>
      </w:rPr>
    </w:lvl>
  </w:abstractNum>
  <w:abstractNum w:abstractNumId="3">
    <w:nsid w:val="EFFD1AD6"/>
    <w:multiLevelType w:val="singleLevel"/>
    <w:tmpl w:val="EFFD1AD6"/>
    <w:lvl w:ilvl="0" w:tentative="0">
      <w:start w:val="1"/>
      <w:numFmt w:val="decimal"/>
      <w:suff w:val="nothing"/>
      <w:lvlText w:val="%1．"/>
      <w:lvlJc w:val="left"/>
      <w:pPr>
        <w:ind w:left="0" w:firstLine="400"/>
      </w:pPr>
      <w:rPr>
        <w:rFonts w:hint="default"/>
      </w:rPr>
    </w:lvl>
  </w:abstractNum>
  <w:abstractNum w:abstractNumId="4">
    <w:nsid w:val="03341493"/>
    <w:multiLevelType w:val="multilevel"/>
    <w:tmpl w:val="0334149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6">
    <w:nsid w:val="1446E5D0"/>
    <w:multiLevelType w:val="singleLevel"/>
    <w:tmpl w:val="1446E5D0"/>
    <w:lvl w:ilvl="0" w:tentative="0">
      <w:start w:val="1"/>
      <w:numFmt w:val="decimal"/>
      <w:lvlText w:val="%1."/>
      <w:lvlJc w:val="left"/>
      <w:pPr>
        <w:tabs>
          <w:tab w:val="left" w:pos="312"/>
        </w:tabs>
      </w:pPr>
    </w:lvl>
  </w:abstractNum>
  <w:abstractNum w:abstractNumId="7">
    <w:nsid w:val="15A0D20C"/>
    <w:multiLevelType w:val="singleLevel"/>
    <w:tmpl w:val="15A0D20C"/>
    <w:lvl w:ilvl="0" w:tentative="0">
      <w:start w:val="1"/>
      <w:numFmt w:val="chineseCounting"/>
      <w:suff w:val="nothing"/>
      <w:lvlText w:val="（%1）"/>
      <w:lvlJc w:val="left"/>
      <w:pPr>
        <w:ind w:left="0" w:firstLine="420"/>
      </w:pPr>
      <w:rPr>
        <w:rFonts w:hint="eastAsia"/>
      </w:rPr>
    </w:lvl>
  </w:abstractNum>
  <w:abstractNum w:abstractNumId="8">
    <w:nsid w:val="5D5328E7"/>
    <w:multiLevelType w:val="singleLevel"/>
    <w:tmpl w:val="5D5328E7"/>
    <w:lvl w:ilvl="0" w:tentative="0">
      <w:start w:val="1"/>
      <w:numFmt w:val="chineseCounting"/>
      <w:suff w:val="nothing"/>
      <w:lvlText w:val="（%1）"/>
      <w:lvlJc w:val="left"/>
      <w:pPr>
        <w:ind w:left="0" w:firstLine="420"/>
      </w:pPr>
      <w:rPr>
        <w:rFonts w:hint="eastAsia"/>
      </w:rPr>
    </w:lvl>
  </w:abstractNum>
  <w:abstractNum w:abstractNumId="9">
    <w:nsid w:val="77D0E1DA"/>
    <w:multiLevelType w:val="singleLevel"/>
    <w:tmpl w:val="77D0E1DA"/>
    <w:lvl w:ilvl="0" w:tentative="0">
      <w:start w:val="1"/>
      <w:numFmt w:val="chineseCounting"/>
      <w:suff w:val="nothing"/>
      <w:lvlText w:val="%1、"/>
      <w:lvlJc w:val="left"/>
      <w:pPr>
        <w:ind w:left="0" w:firstLine="420"/>
      </w:pPr>
      <w:rPr>
        <w:rFonts w:hint="eastAsia"/>
      </w:rPr>
    </w:lvl>
  </w:abstractNum>
  <w:abstractNum w:abstractNumId="10">
    <w:nsid w:val="7E48C638"/>
    <w:multiLevelType w:val="singleLevel"/>
    <w:tmpl w:val="7E48C638"/>
    <w:lvl w:ilvl="0" w:tentative="0">
      <w:start w:val="1"/>
      <w:numFmt w:val="decimal"/>
      <w:lvlText w:val="%1)"/>
      <w:lvlJc w:val="left"/>
      <w:pPr>
        <w:ind w:left="425" w:hanging="425"/>
      </w:pPr>
      <w:rPr>
        <w:rFonts w:hint="default"/>
      </w:rPr>
    </w:lvl>
  </w:abstractNum>
  <w:num w:numId="1">
    <w:abstractNumId w:val="5"/>
  </w:num>
  <w:num w:numId="2">
    <w:abstractNumId w:val="9"/>
  </w:num>
  <w:num w:numId="3">
    <w:abstractNumId w:val="7"/>
  </w:num>
  <w:num w:numId="4">
    <w:abstractNumId w:val="3"/>
  </w:num>
  <w:num w:numId="5">
    <w:abstractNumId w:val="10"/>
  </w:num>
  <w:num w:numId="6">
    <w:abstractNumId w:val="8"/>
  </w:num>
  <w:num w:numId="7">
    <w:abstractNumId w:val="2"/>
  </w:num>
  <w:num w:numId="8">
    <w:abstractNumId w:val="0"/>
  </w:num>
  <w:num w:numId="9">
    <w:abstractNumId w:val="1"/>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32842413"/>
    <w:rsid w:val="0002177C"/>
    <w:rsid w:val="00054828"/>
    <w:rsid w:val="00077408"/>
    <w:rsid w:val="001114A9"/>
    <w:rsid w:val="00132C6B"/>
    <w:rsid w:val="00167AA8"/>
    <w:rsid w:val="0017037A"/>
    <w:rsid w:val="001C2E1A"/>
    <w:rsid w:val="001E0AEA"/>
    <w:rsid w:val="0024309F"/>
    <w:rsid w:val="00294AA4"/>
    <w:rsid w:val="002A4682"/>
    <w:rsid w:val="002B1A9F"/>
    <w:rsid w:val="003443F4"/>
    <w:rsid w:val="00370DED"/>
    <w:rsid w:val="003F2808"/>
    <w:rsid w:val="004512AC"/>
    <w:rsid w:val="004A1E21"/>
    <w:rsid w:val="004C2F32"/>
    <w:rsid w:val="004D2FCE"/>
    <w:rsid w:val="005319A4"/>
    <w:rsid w:val="006C4A10"/>
    <w:rsid w:val="007166B6"/>
    <w:rsid w:val="00721F7E"/>
    <w:rsid w:val="0073348D"/>
    <w:rsid w:val="007D67AF"/>
    <w:rsid w:val="00850402"/>
    <w:rsid w:val="00853DA1"/>
    <w:rsid w:val="00864F0E"/>
    <w:rsid w:val="00920C88"/>
    <w:rsid w:val="00952F2A"/>
    <w:rsid w:val="009C6F6C"/>
    <w:rsid w:val="009D591E"/>
    <w:rsid w:val="009E204A"/>
    <w:rsid w:val="009E37D7"/>
    <w:rsid w:val="00A21D7E"/>
    <w:rsid w:val="00A623E0"/>
    <w:rsid w:val="00AA5A59"/>
    <w:rsid w:val="00B236D6"/>
    <w:rsid w:val="00B51DE7"/>
    <w:rsid w:val="00B53319"/>
    <w:rsid w:val="00B80518"/>
    <w:rsid w:val="00BC013C"/>
    <w:rsid w:val="00C67CB1"/>
    <w:rsid w:val="00CD27F4"/>
    <w:rsid w:val="00D05849"/>
    <w:rsid w:val="00D27917"/>
    <w:rsid w:val="00DC1D9E"/>
    <w:rsid w:val="00E2145A"/>
    <w:rsid w:val="00E92FB0"/>
    <w:rsid w:val="00F03C4E"/>
    <w:rsid w:val="00F6030B"/>
    <w:rsid w:val="00F830A1"/>
    <w:rsid w:val="00F97D57"/>
    <w:rsid w:val="00FC0E9B"/>
    <w:rsid w:val="00FC6E61"/>
    <w:rsid w:val="027912C5"/>
    <w:rsid w:val="02803607"/>
    <w:rsid w:val="02AF00BD"/>
    <w:rsid w:val="036A1510"/>
    <w:rsid w:val="051953C4"/>
    <w:rsid w:val="05A07DA2"/>
    <w:rsid w:val="06794572"/>
    <w:rsid w:val="06A37B37"/>
    <w:rsid w:val="09162F3C"/>
    <w:rsid w:val="093D5C0F"/>
    <w:rsid w:val="095C0FEC"/>
    <w:rsid w:val="09C42DF4"/>
    <w:rsid w:val="0B5D3571"/>
    <w:rsid w:val="0BCD0000"/>
    <w:rsid w:val="0C0E0C16"/>
    <w:rsid w:val="0D8F60C8"/>
    <w:rsid w:val="0DF04731"/>
    <w:rsid w:val="0E04008C"/>
    <w:rsid w:val="0E1D1636"/>
    <w:rsid w:val="0FF96653"/>
    <w:rsid w:val="10E70455"/>
    <w:rsid w:val="126533AC"/>
    <w:rsid w:val="1266547B"/>
    <w:rsid w:val="1387262B"/>
    <w:rsid w:val="14612776"/>
    <w:rsid w:val="1528299A"/>
    <w:rsid w:val="15A94AC0"/>
    <w:rsid w:val="15C707EB"/>
    <w:rsid w:val="169D05EC"/>
    <w:rsid w:val="16D35F97"/>
    <w:rsid w:val="17E03DA6"/>
    <w:rsid w:val="18012D10"/>
    <w:rsid w:val="186B3909"/>
    <w:rsid w:val="191B4759"/>
    <w:rsid w:val="19562770"/>
    <w:rsid w:val="19777431"/>
    <w:rsid w:val="1A7F6192"/>
    <w:rsid w:val="1B2472EE"/>
    <w:rsid w:val="1BD55918"/>
    <w:rsid w:val="1C167DF0"/>
    <w:rsid w:val="1C197487"/>
    <w:rsid w:val="1C7C1956"/>
    <w:rsid w:val="1C836598"/>
    <w:rsid w:val="1C9C6D49"/>
    <w:rsid w:val="1D7B0787"/>
    <w:rsid w:val="1FDA3A0D"/>
    <w:rsid w:val="225C6BF8"/>
    <w:rsid w:val="22614385"/>
    <w:rsid w:val="226C7BDE"/>
    <w:rsid w:val="2407043B"/>
    <w:rsid w:val="24C35927"/>
    <w:rsid w:val="24DC2D9B"/>
    <w:rsid w:val="256F441F"/>
    <w:rsid w:val="25853118"/>
    <w:rsid w:val="26E502D6"/>
    <w:rsid w:val="274C63E1"/>
    <w:rsid w:val="275928EB"/>
    <w:rsid w:val="278B716B"/>
    <w:rsid w:val="280F6CD3"/>
    <w:rsid w:val="28FD1C54"/>
    <w:rsid w:val="29032A11"/>
    <w:rsid w:val="296702E1"/>
    <w:rsid w:val="2B7D490C"/>
    <w:rsid w:val="2D4241F6"/>
    <w:rsid w:val="3064077E"/>
    <w:rsid w:val="319C46DB"/>
    <w:rsid w:val="328231E8"/>
    <w:rsid w:val="32842413"/>
    <w:rsid w:val="338E090E"/>
    <w:rsid w:val="33B23032"/>
    <w:rsid w:val="3545569B"/>
    <w:rsid w:val="354B7399"/>
    <w:rsid w:val="38605D3C"/>
    <w:rsid w:val="3A943275"/>
    <w:rsid w:val="3A9E2FE3"/>
    <w:rsid w:val="3BAB2F5F"/>
    <w:rsid w:val="3BCD411E"/>
    <w:rsid w:val="3E142650"/>
    <w:rsid w:val="3E98001B"/>
    <w:rsid w:val="3EFB3A95"/>
    <w:rsid w:val="3FA604EC"/>
    <w:rsid w:val="401031B4"/>
    <w:rsid w:val="40CF54BD"/>
    <w:rsid w:val="40D00770"/>
    <w:rsid w:val="41944919"/>
    <w:rsid w:val="41D831DD"/>
    <w:rsid w:val="423C2F13"/>
    <w:rsid w:val="43162A15"/>
    <w:rsid w:val="43AF25FB"/>
    <w:rsid w:val="43FF4EE5"/>
    <w:rsid w:val="44D507FC"/>
    <w:rsid w:val="46E77843"/>
    <w:rsid w:val="47B768D5"/>
    <w:rsid w:val="47ED5839"/>
    <w:rsid w:val="48454EC6"/>
    <w:rsid w:val="495B086D"/>
    <w:rsid w:val="49A07A5F"/>
    <w:rsid w:val="4A532479"/>
    <w:rsid w:val="4ABB33F3"/>
    <w:rsid w:val="4B320EF3"/>
    <w:rsid w:val="4BC77D6D"/>
    <w:rsid w:val="4BEB7331"/>
    <w:rsid w:val="4C450A60"/>
    <w:rsid w:val="4C51283A"/>
    <w:rsid w:val="4C8824F5"/>
    <w:rsid w:val="4E035D11"/>
    <w:rsid w:val="4E336D4A"/>
    <w:rsid w:val="4F491970"/>
    <w:rsid w:val="4FA20E9F"/>
    <w:rsid w:val="500E7A73"/>
    <w:rsid w:val="50554A15"/>
    <w:rsid w:val="50F57699"/>
    <w:rsid w:val="514D5B44"/>
    <w:rsid w:val="536C7610"/>
    <w:rsid w:val="54BB702B"/>
    <w:rsid w:val="56800E66"/>
    <w:rsid w:val="56E20C48"/>
    <w:rsid w:val="570018BF"/>
    <w:rsid w:val="570D1501"/>
    <w:rsid w:val="57A707CE"/>
    <w:rsid w:val="57AA3960"/>
    <w:rsid w:val="592F5E2E"/>
    <w:rsid w:val="59451684"/>
    <w:rsid w:val="59921912"/>
    <w:rsid w:val="59DB116D"/>
    <w:rsid w:val="5A3D1AE9"/>
    <w:rsid w:val="5AE7349F"/>
    <w:rsid w:val="5AEE61FD"/>
    <w:rsid w:val="5D464589"/>
    <w:rsid w:val="5DC73891"/>
    <w:rsid w:val="5DE2250C"/>
    <w:rsid w:val="5DE771C6"/>
    <w:rsid w:val="5E32172E"/>
    <w:rsid w:val="5F0D14A9"/>
    <w:rsid w:val="5F1926A6"/>
    <w:rsid w:val="5F5C1C66"/>
    <w:rsid w:val="5FEB2130"/>
    <w:rsid w:val="604D7ED5"/>
    <w:rsid w:val="613346A0"/>
    <w:rsid w:val="62A226B7"/>
    <w:rsid w:val="6645658F"/>
    <w:rsid w:val="666C1C7C"/>
    <w:rsid w:val="66DB7D8B"/>
    <w:rsid w:val="679A48E0"/>
    <w:rsid w:val="679E4AF5"/>
    <w:rsid w:val="686179F5"/>
    <w:rsid w:val="688436E7"/>
    <w:rsid w:val="6913294C"/>
    <w:rsid w:val="6AA22BB7"/>
    <w:rsid w:val="6AE243F3"/>
    <w:rsid w:val="6B08203B"/>
    <w:rsid w:val="6B941706"/>
    <w:rsid w:val="6C242488"/>
    <w:rsid w:val="6C614E83"/>
    <w:rsid w:val="6CFE475B"/>
    <w:rsid w:val="6D487591"/>
    <w:rsid w:val="6DD065BB"/>
    <w:rsid w:val="706C504B"/>
    <w:rsid w:val="71545525"/>
    <w:rsid w:val="72BE5C91"/>
    <w:rsid w:val="73B5088A"/>
    <w:rsid w:val="73D13B4D"/>
    <w:rsid w:val="740E6368"/>
    <w:rsid w:val="753B5723"/>
    <w:rsid w:val="753F025C"/>
    <w:rsid w:val="75802FE2"/>
    <w:rsid w:val="7649792A"/>
    <w:rsid w:val="77640A99"/>
    <w:rsid w:val="778B7158"/>
    <w:rsid w:val="781D453A"/>
    <w:rsid w:val="78392B89"/>
    <w:rsid w:val="78B17E69"/>
    <w:rsid w:val="78BD51F4"/>
    <w:rsid w:val="7A644A8B"/>
    <w:rsid w:val="7D6F0760"/>
    <w:rsid w:val="7E393055"/>
    <w:rsid w:val="7EF13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1"/>
    <w:pPr>
      <w:spacing w:before="87"/>
      <w:ind w:left="938" w:right="941"/>
      <w:jc w:val="center"/>
      <w:outlineLvl w:val="0"/>
    </w:pPr>
    <w:rPr>
      <w:rFonts w:ascii="黑体" w:hAnsi="黑体" w:eastAsia="黑体" w:cs="黑体"/>
      <w:b/>
      <w:bCs/>
      <w:sz w:val="36"/>
      <w:szCs w:val="36"/>
      <w:lang w:val="zh-CN" w:bidi="zh-CN"/>
    </w:rPr>
  </w:style>
  <w:style w:type="paragraph" w:styleId="3">
    <w:name w:val="heading 2"/>
    <w:basedOn w:val="1"/>
    <w:next w:val="1"/>
    <w:qFormat/>
    <w:uiPriority w:val="1"/>
    <w:pPr>
      <w:spacing w:before="2"/>
      <w:ind w:left="240"/>
      <w:outlineLvl w:val="1"/>
    </w:pPr>
    <w:rPr>
      <w:rFonts w:ascii="宋体" w:hAnsi="宋体" w:cs="宋体"/>
      <w:b/>
      <w:bCs/>
      <w:sz w:val="24"/>
      <w:szCs w:val="24"/>
      <w:lang w:val="zh-CN" w:bidi="zh-CN"/>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5"/>
    <w:qFormat/>
    <w:uiPriority w:val="0"/>
    <w:pPr>
      <w:jc w:val="left"/>
    </w:pPr>
  </w:style>
  <w:style w:type="paragraph" w:styleId="5">
    <w:name w:val="Body Text"/>
    <w:basedOn w:val="1"/>
    <w:qFormat/>
    <w:uiPriority w:val="1"/>
    <w:rPr>
      <w:rFonts w:ascii="宋体" w:hAnsi="宋体" w:cs="宋体"/>
      <w:sz w:val="24"/>
      <w:szCs w:val="24"/>
      <w:lang w:val="zh-CN" w:bidi="zh-CN"/>
    </w:rPr>
  </w:style>
  <w:style w:type="paragraph" w:styleId="6">
    <w:name w:val="Balloon Text"/>
    <w:basedOn w:val="1"/>
    <w:link w:val="25"/>
    <w:qFormat/>
    <w:uiPriority w:val="0"/>
    <w:rPr>
      <w:sz w:val="18"/>
      <w:szCs w:val="18"/>
    </w:rPr>
  </w:style>
  <w:style w:type="paragraph" w:styleId="7">
    <w:name w:val="footer"/>
    <w:basedOn w:val="1"/>
    <w:link w:val="24"/>
    <w:qFormat/>
    <w:uiPriority w:val="0"/>
    <w:pPr>
      <w:tabs>
        <w:tab w:val="center" w:pos="4153"/>
        <w:tab w:val="right" w:pos="8306"/>
      </w:tabs>
      <w:snapToGrid w:val="0"/>
      <w:jc w:val="left"/>
    </w:pPr>
    <w:rPr>
      <w:sz w:val="18"/>
      <w:szCs w:val="18"/>
    </w:rPr>
  </w:style>
  <w:style w:type="paragraph" w:styleId="8">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0">
    <w:name w:val="annotation subject"/>
    <w:basedOn w:val="4"/>
    <w:next w:val="4"/>
    <w:link w:val="36"/>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bdr w:val="single" w:color="CCCCCC" w:sz="6" w:space="0"/>
    </w:rPr>
  </w:style>
  <w:style w:type="character" w:styleId="15">
    <w:name w:val="FollowedHyperlink"/>
    <w:basedOn w:val="13"/>
    <w:qFormat/>
    <w:uiPriority w:val="0"/>
    <w:rPr>
      <w:rFonts w:hint="eastAsia" w:ascii="微软雅黑" w:hAnsi="微软雅黑" w:eastAsia="微软雅黑" w:cs="微软雅黑"/>
      <w:color w:val="800080"/>
      <w:sz w:val="18"/>
      <w:szCs w:val="18"/>
      <w:u w:val="none"/>
    </w:rPr>
  </w:style>
  <w:style w:type="character" w:styleId="16">
    <w:name w:val="Hyperlink"/>
    <w:basedOn w:val="13"/>
    <w:qFormat/>
    <w:uiPriority w:val="0"/>
    <w:rPr>
      <w:rFonts w:hint="eastAsia" w:ascii="微软雅黑" w:hAnsi="微软雅黑" w:eastAsia="微软雅黑" w:cs="微软雅黑"/>
      <w:color w:val="0000FF"/>
      <w:sz w:val="18"/>
      <w:szCs w:val="18"/>
      <w:u w:val="none"/>
    </w:rPr>
  </w:style>
  <w:style w:type="character" w:styleId="17">
    <w:name w:val="annotation reference"/>
    <w:basedOn w:val="13"/>
    <w:qFormat/>
    <w:uiPriority w:val="0"/>
    <w:rPr>
      <w:sz w:val="21"/>
      <w:szCs w:val="21"/>
    </w:rPr>
  </w:style>
  <w:style w:type="paragraph" w:customStyle="1" w:styleId="18">
    <w:name w:val="Table Paragraph"/>
    <w:basedOn w:val="1"/>
    <w:qFormat/>
    <w:uiPriority w:val="1"/>
    <w:pPr>
      <w:spacing w:before="79"/>
    </w:pPr>
    <w:rPr>
      <w:rFonts w:ascii="宋体" w:hAnsi="宋体" w:cs="宋体"/>
      <w:lang w:val="zh-CN" w:bidi="zh-CN"/>
    </w:rPr>
  </w:style>
  <w:style w:type="paragraph" w:customStyle="1" w:styleId="1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0">
    <w:name w:val="font21"/>
    <w:basedOn w:val="13"/>
    <w:qFormat/>
    <w:uiPriority w:val="0"/>
    <w:rPr>
      <w:rFonts w:hint="default" w:ascii="Times New Roman" w:hAnsi="Times New Roman" w:cs="Times New Roman"/>
      <w:color w:val="000000"/>
      <w:sz w:val="21"/>
      <w:szCs w:val="21"/>
      <w:u w:val="none"/>
    </w:rPr>
  </w:style>
  <w:style w:type="character" w:customStyle="1" w:styleId="21">
    <w:name w:val="font41"/>
    <w:basedOn w:val="13"/>
    <w:qFormat/>
    <w:uiPriority w:val="0"/>
    <w:rPr>
      <w:rFonts w:hint="default" w:ascii="Times New Roman" w:hAnsi="Times New Roman" w:cs="Times New Roman"/>
      <w:color w:val="000000"/>
      <w:sz w:val="21"/>
      <w:szCs w:val="21"/>
      <w:u w:val="none"/>
    </w:rPr>
  </w:style>
  <w:style w:type="character" w:customStyle="1" w:styleId="22">
    <w:name w:val="font31"/>
    <w:basedOn w:val="13"/>
    <w:qFormat/>
    <w:uiPriority w:val="0"/>
    <w:rPr>
      <w:rFonts w:hint="eastAsia" w:ascii="宋体" w:hAnsi="宋体" w:eastAsia="宋体" w:cs="宋体"/>
      <w:color w:val="000000"/>
      <w:sz w:val="21"/>
      <w:szCs w:val="21"/>
      <w:u w:val="none"/>
    </w:rPr>
  </w:style>
  <w:style w:type="character" w:customStyle="1" w:styleId="23">
    <w:name w:val="页眉 字符"/>
    <w:basedOn w:val="13"/>
    <w:link w:val="8"/>
    <w:qFormat/>
    <w:uiPriority w:val="0"/>
    <w:rPr>
      <w:rFonts w:ascii="Times New Roman" w:hAnsi="Times New Roman" w:cs="Times New Roman"/>
      <w:kern w:val="2"/>
      <w:sz w:val="18"/>
      <w:szCs w:val="18"/>
    </w:rPr>
  </w:style>
  <w:style w:type="character" w:customStyle="1" w:styleId="24">
    <w:name w:val="页脚 字符"/>
    <w:basedOn w:val="13"/>
    <w:link w:val="7"/>
    <w:qFormat/>
    <w:uiPriority w:val="0"/>
    <w:rPr>
      <w:rFonts w:ascii="Times New Roman" w:hAnsi="Times New Roman" w:cs="Times New Roman"/>
      <w:kern w:val="2"/>
      <w:sz w:val="18"/>
      <w:szCs w:val="18"/>
    </w:rPr>
  </w:style>
  <w:style w:type="character" w:customStyle="1" w:styleId="25">
    <w:name w:val="批注框文本 字符"/>
    <w:basedOn w:val="13"/>
    <w:link w:val="6"/>
    <w:qFormat/>
    <w:uiPriority w:val="0"/>
    <w:rPr>
      <w:rFonts w:ascii="Times New Roman" w:hAnsi="Times New Roman" w:cs="Times New Roman"/>
      <w:kern w:val="2"/>
      <w:sz w:val="18"/>
      <w:szCs w:val="18"/>
    </w:rPr>
  </w:style>
  <w:style w:type="character" w:customStyle="1" w:styleId="26">
    <w:name w:val="red"/>
    <w:basedOn w:val="13"/>
    <w:qFormat/>
    <w:uiPriority w:val="0"/>
    <w:rPr>
      <w:b/>
      <w:color w:val="E60012"/>
      <w:sz w:val="21"/>
      <w:szCs w:val="21"/>
    </w:rPr>
  </w:style>
  <w:style w:type="character" w:customStyle="1" w:styleId="27">
    <w:name w:val="red1"/>
    <w:basedOn w:val="13"/>
    <w:qFormat/>
    <w:uiPriority w:val="0"/>
    <w:rPr>
      <w:color w:val="E60012"/>
    </w:rPr>
  </w:style>
  <w:style w:type="character" w:customStyle="1" w:styleId="28">
    <w:name w:val="text"/>
    <w:basedOn w:val="13"/>
    <w:qFormat/>
    <w:uiPriority w:val="0"/>
    <w:rPr>
      <w:color w:val="999999"/>
    </w:rPr>
  </w:style>
  <w:style w:type="character" w:customStyle="1" w:styleId="29">
    <w:name w:val="blue"/>
    <w:basedOn w:val="13"/>
    <w:qFormat/>
    <w:uiPriority w:val="0"/>
    <w:rPr>
      <w:rFonts w:ascii="Arial" w:hAnsi="Arial" w:cs="Arial"/>
      <w:color w:val="1655A3"/>
      <w:sz w:val="22"/>
      <w:szCs w:val="22"/>
    </w:rPr>
  </w:style>
  <w:style w:type="character" w:customStyle="1" w:styleId="30">
    <w:name w:val="totle"/>
    <w:basedOn w:val="13"/>
    <w:qFormat/>
    <w:uiPriority w:val="0"/>
    <w:rPr>
      <w:rFonts w:ascii="Arial" w:hAnsi="Arial" w:cs="Arial"/>
      <w:b/>
      <w:color w:val="FFFFFF"/>
      <w:sz w:val="54"/>
      <w:szCs w:val="54"/>
    </w:rPr>
  </w:style>
  <w:style w:type="character" w:customStyle="1" w:styleId="31">
    <w:name w:val="line4"/>
    <w:basedOn w:val="13"/>
    <w:qFormat/>
    <w:uiPriority w:val="0"/>
    <w:rPr>
      <w:bdr w:val="single" w:color="333333" w:sz="6" w:space="0"/>
    </w:rPr>
  </w:style>
  <w:style w:type="character" w:customStyle="1" w:styleId="32">
    <w:name w:val="bb"/>
    <w:basedOn w:val="13"/>
    <w:qFormat/>
    <w:uiPriority w:val="0"/>
    <w:rPr>
      <w:color w:val="FFFFFF"/>
      <w:sz w:val="21"/>
      <w:szCs w:val="21"/>
      <w:shd w:val="clear" w:color="auto" w:fill="3399FF"/>
    </w:rPr>
  </w:style>
  <w:style w:type="character" w:customStyle="1" w:styleId="33">
    <w:name w:val="DeltaView Deletion"/>
    <w:qFormat/>
    <w:uiPriority w:val="99"/>
    <w:rPr>
      <w:strike/>
      <w:color w:val="FF0000"/>
    </w:rPr>
  </w:style>
  <w:style w:type="paragraph" w:styleId="34">
    <w:name w:val="List Paragraph"/>
    <w:basedOn w:val="1"/>
    <w:qFormat/>
    <w:uiPriority w:val="34"/>
    <w:pPr>
      <w:spacing w:line="380" w:lineRule="exact"/>
      <w:ind w:firstLine="420"/>
      <w:jc w:val="left"/>
    </w:pPr>
    <w:rPr>
      <w:sz w:val="28"/>
      <w:szCs w:val="28"/>
    </w:rPr>
  </w:style>
  <w:style w:type="character" w:customStyle="1" w:styleId="35">
    <w:name w:val="批注文字 字符"/>
    <w:basedOn w:val="13"/>
    <w:link w:val="4"/>
    <w:qFormat/>
    <w:uiPriority w:val="0"/>
    <w:rPr>
      <w:kern w:val="2"/>
      <w:sz w:val="21"/>
    </w:rPr>
  </w:style>
  <w:style w:type="character" w:customStyle="1" w:styleId="36">
    <w:name w:val="批注主题 字符"/>
    <w:basedOn w:val="35"/>
    <w:link w:val="10"/>
    <w:qFormat/>
    <w:uiPriority w:val="0"/>
    <w:rPr>
      <w:b/>
      <w:bCs/>
      <w:kern w:val="2"/>
      <w:sz w:val="21"/>
    </w:rPr>
  </w:style>
  <w:style w:type="paragraph" w:customStyle="1" w:styleId="37">
    <w:name w:val="修订1"/>
    <w:hidden/>
    <w:semiHidden/>
    <w:qFormat/>
    <w:uiPriority w:val="99"/>
    <w:rPr>
      <w:rFonts w:ascii="Times New Roman" w:hAnsi="Times New Roman" w:eastAsia="宋体" w:cs="Times New Roman"/>
      <w:kern w:val="2"/>
      <w:sz w:val="21"/>
      <w:lang w:val="en-US" w:eastAsia="zh-CN" w:bidi="ar-SA"/>
    </w:rPr>
  </w:style>
  <w:style w:type="paragraph" w:customStyle="1" w:styleId="38">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FA118-386A-4289-9D08-6EAD2FE53992}">
  <ds:schemaRefs/>
</ds:datastoreItem>
</file>

<file path=docProps/app.xml><?xml version="1.0" encoding="utf-8"?>
<Properties xmlns="http://schemas.openxmlformats.org/officeDocument/2006/extended-properties" xmlns:vt="http://schemas.openxmlformats.org/officeDocument/2006/docPropsVTypes">
  <Template>Normal</Template>
  <Company>Windows User</Company>
  <Pages>9</Pages>
  <Words>5157</Words>
  <Characters>5853</Characters>
  <Lines>43</Lines>
  <Paragraphs>12</Paragraphs>
  <TotalTime>22</TotalTime>
  <ScaleCrop>false</ScaleCrop>
  <LinksUpToDate>false</LinksUpToDate>
  <CharactersWithSpaces>5902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2022-11-10T09:13:00Z</dcterms:created>
  <dc:creator>邹岩</dc:creator>
  <cp:lastModifiedBy>suuuu</cp:lastModifiedBy>
  <dcterms:modified xsi:type="dcterms:W3CDTF">2022-11-11T02:58:52Z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94177EB50D604E0A96D0144718F00D9C</vt:lpwstr>
  </property>
</Properties>
</file>