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rPr>
        <w:t xml:space="preserve"> </w:t>
      </w:r>
      <w:r>
        <w:rPr>
          <w:szCs w:val="21"/>
        </w:rPr>
        <w:t xml:space="preserve">        公告编号：</w:t>
      </w:r>
      <w:r>
        <w:rPr>
          <w:szCs w:val="21"/>
          <w:highlight w:val="none"/>
        </w:rPr>
        <w:t>202</w:t>
      </w:r>
      <w:r>
        <w:rPr>
          <w:rFonts w:hint="eastAsia"/>
          <w:szCs w:val="21"/>
          <w:highlight w:val="none"/>
        </w:rPr>
        <w:t>3</w:t>
      </w:r>
      <w:r>
        <w:rPr>
          <w:szCs w:val="21"/>
          <w:highlight w:val="none"/>
        </w:rPr>
        <w:t>-</w:t>
      </w:r>
      <w:r>
        <w:rPr>
          <w:rFonts w:hint="eastAsia"/>
          <w:szCs w:val="21"/>
          <w:highlight w:val="none"/>
          <w:lang w:val="en-US" w:eastAsia="zh-CN"/>
        </w:rPr>
        <w:t>014</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关于使用部分闲置募集资金进行现金管理到期赎回的公告</w:t>
      </w:r>
    </w:p>
    <w:p>
      <w:pPr>
        <w:pBdr>
          <w:top w:val="single" w:color="auto" w:sz="4" w:space="1"/>
          <w:left w:val="single" w:color="auto" w:sz="4" w:space="4"/>
          <w:bottom w:val="single" w:color="auto" w:sz="4" w:space="0"/>
          <w:right w:val="single" w:color="auto" w:sz="4" w:space="4"/>
        </w:pBdr>
        <w:adjustRightInd w:val="0"/>
        <w:snapToGrid w:val="0"/>
        <w:spacing w:before="156" w:beforeLines="50" w:after="312" w:afterLines="100" w:line="360" w:lineRule="auto"/>
        <w:ind w:firstLine="480" w:firstLineChars="20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本公司董事会及全体董事保证本公告内容不存在任何虚假记载、误导性陈述或者重大遗漏，并对其内容的真实性、准确性和完整性承担法律责任。</w:t>
      </w:r>
    </w:p>
    <w:p>
      <w:pPr>
        <w:widowControl/>
        <w:spacing w:line="360" w:lineRule="auto"/>
        <w:ind w:firstLine="480" w:firstLineChars="200"/>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w:t>
      </w:r>
      <w:r>
        <w:rPr>
          <w:rFonts w:hint="eastAsia" w:eastAsiaTheme="minorEastAsia"/>
          <w:color w:val="000000"/>
          <w:kern w:val="0"/>
          <w:sz w:val="24"/>
          <w:szCs w:val="24"/>
          <w:lang w:bidi="ar"/>
        </w:rPr>
        <w:t>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r>
        <w:rPr>
          <w:rFonts w:hint="eastAsia" w:eastAsiaTheme="minorEastAsia"/>
          <w:color w:val="000000"/>
          <w:kern w:val="0"/>
          <w:sz w:val="24"/>
          <w:szCs w:val="24"/>
          <w:lang w:eastAsia="zh-CN" w:bidi="ar"/>
        </w:rPr>
        <w:t>。</w:t>
      </w:r>
      <w:r>
        <w:rPr>
          <w:rFonts w:hint="eastAsia" w:eastAsiaTheme="minorEastAsia"/>
          <w:color w:val="000000"/>
          <w:kern w:val="0"/>
          <w:sz w:val="24"/>
          <w:szCs w:val="24"/>
          <w:lang w:bidi="ar"/>
        </w:rPr>
        <w:br w:type="textWrapping"/>
      </w:r>
      <w:r>
        <w:rPr>
          <w:rFonts w:hint="eastAsia" w:eastAsiaTheme="minorEastAsia"/>
          <w:color w:val="000000"/>
          <w:kern w:val="0"/>
          <w:sz w:val="24"/>
          <w:szCs w:val="24"/>
          <w:lang w:val="en-US" w:eastAsia="zh-CN" w:bidi="ar"/>
        </w:rPr>
        <w:t xml:space="preserve">    2022年4月25日，公司</w:t>
      </w:r>
      <w:r>
        <w:rPr>
          <w:rFonts w:eastAsiaTheme="minorEastAsia"/>
          <w:color w:val="000000"/>
          <w:kern w:val="0"/>
          <w:sz w:val="24"/>
          <w:szCs w:val="24"/>
          <w:lang w:bidi="ar"/>
        </w:rPr>
        <w:t>召开了第七届董事会第</w:t>
      </w:r>
      <w:r>
        <w:rPr>
          <w:rFonts w:hint="eastAsia" w:eastAsiaTheme="minorEastAsia"/>
          <w:color w:val="000000"/>
          <w:kern w:val="0"/>
          <w:sz w:val="24"/>
          <w:szCs w:val="24"/>
          <w:lang w:bidi="ar"/>
        </w:rPr>
        <w:t>二十三</w:t>
      </w:r>
      <w:r>
        <w:rPr>
          <w:rFonts w:eastAsiaTheme="minorEastAsia"/>
          <w:color w:val="000000"/>
          <w:kern w:val="0"/>
          <w:sz w:val="24"/>
          <w:szCs w:val="24"/>
          <w:lang w:bidi="ar"/>
        </w:rPr>
        <w:t>次会议、第七届监事会第</w:t>
      </w:r>
      <w:r>
        <w:rPr>
          <w:rFonts w:hint="eastAsia" w:eastAsiaTheme="minorEastAsia"/>
          <w:color w:val="000000"/>
          <w:kern w:val="0"/>
          <w:sz w:val="24"/>
          <w:szCs w:val="24"/>
          <w:lang w:bidi="ar"/>
        </w:rPr>
        <w:t>二十</w:t>
      </w:r>
      <w:r>
        <w:rPr>
          <w:rFonts w:eastAsiaTheme="minorEastAsia"/>
          <w:color w:val="000000"/>
          <w:kern w:val="0"/>
          <w:sz w:val="24"/>
          <w:szCs w:val="24"/>
          <w:lang w:bidi="ar"/>
        </w:rPr>
        <w:t>次会议，</w:t>
      </w:r>
      <w:r>
        <w:rPr>
          <w:rFonts w:eastAsiaTheme="minorEastAsia"/>
          <w:color w:val="000000"/>
          <w:sz w:val="24"/>
          <w:szCs w:val="24"/>
        </w:rPr>
        <w:t>审议通过了《关于使用部分闲置募集资金进行现金管理的议案》。同意公司使用总额不超过人民币</w:t>
      </w:r>
      <w:r>
        <w:rPr>
          <w:rFonts w:hint="eastAsia" w:eastAsiaTheme="minorEastAsia"/>
          <w:color w:val="000000"/>
          <w:sz w:val="24"/>
          <w:szCs w:val="24"/>
        </w:rPr>
        <w:t>5</w:t>
      </w:r>
      <w:r>
        <w:rPr>
          <w:rFonts w:eastAsiaTheme="minorEastAsia"/>
          <w:color w:val="000000"/>
          <w:sz w:val="24"/>
          <w:szCs w:val="24"/>
        </w:rPr>
        <w:t>亿元（含</w:t>
      </w:r>
      <w:r>
        <w:rPr>
          <w:rFonts w:hint="eastAsia" w:eastAsiaTheme="minorEastAsia"/>
          <w:color w:val="000000"/>
          <w:sz w:val="24"/>
          <w:szCs w:val="24"/>
        </w:rPr>
        <w:t>5</w:t>
      </w:r>
      <w:r>
        <w:rPr>
          <w:rFonts w:eastAsiaTheme="minorEastAsia"/>
          <w:color w:val="000000"/>
          <w:sz w:val="24"/>
          <w:szCs w:val="24"/>
        </w:rPr>
        <w:t>亿元）的闲置募集资金进行现金管理，</w:t>
      </w:r>
      <w:r>
        <w:rPr>
          <w:rFonts w:eastAsiaTheme="minorEastAsia"/>
          <w:color w:val="000000"/>
          <w:kern w:val="0"/>
          <w:sz w:val="24"/>
          <w:szCs w:val="24"/>
          <w:lang w:bidi="ar"/>
        </w:rPr>
        <w:t>在12个月内（含12个月）该项资金额度可滚动使用（以保证募集资金项目建设和使用为前提），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使用期限自获得公司第七届董事会第二十三次会议审议通过之日起12个月内（含12个月）有效。</w:t>
      </w:r>
      <w:r>
        <w:rPr>
          <w:rFonts w:eastAsiaTheme="minorEastAsia"/>
          <w:color w:val="000000"/>
          <w:sz w:val="24"/>
          <w:szCs w:val="24"/>
        </w:rPr>
        <w:t>公司独立董事、监事会及保荐机构已分别对此发表了同意的意见。具体详情详见公司于202</w:t>
      </w:r>
      <w:r>
        <w:rPr>
          <w:rFonts w:hint="eastAsia" w:eastAsiaTheme="minorEastAsia"/>
          <w:color w:val="000000"/>
          <w:sz w:val="24"/>
          <w:szCs w:val="24"/>
        </w:rPr>
        <w:t>2</w:t>
      </w:r>
      <w:r>
        <w:rPr>
          <w:rFonts w:eastAsiaTheme="minorEastAsia"/>
          <w:color w:val="000000"/>
          <w:sz w:val="24"/>
          <w:szCs w:val="24"/>
        </w:rPr>
        <w:t>年</w:t>
      </w:r>
      <w:r>
        <w:rPr>
          <w:rFonts w:hint="eastAsia" w:eastAsiaTheme="minorEastAsia"/>
          <w:color w:val="000000"/>
          <w:sz w:val="24"/>
          <w:szCs w:val="24"/>
        </w:rPr>
        <w:t>4</w:t>
      </w:r>
      <w:r>
        <w:rPr>
          <w:rFonts w:eastAsiaTheme="minorEastAsia"/>
          <w:color w:val="000000"/>
          <w:sz w:val="24"/>
          <w:szCs w:val="24"/>
        </w:rPr>
        <w:t>月</w:t>
      </w:r>
      <w:r>
        <w:rPr>
          <w:rFonts w:hint="eastAsia" w:eastAsiaTheme="minorEastAsia"/>
          <w:color w:val="000000"/>
          <w:sz w:val="24"/>
          <w:szCs w:val="24"/>
        </w:rPr>
        <w:t>26</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rPr>
        <w:t>2</w:t>
      </w:r>
      <w:r>
        <w:rPr>
          <w:rFonts w:eastAsiaTheme="minorEastAsia"/>
          <w:color w:val="000000"/>
          <w:sz w:val="24"/>
          <w:szCs w:val="24"/>
        </w:rPr>
        <w:t>-0</w:t>
      </w:r>
      <w:r>
        <w:rPr>
          <w:rFonts w:hint="eastAsia" w:eastAsiaTheme="minorEastAsia"/>
          <w:color w:val="000000"/>
          <w:sz w:val="24"/>
          <w:szCs w:val="24"/>
        </w:rPr>
        <w:t>13</w:t>
      </w:r>
      <w:r>
        <w:rPr>
          <w:rFonts w:eastAsiaTheme="minorEastAsia"/>
          <w:color w:val="000000"/>
          <w:sz w:val="24"/>
          <w:szCs w:val="24"/>
        </w:rPr>
        <w:t>）。</w:t>
      </w:r>
      <w:bookmarkStart w:id="1" w:name="_GoBack"/>
      <w:bookmarkEnd w:id="1"/>
    </w:p>
    <w:p>
      <w:pPr>
        <w:widowControl/>
        <w:spacing w:before="156" w:beforeLines="50" w:after="156" w:afterLines="50" w:line="360" w:lineRule="auto"/>
        <w:ind w:firstLine="482" w:firstLineChars="200"/>
        <w:jc w:val="left"/>
        <w:rPr>
          <w:rFonts w:eastAsiaTheme="minorEastAsia"/>
          <w:b/>
          <w:color w:val="000000"/>
          <w:sz w:val="24"/>
          <w:szCs w:val="24"/>
        </w:rPr>
      </w:pPr>
      <w:r>
        <w:rPr>
          <w:rFonts w:hint="eastAsia" w:eastAsiaTheme="minorEastAsia"/>
          <w:b/>
          <w:color w:val="000000"/>
          <w:sz w:val="24"/>
          <w:szCs w:val="24"/>
        </w:rPr>
        <w:t>一、公司前次使用暂时闲置募集资金购买理财产品到期赎回的情况</w:t>
      </w:r>
    </w:p>
    <w:tbl>
      <w:tblPr>
        <w:tblStyle w:val="8"/>
        <w:tblW w:w="6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166"/>
        <w:gridCol w:w="1308"/>
        <w:gridCol w:w="1311"/>
        <w:gridCol w:w="1605"/>
        <w:gridCol w:w="1310"/>
        <w:gridCol w:w="1307"/>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478"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548"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615" w:type="pct"/>
            <w:vAlign w:val="center"/>
          </w:tcPr>
          <w:p>
            <w:pPr>
              <w:autoSpaceDE w:val="0"/>
              <w:autoSpaceDN w:val="0"/>
              <w:adjustRightInd w:val="0"/>
              <w:spacing w:line="360" w:lineRule="auto"/>
              <w:ind w:left="219" w:hanging="219" w:hangingChars="104"/>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616"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赎回金额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54"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16"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起始日</w:t>
            </w:r>
          </w:p>
        </w:tc>
        <w:tc>
          <w:tcPr>
            <w:tcW w:w="615" w:type="pct"/>
            <w:vAlign w:val="center"/>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兑付日</w:t>
            </w:r>
          </w:p>
        </w:tc>
        <w:tc>
          <w:tcPr>
            <w:tcW w:w="754" w:type="pct"/>
          </w:tcPr>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实际收益金额</w:t>
            </w:r>
          </w:p>
          <w:p>
            <w:pPr>
              <w:autoSpaceDE w:val="0"/>
              <w:autoSpaceDN w:val="0"/>
              <w:adjustRightInd w:val="0"/>
              <w:spacing w:line="360" w:lineRule="auto"/>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478" w:type="pct"/>
            <w:vAlign w:val="center"/>
          </w:tcPr>
          <w:p>
            <w:pPr>
              <w:autoSpaceDE w:val="0"/>
              <w:autoSpaceDN w:val="0"/>
              <w:adjustRightInd w:val="0"/>
              <w:spacing w:line="360" w:lineRule="auto"/>
              <w:jc w:val="center"/>
              <w:rPr>
                <w:rFonts w:eastAsiaTheme="minorEastAsia"/>
                <w:color w:val="000000"/>
                <w:kern w:val="0"/>
                <w:szCs w:val="21"/>
              </w:rPr>
            </w:pPr>
            <w:r>
              <w:rPr>
                <w:rFonts w:hint="eastAsia" w:eastAsiaTheme="minorEastAsia"/>
                <w:color w:val="000000"/>
                <w:kern w:val="0"/>
                <w:szCs w:val="21"/>
                <w:lang w:eastAsia="zh-CN"/>
              </w:rPr>
              <w:t>国融</w:t>
            </w:r>
            <w:r>
              <w:rPr>
                <w:rFonts w:hint="eastAsia" w:eastAsiaTheme="minorEastAsia"/>
                <w:color w:val="000000"/>
                <w:kern w:val="0"/>
                <w:szCs w:val="21"/>
              </w:rPr>
              <w:t>证券</w:t>
            </w:r>
          </w:p>
        </w:tc>
        <w:tc>
          <w:tcPr>
            <w:tcW w:w="548" w:type="pct"/>
            <w:vAlign w:val="center"/>
          </w:tcPr>
          <w:p>
            <w:pPr>
              <w:autoSpaceDE w:val="0"/>
              <w:autoSpaceDN w:val="0"/>
              <w:adjustRightInd w:val="0"/>
              <w:spacing w:line="360" w:lineRule="auto"/>
              <w:jc w:val="center"/>
              <w:rPr>
                <w:rFonts w:eastAsiaTheme="minorEastAsia"/>
                <w:color w:val="000000"/>
                <w:szCs w:val="21"/>
              </w:rPr>
            </w:pPr>
            <w:r>
              <w:rPr>
                <w:rFonts w:hint="eastAsia" w:eastAsiaTheme="minorEastAsia"/>
                <w:color w:val="000000"/>
                <w:szCs w:val="21"/>
              </w:rPr>
              <w:t>券商收益凭证</w:t>
            </w:r>
          </w:p>
        </w:tc>
        <w:tc>
          <w:tcPr>
            <w:tcW w:w="615" w:type="pct"/>
            <w:vAlign w:val="center"/>
          </w:tcPr>
          <w:p>
            <w:pPr>
              <w:autoSpaceDE w:val="0"/>
              <w:autoSpaceDN w:val="0"/>
              <w:adjustRightInd w:val="0"/>
              <w:spacing w:line="360" w:lineRule="auto"/>
              <w:jc w:val="center"/>
              <w:rPr>
                <w:rFonts w:hint="default" w:eastAsiaTheme="minorEastAsia"/>
                <w:color w:val="000000"/>
                <w:kern w:val="0"/>
                <w:szCs w:val="21"/>
                <w:lang w:val="en-US" w:eastAsia="zh-CN"/>
              </w:rPr>
            </w:pPr>
            <w:r>
              <w:rPr>
                <w:rFonts w:hint="eastAsia" w:eastAsiaTheme="minorEastAsia"/>
                <w:color w:val="000000"/>
                <w:kern w:val="0"/>
                <w:szCs w:val="21"/>
                <w:lang w:eastAsia="zh-CN"/>
              </w:rPr>
              <w:t>安享收益凭证</w:t>
            </w:r>
            <w:r>
              <w:rPr>
                <w:rFonts w:hint="eastAsia" w:eastAsiaTheme="minorEastAsia"/>
                <w:color w:val="000000"/>
                <w:kern w:val="0"/>
                <w:szCs w:val="21"/>
                <w:lang w:val="en-US" w:eastAsia="zh-CN"/>
              </w:rPr>
              <w:t>2242号</w:t>
            </w:r>
          </w:p>
        </w:tc>
        <w:tc>
          <w:tcPr>
            <w:tcW w:w="616" w:type="pct"/>
            <w:vAlign w:val="center"/>
          </w:tcPr>
          <w:p>
            <w:pPr>
              <w:widowControl/>
              <w:jc w:val="center"/>
              <w:textAlignment w:val="center"/>
              <w:rPr>
                <w:color w:val="000000"/>
                <w:kern w:val="0"/>
                <w:szCs w:val="21"/>
                <w:lang w:bidi="ar"/>
              </w:rPr>
            </w:pPr>
            <w:r>
              <w:rPr>
                <w:rFonts w:hint="eastAsia" w:eastAsiaTheme="minorEastAsia"/>
                <w:color w:val="000000"/>
                <w:kern w:val="0"/>
                <w:szCs w:val="21"/>
                <w:lang w:val="en-US" w:eastAsia="zh-CN" w:bidi="ar"/>
              </w:rPr>
              <w:t>7</w:t>
            </w:r>
            <w:r>
              <w:rPr>
                <w:rFonts w:hint="eastAsia" w:eastAsiaTheme="minorEastAsia"/>
                <w:color w:val="000000"/>
                <w:kern w:val="0"/>
                <w:szCs w:val="21"/>
                <w:lang w:bidi="ar"/>
              </w:rPr>
              <w:t>,500</w:t>
            </w:r>
          </w:p>
        </w:tc>
        <w:tc>
          <w:tcPr>
            <w:tcW w:w="754" w:type="pct"/>
            <w:vAlign w:val="center"/>
          </w:tcPr>
          <w:p>
            <w:pPr>
              <w:widowControl/>
              <w:spacing w:before="156" w:beforeLines="50" w:after="156" w:afterLines="50"/>
              <w:jc w:val="center"/>
              <w:rPr>
                <w:rFonts w:hint="eastAsia" w:eastAsiaTheme="minorEastAsia"/>
                <w:bCs/>
                <w:color w:val="000000"/>
                <w:kern w:val="0"/>
                <w:szCs w:val="21"/>
                <w:lang w:val="en-US" w:eastAsia="zh-CN"/>
              </w:rPr>
            </w:pPr>
            <w:r>
              <w:rPr>
                <w:rFonts w:hint="eastAsia" w:eastAsiaTheme="minorEastAsia"/>
                <w:color w:val="000000"/>
                <w:szCs w:val="21"/>
              </w:rPr>
              <w:t>本金保障型固定收益</w:t>
            </w:r>
            <w:r>
              <w:rPr>
                <w:rFonts w:hint="eastAsia" w:eastAsiaTheme="minorEastAsia"/>
                <w:color w:val="000000"/>
                <w:szCs w:val="21"/>
                <w:lang w:val="en-US" w:eastAsia="zh-CN"/>
              </w:rPr>
              <w:t>型</w:t>
            </w:r>
          </w:p>
        </w:tc>
        <w:tc>
          <w:tcPr>
            <w:tcW w:w="616" w:type="pct"/>
            <w:vAlign w:val="center"/>
          </w:tcPr>
          <w:p>
            <w:pPr>
              <w:widowControl/>
              <w:spacing w:before="156" w:beforeLines="50" w:after="156" w:afterLines="50"/>
              <w:jc w:val="center"/>
              <w:rPr>
                <w:rFonts w:hint="eastAsia" w:eastAsia="宋体"/>
                <w:color w:val="000000"/>
                <w:szCs w:val="21"/>
                <w:lang w:val="en-US" w:eastAsia="zh-CN"/>
              </w:rPr>
            </w:pPr>
            <w:r>
              <w:rPr>
                <w:rFonts w:hint="eastAsia"/>
                <w:color w:val="000000"/>
                <w:szCs w:val="21"/>
              </w:rPr>
              <w:t>2022.</w:t>
            </w:r>
            <w:r>
              <w:rPr>
                <w:rFonts w:hint="eastAsia"/>
                <w:color w:val="000000"/>
                <w:szCs w:val="21"/>
                <w:lang w:val="en-US" w:eastAsia="zh-CN"/>
              </w:rPr>
              <w:t>3</w:t>
            </w:r>
            <w:r>
              <w:rPr>
                <w:rFonts w:hint="eastAsia"/>
                <w:color w:val="000000"/>
                <w:szCs w:val="21"/>
              </w:rPr>
              <w:t>.3</w:t>
            </w:r>
            <w:r>
              <w:rPr>
                <w:rFonts w:hint="eastAsia"/>
                <w:color w:val="000000"/>
                <w:szCs w:val="21"/>
                <w:lang w:val="en-US" w:eastAsia="zh-CN"/>
              </w:rPr>
              <w:t>1</w:t>
            </w:r>
          </w:p>
        </w:tc>
        <w:tc>
          <w:tcPr>
            <w:tcW w:w="615" w:type="pct"/>
            <w:vAlign w:val="center"/>
          </w:tcPr>
          <w:p>
            <w:pPr>
              <w:widowControl/>
              <w:spacing w:before="156" w:beforeLines="50" w:after="156" w:afterLines="50"/>
              <w:jc w:val="center"/>
              <w:rPr>
                <w:rFonts w:hint="eastAsia" w:eastAsia="宋体"/>
                <w:bCs/>
                <w:color w:val="000000"/>
                <w:kern w:val="0"/>
                <w:szCs w:val="21"/>
                <w:lang w:val="en-US" w:eastAsia="zh-CN"/>
              </w:rPr>
            </w:pPr>
            <w:r>
              <w:rPr>
                <w:rFonts w:hint="eastAsia"/>
                <w:bCs/>
                <w:color w:val="000000"/>
                <w:kern w:val="0"/>
                <w:szCs w:val="21"/>
              </w:rPr>
              <w:t>2023.3.2</w:t>
            </w:r>
            <w:r>
              <w:rPr>
                <w:rFonts w:hint="eastAsia"/>
                <w:bCs/>
                <w:color w:val="000000"/>
                <w:kern w:val="0"/>
                <w:szCs w:val="21"/>
                <w:lang w:val="en-US" w:eastAsia="zh-CN"/>
              </w:rPr>
              <w:t>9</w:t>
            </w:r>
          </w:p>
        </w:tc>
        <w:tc>
          <w:tcPr>
            <w:tcW w:w="754" w:type="pct"/>
            <w:vAlign w:val="center"/>
          </w:tcPr>
          <w:p>
            <w:pPr>
              <w:widowControl/>
              <w:spacing w:before="156" w:beforeLines="50" w:after="156" w:afterLines="50"/>
              <w:jc w:val="center"/>
              <w:rPr>
                <w:rFonts w:hint="default" w:eastAsia="宋体"/>
                <w:color w:val="000000"/>
                <w:szCs w:val="21"/>
                <w:lang w:val="en-US" w:eastAsia="zh-CN"/>
              </w:rPr>
            </w:pPr>
            <w:r>
              <w:rPr>
                <w:rFonts w:hint="eastAsia"/>
                <w:color w:val="000000"/>
                <w:szCs w:val="21"/>
                <w:highlight w:val="none"/>
                <w:lang w:val="en-US" w:eastAsia="zh-CN"/>
              </w:rPr>
              <w:t>335.84</w:t>
            </w:r>
          </w:p>
        </w:tc>
      </w:tr>
    </w:tbl>
    <w:p>
      <w:pPr>
        <w:widowControl/>
        <w:wordWrap w:val="0"/>
        <w:spacing w:before="156" w:beforeLines="50" w:after="156" w:afterLines="50" w:line="360" w:lineRule="auto"/>
        <w:ind w:firstLine="480" w:firstLineChars="200"/>
        <w:rPr>
          <w:rFonts w:eastAsiaTheme="minorEastAsia"/>
          <w:color w:val="000000"/>
          <w:sz w:val="24"/>
          <w:szCs w:val="24"/>
        </w:rPr>
      </w:pPr>
      <w:r>
        <w:rPr>
          <w:rFonts w:hint="eastAsia" w:eastAsiaTheme="minorEastAsia"/>
          <w:color w:val="000000"/>
          <w:sz w:val="24"/>
          <w:szCs w:val="24"/>
        </w:rPr>
        <w:t>公司于2022年</w:t>
      </w:r>
      <w:r>
        <w:rPr>
          <w:rFonts w:hint="eastAsia" w:eastAsiaTheme="minorEastAsia"/>
          <w:color w:val="000000"/>
          <w:sz w:val="24"/>
          <w:szCs w:val="24"/>
          <w:lang w:val="en-US" w:eastAsia="zh-CN"/>
        </w:rPr>
        <w:t>3</w:t>
      </w:r>
      <w:r>
        <w:rPr>
          <w:rFonts w:hint="eastAsia" w:eastAsiaTheme="minorEastAsia"/>
          <w:color w:val="000000"/>
          <w:sz w:val="24"/>
          <w:szCs w:val="24"/>
        </w:rPr>
        <w:t>月30日以募集资金认购了</w:t>
      </w:r>
      <w:r>
        <w:rPr>
          <w:rFonts w:hint="eastAsia" w:eastAsiaTheme="minorEastAsia"/>
          <w:color w:val="000000"/>
          <w:sz w:val="24"/>
          <w:szCs w:val="24"/>
          <w:lang w:eastAsia="zh-CN"/>
        </w:rPr>
        <w:t>国融</w:t>
      </w:r>
      <w:r>
        <w:rPr>
          <w:rFonts w:hint="eastAsia" w:eastAsiaTheme="minorEastAsia"/>
          <w:color w:val="000000"/>
          <w:sz w:val="24"/>
          <w:szCs w:val="24"/>
        </w:rPr>
        <w:t>证券股份有限公司的理财产品，具体内容详见公司于2022年</w:t>
      </w:r>
      <w:r>
        <w:rPr>
          <w:rFonts w:hint="eastAsia" w:eastAsiaTheme="minorEastAsia"/>
          <w:color w:val="000000"/>
          <w:sz w:val="24"/>
          <w:szCs w:val="24"/>
          <w:lang w:val="en-US" w:eastAsia="zh-CN"/>
        </w:rPr>
        <w:t>3</w:t>
      </w:r>
      <w:r>
        <w:rPr>
          <w:rFonts w:hint="eastAsia" w:eastAsiaTheme="minorEastAsia"/>
          <w:color w:val="000000"/>
          <w:sz w:val="24"/>
          <w:szCs w:val="24"/>
        </w:rPr>
        <w:t>月</w:t>
      </w:r>
      <w:r>
        <w:rPr>
          <w:rFonts w:hint="eastAsia" w:eastAsiaTheme="minorEastAsia"/>
          <w:color w:val="000000"/>
          <w:sz w:val="24"/>
          <w:szCs w:val="24"/>
          <w:lang w:val="en-US" w:eastAsia="zh-CN"/>
        </w:rPr>
        <w:t>3</w:t>
      </w:r>
      <w:r>
        <w:rPr>
          <w:rFonts w:hint="eastAsia" w:eastAsiaTheme="minorEastAsia"/>
          <w:color w:val="000000"/>
          <w:sz w:val="24"/>
          <w:szCs w:val="24"/>
        </w:rPr>
        <w:t>1日在上海证券交易所官方网站（www.sse.com.cn）披露的《格尔软件股份有限公司关于使用部分闲置募集资金进行现金管理的进展公告》（公告编号：2022-0</w:t>
      </w:r>
      <w:r>
        <w:rPr>
          <w:rFonts w:hint="eastAsia" w:eastAsiaTheme="minorEastAsia"/>
          <w:color w:val="000000"/>
          <w:sz w:val="24"/>
          <w:szCs w:val="24"/>
          <w:lang w:val="en-US" w:eastAsia="zh-CN"/>
        </w:rPr>
        <w:t>07</w:t>
      </w:r>
      <w:r>
        <w:rPr>
          <w:rFonts w:hint="eastAsia" w:eastAsiaTheme="minorEastAsia"/>
          <w:color w:val="000000"/>
          <w:sz w:val="24"/>
          <w:szCs w:val="24"/>
        </w:rPr>
        <w:t>）。截至本公告披露日，公司已收回本金和获得理财收益并划至募集资金专用账户。</w:t>
      </w:r>
    </w:p>
    <w:p>
      <w:pPr>
        <w:widowControl/>
        <w:spacing w:before="156" w:beforeLines="50" w:after="156" w:afterLines="50" w:line="360" w:lineRule="auto"/>
        <w:ind w:firstLine="482" w:firstLineChars="200"/>
        <w:jc w:val="left"/>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二、</w:t>
      </w:r>
      <w:r>
        <w:rPr>
          <w:rFonts w:asciiTheme="minorEastAsia" w:hAnsiTheme="minorEastAsia" w:eastAsiaTheme="minorEastAsia" w:cstheme="minorEastAsia"/>
          <w:b/>
          <w:bCs/>
          <w:color w:val="000000"/>
          <w:sz w:val="24"/>
          <w:szCs w:val="24"/>
        </w:rPr>
        <w:t>截至本公告日，公司最近十二个月使用募集资金委托理财的情况</w:t>
      </w:r>
    </w:p>
    <w:p>
      <w:pPr>
        <w:widowControl/>
        <w:spacing w:line="360" w:lineRule="auto"/>
        <w:ind w:left="368" w:leftChars="175"/>
        <w:jc w:val="right"/>
        <w:rPr>
          <w:rFonts w:ascii="宋体" w:hAnsi="宋体"/>
          <w:bCs/>
          <w:szCs w:val="21"/>
        </w:rPr>
      </w:pPr>
      <w:r>
        <w:rPr>
          <w:rFonts w:hint="eastAsia" w:ascii="宋体" w:hAnsi="宋体"/>
          <w:bCs/>
          <w:szCs w:val="21"/>
        </w:rPr>
        <w:t xml:space="preserve">币种：人民币 </w:t>
      </w:r>
      <w:r>
        <w:rPr>
          <w:rFonts w:ascii="宋体" w:hAnsi="宋体"/>
          <w:bCs/>
          <w:szCs w:val="21"/>
        </w:rPr>
        <w:t xml:space="preserve"> </w:t>
      </w: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实际收益</w:t>
            </w:r>
          </w:p>
        </w:tc>
        <w:tc>
          <w:tcPr>
            <w:tcW w:w="1449" w:type="dxa"/>
          </w:tcPr>
          <w:p>
            <w:pPr>
              <w:widowControl/>
              <w:spacing w:line="360" w:lineRule="auto"/>
              <w:jc w:val="center"/>
              <w:textAlignment w:val="center"/>
              <w:rPr>
                <w:color w:val="000000"/>
                <w:kern w:val="0"/>
                <w:szCs w:val="21"/>
                <w:lang w:bidi="ar"/>
              </w:rPr>
            </w:pPr>
            <w:r>
              <w:rPr>
                <w:color w:val="000000"/>
                <w:kern w:val="0"/>
                <w:szCs w:val="21"/>
                <w:lang w:bidi="ar"/>
              </w:rPr>
              <w:t>尚未收回</w:t>
            </w:r>
          </w:p>
          <w:p>
            <w:pPr>
              <w:widowControl/>
              <w:spacing w:line="360" w:lineRule="auto"/>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color w:val="000000"/>
                <w:kern w:val="0"/>
                <w:sz w:val="21"/>
                <w:szCs w:val="21"/>
                <w:lang w:val="en-US" w:eastAsia="zh-CN" w:bidi="ar"/>
              </w:rPr>
            </w:pPr>
            <w:bookmarkStart w:id="0" w:name="OLE_LINK1" w:colFirst="2" w:colLast="4"/>
            <w:r>
              <w:rPr>
                <w:rFonts w:hint="eastAsia"/>
                <w:color w:val="000000"/>
                <w:kern w:val="0"/>
                <w:szCs w:val="21"/>
                <w:lang w:bidi="ar"/>
              </w:rPr>
              <w:t>1</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20,000.00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20,000.00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color w:val="000000"/>
                <w:szCs w:val="21"/>
              </w:rPr>
              <w:t>895.08</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color w:val="000000"/>
                <w:kern w:val="0"/>
                <w:sz w:val="21"/>
                <w:szCs w:val="21"/>
                <w:lang w:val="en-US" w:eastAsia="zh-CN" w:bidi="ar"/>
              </w:rPr>
            </w:pPr>
            <w:r>
              <w:rPr>
                <w:rFonts w:hint="eastAsia"/>
                <w:color w:val="000000"/>
                <w:kern w:val="0"/>
                <w:szCs w:val="21"/>
                <w:lang w:bidi="ar"/>
              </w:rPr>
              <w:t>2</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96.16</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color w:val="000000"/>
                <w:kern w:val="0"/>
                <w:sz w:val="21"/>
                <w:szCs w:val="21"/>
                <w:lang w:val="en-US" w:eastAsia="zh-CN" w:bidi="ar"/>
              </w:rPr>
            </w:pPr>
            <w:r>
              <w:rPr>
                <w:rFonts w:hint="eastAsia"/>
                <w:color w:val="000000"/>
                <w:kern w:val="0"/>
                <w:szCs w:val="21"/>
                <w:lang w:bidi="ar"/>
              </w:rPr>
              <w:t>3</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92.05</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color w:val="000000"/>
                <w:kern w:val="0"/>
                <w:sz w:val="21"/>
                <w:szCs w:val="21"/>
                <w:lang w:val="en-US" w:eastAsia="zh-CN" w:bidi="ar"/>
              </w:rPr>
            </w:pPr>
            <w:r>
              <w:rPr>
                <w:rFonts w:hint="eastAsia"/>
                <w:color w:val="000000"/>
                <w:kern w:val="0"/>
                <w:szCs w:val="21"/>
                <w:lang w:bidi="ar"/>
              </w:rPr>
              <w:t>4</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highlight w:val="none"/>
                <w:lang w:bidi="ar"/>
              </w:rPr>
            </w:pPr>
            <w:r>
              <w:rPr>
                <w:rFonts w:hint="eastAsia"/>
                <w:kern w:val="0"/>
                <w:szCs w:val="21"/>
                <w:highlight w:val="none"/>
                <w:lang w:bidi="ar"/>
              </w:rPr>
              <w:t>7,500.00</w:t>
            </w:r>
          </w:p>
        </w:tc>
        <w:tc>
          <w:tcPr>
            <w:tcW w:w="1701" w:type="dxa"/>
            <w:shd w:val="clear" w:color="auto" w:fill="auto"/>
            <w:vAlign w:val="center"/>
          </w:tcPr>
          <w:p>
            <w:pPr>
              <w:widowControl/>
              <w:spacing w:line="360" w:lineRule="auto"/>
              <w:jc w:val="right"/>
              <w:textAlignment w:val="center"/>
              <w:rPr>
                <w:rFonts w:hint="default" w:eastAsia="宋体"/>
                <w:kern w:val="0"/>
                <w:szCs w:val="21"/>
                <w:highlight w:val="none"/>
                <w:lang w:val="en-US" w:eastAsia="zh-CN" w:bidi="ar"/>
              </w:rPr>
            </w:pPr>
            <w:r>
              <w:rPr>
                <w:rFonts w:hint="eastAsia"/>
                <w:kern w:val="0"/>
                <w:szCs w:val="21"/>
                <w:highlight w:val="none"/>
                <w:lang w:val="en-US" w:eastAsia="zh-CN" w:bidi="ar"/>
              </w:rPr>
              <w:t>7,500.00</w:t>
            </w:r>
          </w:p>
        </w:tc>
        <w:tc>
          <w:tcPr>
            <w:tcW w:w="1378" w:type="dxa"/>
            <w:shd w:val="clear" w:color="auto" w:fill="auto"/>
            <w:vAlign w:val="center"/>
          </w:tcPr>
          <w:p>
            <w:pPr>
              <w:widowControl/>
              <w:spacing w:line="360" w:lineRule="auto"/>
              <w:jc w:val="right"/>
              <w:textAlignment w:val="center"/>
              <w:rPr>
                <w:rFonts w:hint="default" w:eastAsia="宋体"/>
                <w:kern w:val="0"/>
                <w:szCs w:val="21"/>
                <w:highlight w:val="none"/>
                <w:lang w:val="en-US" w:eastAsia="zh-CN" w:bidi="ar"/>
              </w:rPr>
            </w:pPr>
            <w:r>
              <w:rPr>
                <w:rFonts w:hint="eastAsia"/>
                <w:kern w:val="0"/>
                <w:szCs w:val="21"/>
                <w:highlight w:val="none"/>
                <w:lang w:val="en-US" w:eastAsia="zh-CN" w:bidi="ar"/>
              </w:rPr>
              <w:t>335.84</w:t>
            </w:r>
          </w:p>
        </w:tc>
        <w:tc>
          <w:tcPr>
            <w:tcW w:w="1449" w:type="dxa"/>
            <w:vAlign w:val="center"/>
          </w:tcPr>
          <w:p>
            <w:pPr>
              <w:widowControl/>
              <w:spacing w:line="360" w:lineRule="auto"/>
              <w:jc w:val="right"/>
              <w:textAlignment w:val="center"/>
              <w:rPr>
                <w:kern w:val="0"/>
                <w:szCs w:val="21"/>
                <w:highlight w:val="none"/>
                <w:lang w:bidi="ar"/>
              </w:rPr>
            </w:pPr>
            <w:r>
              <w:rPr>
                <w:rFonts w:hint="eastAsia"/>
                <w:kern w:val="0"/>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color w:val="000000"/>
                <w:kern w:val="0"/>
                <w:sz w:val="21"/>
                <w:szCs w:val="21"/>
                <w:lang w:val="en-US" w:eastAsia="zh-CN" w:bidi="ar"/>
              </w:rPr>
            </w:pPr>
            <w:r>
              <w:rPr>
                <w:rFonts w:hint="eastAsia"/>
                <w:color w:val="000000"/>
                <w:kern w:val="0"/>
                <w:szCs w:val="21"/>
                <w:lang w:bidi="ar"/>
              </w:rPr>
              <w:t>5</w:t>
            </w:r>
          </w:p>
        </w:tc>
        <w:tc>
          <w:tcPr>
            <w:tcW w:w="1559" w:type="dxa"/>
            <w:shd w:val="clear" w:color="auto" w:fill="auto"/>
            <w:vAlign w:val="center"/>
          </w:tcPr>
          <w:p>
            <w:pPr>
              <w:widowControl/>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2,500.00</w:t>
            </w:r>
          </w:p>
        </w:tc>
        <w:tc>
          <w:tcPr>
            <w:tcW w:w="1701"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2,500.00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color w:val="000000"/>
                <w:szCs w:val="21"/>
              </w:rPr>
              <w:t>18.67</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color w:val="000000"/>
                <w:kern w:val="0"/>
                <w:sz w:val="21"/>
                <w:szCs w:val="21"/>
                <w:lang w:val="en-US" w:eastAsia="zh-CN" w:bidi="ar"/>
              </w:rPr>
            </w:pPr>
            <w:r>
              <w:rPr>
                <w:rFonts w:hint="eastAsia"/>
                <w:color w:val="000000"/>
                <w:kern w:val="0"/>
                <w:szCs w:val="21"/>
                <w:lang w:bidi="ar"/>
              </w:rPr>
              <w:t>6</w:t>
            </w:r>
          </w:p>
        </w:tc>
        <w:tc>
          <w:tcPr>
            <w:tcW w:w="1559" w:type="dxa"/>
            <w:shd w:val="clear" w:color="auto" w:fill="auto"/>
            <w:vAlign w:val="center"/>
          </w:tcPr>
          <w:p>
            <w:pPr>
              <w:widowControl/>
              <w:spacing w:line="360" w:lineRule="auto"/>
              <w:jc w:val="center"/>
              <w:textAlignment w:val="center"/>
              <w:rPr>
                <w:kern w:val="0"/>
                <w:szCs w:val="21"/>
                <w:highlight w:val="yellow"/>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3,500.00</w:t>
            </w:r>
          </w:p>
        </w:tc>
        <w:tc>
          <w:tcPr>
            <w:tcW w:w="1701" w:type="dxa"/>
            <w:shd w:val="clear" w:color="auto" w:fill="auto"/>
            <w:vAlign w:val="center"/>
          </w:tcPr>
          <w:p>
            <w:pPr>
              <w:widowControl/>
              <w:spacing w:line="360" w:lineRule="auto"/>
              <w:jc w:val="right"/>
              <w:textAlignment w:val="center"/>
              <w:rPr>
                <w:kern w:val="0"/>
                <w:szCs w:val="21"/>
                <w:highlight w:val="yellow"/>
                <w:lang w:bidi="ar"/>
              </w:rPr>
            </w:pPr>
            <w:r>
              <w:rPr>
                <w:rFonts w:hint="eastAsia"/>
                <w:kern w:val="0"/>
                <w:szCs w:val="21"/>
                <w:lang w:bidi="ar"/>
              </w:rPr>
              <w:t>3,500.00</w:t>
            </w:r>
          </w:p>
        </w:tc>
        <w:tc>
          <w:tcPr>
            <w:tcW w:w="1378" w:type="dxa"/>
            <w:shd w:val="clear" w:color="auto" w:fill="auto"/>
            <w:vAlign w:val="center"/>
          </w:tcPr>
          <w:p>
            <w:pPr>
              <w:widowControl/>
              <w:spacing w:line="360" w:lineRule="auto"/>
              <w:jc w:val="right"/>
              <w:textAlignment w:val="center"/>
              <w:rPr>
                <w:kern w:val="0"/>
                <w:szCs w:val="21"/>
                <w:highlight w:val="yellow"/>
                <w:lang w:bidi="ar"/>
              </w:rPr>
            </w:pPr>
            <w:r>
              <w:rPr>
                <w:rFonts w:hint="eastAsia"/>
                <w:color w:val="000000"/>
                <w:szCs w:val="21"/>
              </w:rPr>
              <w:t>26.61</w:t>
            </w:r>
          </w:p>
        </w:tc>
        <w:tc>
          <w:tcPr>
            <w:tcW w:w="1449" w:type="dxa"/>
            <w:vAlign w:val="center"/>
          </w:tcPr>
          <w:p>
            <w:pPr>
              <w:widowControl/>
              <w:spacing w:line="360" w:lineRule="auto"/>
              <w:jc w:val="right"/>
              <w:textAlignment w:val="center"/>
              <w:rPr>
                <w:kern w:val="0"/>
                <w:szCs w:val="21"/>
                <w:highlight w:val="yellow"/>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color w:val="000000"/>
                <w:kern w:val="0"/>
                <w:sz w:val="21"/>
                <w:szCs w:val="21"/>
                <w:lang w:val="en-US" w:eastAsia="zh-CN" w:bidi="ar"/>
              </w:rPr>
            </w:pPr>
            <w:r>
              <w:rPr>
                <w:rFonts w:hint="eastAsia"/>
                <w:color w:val="000000"/>
                <w:kern w:val="0"/>
                <w:szCs w:val="21"/>
                <w:lang w:bidi="ar"/>
              </w:rPr>
              <w:t>7</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color w:val="000000"/>
                <w:szCs w:val="21"/>
              </w:rPr>
              <w:t>142.22</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rFonts w:hint="eastAsia"/>
                <w:color w:val="000000"/>
                <w:kern w:val="0"/>
                <w:szCs w:val="21"/>
                <w:lang w:bidi="ar"/>
              </w:rPr>
              <w:t>8</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银行理财产品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7.23</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rFonts w:hint="eastAsia"/>
                <w:kern w:val="0"/>
                <w:szCs w:val="21"/>
                <w:lang w:bidi="ar"/>
              </w:rPr>
              <w:t>9</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4,000.00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4,000.00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33.80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rFonts w:hint="eastAsia"/>
                <w:kern w:val="0"/>
                <w:szCs w:val="21"/>
                <w:lang w:bidi="ar"/>
              </w:rPr>
              <w:t>10</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5,000.00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5,000.00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kern w:val="0"/>
                <w:szCs w:val="21"/>
                <w:lang w:bidi="ar"/>
              </w:rPr>
              <w:t>1</w:t>
            </w:r>
            <w:r>
              <w:rPr>
                <w:rFonts w:hint="eastAsia"/>
                <w:kern w:val="0"/>
                <w:szCs w:val="21"/>
                <w:lang w:bidi="ar"/>
              </w:rPr>
              <w:t>1</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kern w:val="0"/>
                <w:szCs w:val="21"/>
                <w:lang w:bidi="ar"/>
              </w:rPr>
              <w:t>1</w:t>
            </w:r>
            <w:r>
              <w:rPr>
                <w:rFonts w:hint="eastAsia"/>
                <w:kern w:val="0"/>
                <w:szCs w:val="21"/>
                <w:lang w:bidi="ar"/>
              </w:rPr>
              <w:t>2</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highlight w:val="none"/>
                <w:lang w:bidi="ar"/>
              </w:rPr>
            </w:pPr>
            <w:r>
              <w:rPr>
                <w:rFonts w:hint="eastAsia"/>
                <w:kern w:val="0"/>
                <w:szCs w:val="21"/>
                <w:highlight w:val="none"/>
                <w:lang w:bidi="ar"/>
              </w:rPr>
              <w:t>2,500.00</w:t>
            </w:r>
          </w:p>
        </w:tc>
        <w:tc>
          <w:tcPr>
            <w:tcW w:w="1701" w:type="dxa"/>
            <w:shd w:val="clear" w:color="auto" w:fill="auto"/>
            <w:vAlign w:val="center"/>
          </w:tcPr>
          <w:p>
            <w:pPr>
              <w:widowControl/>
              <w:spacing w:line="360" w:lineRule="auto"/>
              <w:jc w:val="right"/>
              <w:textAlignment w:val="center"/>
              <w:rPr>
                <w:kern w:val="0"/>
                <w:szCs w:val="21"/>
                <w:highlight w:val="none"/>
                <w:lang w:bidi="ar"/>
              </w:rPr>
            </w:pPr>
            <w:r>
              <w:rPr>
                <w:rFonts w:hint="eastAsia"/>
                <w:kern w:val="0"/>
                <w:szCs w:val="21"/>
                <w:highlight w:val="none"/>
                <w:lang w:bidi="ar"/>
              </w:rPr>
              <w:t>2,500.00</w:t>
            </w:r>
          </w:p>
        </w:tc>
        <w:tc>
          <w:tcPr>
            <w:tcW w:w="1378" w:type="dxa"/>
            <w:shd w:val="clear" w:color="auto" w:fill="auto"/>
            <w:vAlign w:val="center"/>
          </w:tcPr>
          <w:p>
            <w:pPr>
              <w:widowControl/>
              <w:spacing w:line="360" w:lineRule="auto"/>
              <w:jc w:val="right"/>
              <w:textAlignment w:val="center"/>
              <w:rPr>
                <w:rFonts w:hint="default" w:eastAsia="宋体"/>
                <w:kern w:val="0"/>
                <w:szCs w:val="21"/>
                <w:highlight w:val="none"/>
                <w:lang w:val="en-US" w:eastAsia="zh-CN" w:bidi="ar"/>
              </w:rPr>
            </w:pPr>
            <w:r>
              <w:rPr>
                <w:rFonts w:hint="eastAsia"/>
                <w:kern w:val="0"/>
                <w:szCs w:val="21"/>
                <w:highlight w:val="none"/>
                <w:lang w:val="en-US" w:eastAsia="zh-CN" w:bidi="ar"/>
              </w:rPr>
              <w:t>59.77</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kern w:val="0"/>
                <w:szCs w:val="21"/>
                <w:lang w:bidi="ar"/>
              </w:rPr>
              <w:t>1</w:t>
            </w:r>
            <w:r>
              <w:rPr>
                <w:rFonts w:hint="eastAsia"/>
                <w:kern w:val="0"/>
                <w:szCs w:val="21"/>
                <w:lang w:bidi="ar"/>
              </w:rPr>
              <w:t>3</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2,500.00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kern w:val="0"/>
                <w:szCs w:val="21"/>
                <w:lang w:bidi="ar"/>
              </w:rPr>
              <w:t>1</w:t>
            </w:r>
            <w:r>
              <w:rPr>
                <w:rFonts w:hint="eastAsia"/>
                <w:kern w:val="0"/>
                <w:szCs w:val="21"/>
                <w:lang w:bidi="ar"/>
              </w:rPr>
              <w:t>4</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3,000.00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3,000.00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kern w:val="0"/>
                <w:szCs w:val="21"/>
                <w:lang w:bidi="ar"/>
              </w:rPr>
              <w:t>1</w:t>
            </w:r>
            <w:r>
              <w:rPr>
                <w:rFonts w:hint="eastAsia"/>
                <w:kern w:val="0"/>
                <w:szCs w:val="21"/>
                <w:lang w:bidi="ar"/>
              </w:rPr>
              <w:t>5</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kern w:val="0"/>
                <w:szCs w:val="21"/>
                <w:lang w:bidi="ar"/>
              </w:rPr>
              <w:t>1</w:t>
            </w:r>
            <w:r>
              <w:rPr>
                <w:rFonts w:hint="eastAsia"/>
                <w:kern w:val="0"/>
                <w:szCs w:val="21"/>
                <w:lang w:bidi="ar"/>
              </w:rPr>
              <w:t>6</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1,000.00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1,000.00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spacing w:line="360" w:lineRule="auto"/>
              <w:jc w:val="center"/>
              <w:textAlignment w:val="center"/>
              <w:rPr>
                <w:rFonts w:ascii="Times New Roman" w:hAnsi="Times New Roman" w:eastAsia="宋体" w:cs="Times New Roman"/>
                <w:kern w:val="0"/>
                <w:sz w:val="21"/>
                <w:szCs w:val="21"/>
                <w:lang w:val="en-US" w:eastAsia="zh-CN" w:bidi="ar"/>
              </w:rPr>
            </w:pPr>
            <w:r>
              <w:rPr>
                <w:kern w:val="0"/>
                <w:szCs w:val="21"/>
                <w:lang w:bidi="ar"/>
              </w:rPr>
              <w:t>1</w:t>
            </w:r>
            <w:r>
              <w:rPr>
                <w:rFonts w:hint="eastAsia"/>
                <w:kern w:val="0"/>
                <w:szCs w:val="21"/>
                <w:lang w:bidi="ar"/>
              </w:rPr>
              <w:t>7</w:t>
            </w:r>
          </w:p>
        </w:tc>
        <w:tc>
          <w:tcPr>
            <w:tcW w:w="1559" w:type="dxa"/>
            <w:shd w:val="clear" w:color="auto" w:fill="auto"/>
            <w:vAlign w:val="center"/>
          </w:tcPr>
          <w:p>
            <w:pPr>
              <w:widowControl/>
              <w:spacing w:line="360" w:lineRule="auto"/>
              <w:jc w:val="center"/>
              <w:textAlignment w:val="center"/>
              <w:rPr>
                <w:kern w:val="0"/>
                <w:szCs w:val="21"/>
                <w:lang w:bidi="ar"/>
              </w:rPr>
            </w:pPr>
            <w:r>
              <w:rPr>
                <w:rFonts w:hint="eastAsia"/>
                <w:kern w:val="0"/>
                <w:szCs w:val="21"/>
                <w:lang w:bidi="ar"/>
              </w:rPr>
              <w:t>券商收益凭证</w:t>
            </w:r>
          </w:p>
        </w:tc>
        <w:tc>
          <w:tcPr>
            <w:tcW w:w="1560"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6,000.00</w:t>
            </w:r>
          </w:p>
        </w:tc>
        <w:tc>
          <w:tcPr>
            <w:tcW w:w="1701"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378" w:type="dxa"/>
            <w:shd w:val="clear" w:color="auto" w:fill="auto"/>
            <w:vAlign w:val="center"/>
          </w:tcPr>
          <w:p>
            <w:pPr>
              <w:widowControl/>
              <w:spacing w:line="360" w:lineRule="auto"/>
              <w:jc w:val="right"/>
              <w:textAlignment w:val="center"/>
              <w:rPr>
                <w:kern w:val="0"/>
                <w:szCs w:val="21"/>
                <w:lang w:bidi="ar"/>
              </w:rPr>
            </w:pPr>
            <w:r>
              <w:rPr>
                <w:rFonts w:hint="eastAsia"/>
                <w:kern w:val="0"/>
                <w:szCs w:val="21"/>
                <w:lang w:bidi="ar"/>
              </w:rPr>
              <w:t>0.00</w:t>
            </w:r>
          </w:p>
        </w:tc>
        <w:tc>
          <w:tcPr>
            <w:tcW w:w="1449" w:type="dxa"/>
            <w:vAlign w:val="center"/>
          </w:tcPr>
          <w:p>
            <w:pPr>
              <w:widowControl/>
              <w:spacing w:line="360" w:lineRule="auto"/>
              <w:jc w:val="right"/>
              <w:textAlignment w:val="center"/>
              <w:rPr>
                <w:kern w:val="0"/>
                <w:szCs w:val="21"/>
                <w:lang w:bidi="ar"/>
              </w:rPr>
            </w:pPr>
            <w:r>
              <w:rPr>
                <w:rFonts w:hint="eastAsia"/>
                <w:kern w:val="0"/>
                <w:szCs w:val="21"/>
                <w:lang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spacing w:line="360" w:lineRule="auto"/>
              <w:jc w:val="center"/>
              <w:textAlignment w:val="center"/>
              <w:rPr>
                <w:kern w:val="0"/>
                <w:szCs w:val="21"/>
                <w:lang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spacing w:line="360" w:lineRule="auto"/>
              <w:jc w:val="right"/>
              <w:textAlignment w:val="center"/>
              <w:rPr>
                <w:b/>
                <w:bCs/>
                <w:color w:val="000000" w:themeColor="text1"/>
                <w:kern w:val="0"/>
                <w:szCs w:val="21"/>
                <w:lang w:bidi="ar"/>
                <w14:textFill>
                  <w14:solidFill>
                    <w14:schemeClr w14:val="tx1"/>
                  </w14:solidFill>
                </w14:textFill>
              </w:rPr>
            </w:pPr>
            <w:r>
              <w:rPr>
                <w:rFonts w:hint="eastAsia"/>
                <w:b/>
                <w:bCs/>
                <w:color w:val="000000" w:themeColor="text1"/>
                <w:kern w:val="0"/>
                <w:szCs w:val="21"/>
                <w:lang w:val="en-US" w:eastAsia="zh-CN" w:bidi="ar"/>
                <w14:textFill>
                  <w14:solidFill>
                    <w14:schemeClr w14:val="tx1"/>
                  </w14:solidFill>
                </w14:textFill>
              </w:rPr>
              <w:t>88</w:t>
            </w:r>
            <w:r>
              <w:rPr>
                <w:rFonts w:hint="eastAsia"/>
                <w:b/>
                <w:bCs/>
                <w:color w:val="000000" w:themeColor="text1"/>
                <w:kern w:val="0"/>
                <w:szCs w:val="21"/>
                <w:lang w:bidi="ar"/>
                <w14:textFill>
                  <w14:solidFill>
                    <w14:schemeClr w14:val="tx1"/>
                  </w14:solidFill>
                </w14:textFill>
              </w:rPr>
              <w:t>,000.00</w:t>
            </w:r>
          </w:p>
        </w:tc>
        <w:tc>
          <w:tcPr>
            <w:tcW w:w="1701" w:type="dxa"/>
            <w:tcBorders>
              <w:bottom w:val="thinThickSmallGap" w:color="auto" w:sz="24" w:space="0"/>
            </w:tcBorders>
            <w:shd w:val="clear" w:color="auto" w:fill="auto"/>
            <w:vAlign w:val="center"/>
          </w:tcPr>
          <w:p>
            <w:pPr>
              <w:widowControl/>
              <w:spacing w:line="360" w:lineRule="auto"/>
              <w:jc w:val="right"/>
              <w:textAlignment w:val="center"/>
              <w:rPr>
                <w:rFonts w:hint="default"/>
                <w:b/>
                <w:bCs/>
                <w:color w:val="000000" w:themeColor="text1"/>
                <w:kern w:val="0"/>
                <w:szCs w:val="21"/>
                <w:highlight w:val="none"/>
                <w:lang w:val="en-US" w:bidi="ar"/>
                <w14:textFill>
                  <w14:solidFill>
                    <w14:schemeClr w14:val="tx1"/>
                  </w14:solidFill>
                </w14:textFill>
              </w:rPr>
            </w:pPr>
            <w:r>
              <w:rPr>
                <w:rFonts w:hint="eastAsia"/>
                <w:b/>
                <w:bCs/>
                <w:color w:val="000000" w:themeColor="text1"/>
                <w:kern w:val="0"/>
                <w:szCs w:val="21"/>
                <w:highlight w:val="none"/>
                <w:lang w:val="en-US" w:eastAsia="zh-CN" w:bidi="ar"/>
                <w14:textFill>
                  <w14:solidFill>
                    <w14:schemeClr w14:val="tx1"/>
                  </w14:solidFill>
                </w14:textFill>
              </w:rPr>
              <w:t>59,500.000</w:t>
            </w:r>
          </w:p>
        </w:tc>
        <w:tc>
          <w:tcPr>
            <w:tcW w:w="1378" w:type="dxa"/>
            <w:tcBorders>
              <w:bottom w:val="thinThickSmallGap" w:color="auto" w:sz="24" w:space="0"/>
            </w:tcBorders>
            <w:shd w:val="clear" w:color="auto" w:fill="auto"/>
            <w:vAlign w:val="center"/>
          </w:tcPr>
          <w:p>
            <w:pPr>
              <w:widowControl/>
              <w:spacing w:line="360" w:lineRule="auto"/>
              <w:jc w:val="right"/>
              <w:textAlignment w:val="center"/>
              <w:rPr>
                <w:rFonts w:hint="default" w:eastAsia="宋体"/>
                <w:b/>
                <w:bCs/>
                <w:color w:val="000000"/>
                <w:kern w:val="0"/>
                <w:sz w:val="22"/>
                <w:szCs w:val="22"/>
                <w:highlight w:val="none"/>
                <w:lang w:val="en-US" w:eastAsia="zh-CN" w:bidi="ar"/>
              </w:rPr>
            </w:pPr>
            <w:r>
              <w:rPr>
                <w:rFonts w:hint="eastAsia"/>
                <w:b/>
                <w:bCs/>
                <w:color w:val="000000"/>
                <w:kern w:val="0"/>
                <w:sz w:val="22"/>
                <w:szCs w:val="22"/>
                <w:highlight w:val="none"/>
                <w:lang w:bidi="ar"/>
              </w:rPr>
              <w:t>1</w:t>
            </w:r>
            <w:r>
              <w:rPr>
                <w:rFonts w:hint="eastAsia"/>
                <w:b/>
                <w:bCs/>
                <w:color w:val="000000"/>
                <w:kern w:val="0"/>
                <w:sz w:val="22"/>
                <w:szCs w:val="22"/>
                <w:highlight w:val="none"/>
                <w:lang w:val="en-US" w:eastAsia="zh-CN" w:bidi="ar"/>
              </w:rPr>
              <w:t>,</w:t>
            </w:r>
            <w:r>
              <w:rPr>
                <w:rFonts w:hint="eastAsia"/>
                <w:b/>
                <w:bCs/>
                <w:color w:val="000000"/>
                <w:kern w:val="0"/>
                <w:sz w:val="22"/>
                <w:szCs w:val="22"/>
                <w:highlight w:val="none"/>
                <w:lang w:bidi="ar"/>
              </w:rPr>
              <w:t>7</w:t>
            </w:r>
            <w:r>
              <w:rPr>
                <w:rFonts w:hint="eastAsia"/>
                <w:b/>
                <w:bCs/>
                <w:color w:val="000000"/>
                <w:kern w:val="0"/>
                <w:sz w:val="22"/>
                <w:szCs w:val="22"/>
                <w:highlight w:val="none"/>
                <w:lang w:val="en-US" w:eastAsia="zh-CN" w:bidi="ar"/>
              </w:rPr>
              <w:t>07</w:t>
            </w:r>
            <w:r>
              <w:rPr>
                <w:rFonts w:hint="eastAsia"/>
                <w:b/>
                <w:bCs/>
                <w:color w:val="000000"/>
                <w:kern w:val="0"/>
                <w:sz w:val="22"/>
                <w:szCs w:val="22"/>
                <w:highlight w:val="none"/>
                <w:lang w:bidi="ar"/>
              </w:rPr>
              <w:t>.</w:t>
            </w:r>
            <w:r>
              <w:rPr>
                <w:rFonts w:hint="eastAsia"/>
                <w:b/>
                <w:bCs/>
                <w:color w:val="000000"/>
                <w:kern w:val="0"/>
                <w:sz w:val="22"/>
                <w:szCs w:val="22"/>
                <w:highlight w:val="none"/>
                <w:lang w:val="en-US" w:eastAsia="zh-CN" w:bidi="ar"/>
              </w:rPr>
              <w:t>43</w:t>
            </w:r>
          </w:p>
        </w:tc>
        <w:tc>
          <w:tcPr>
            <w:tcW w:w="1449" w:type="dxa"/>
            <w:tcBorders>
              <w:bottom w:val="thinThickSmallGap" w:color="auto" w:sz="24" w:space="0"/>
            </w:tcBorders>
            <w:vAlign w:val="center"/>
          </w:tcPr>
          <w:p>
            <w:pPr>
              <w:widowControl/>
              <w:spacing w:line="360" w:lineRule="auto"/>
              <w:jc w:val="right"/>
              <w:textAlignment w:val="center"/>
              <w:rPr>
                <w:b/>
                <w:bCs/>
                <w:color w:val="000000"/>
                <w:kern w:val="0"/>
                <w:sz w:val="22"/>
                <w:szCs w:val="22"/>
                <w:highlight w:val="none"/>
                <w:lang w:bidi="ar"/>
              </w:rPr>
            </w:pPr>
            <w:r>
              <w:rPr>
                <w:rFonts w:hint="eastAsia"/>
                <w:b/>
                <w:bCs/>
                <w:color w:val="000000"/>
                <w:kern w:val="0"/>
                <w:sz w:val="22"/>
                <w:szCs w:val="22"/>
                <w:highlight w:val="none"/>
                <w:lang w:val="en-US" w:eastAsia="zh-CN" w:bidi="ar"/>
              </w:rPr>
              <w:t>28,500</w:t>
            </w:r>
            <w:r>
              <w:rPr>
                <w:rFonts w:hint="eastAsia"/>
                <w:b/>
                <w:bCs/>
                <w:color w:val="000000"/>
                <w:kern w:val="0"/>
                <w:sz w:val="22"/>
                <w:szCs w:val="22"/>
                <w:highlight w:val="none"/>
                <w:lang w:bidi="ar"/>
              </w:rPr>
              <w:t>.00</w:t>
            </w:r>
          </w:p>
        </w:tc>
      </w:tr>
      <w:bookmarkEnd w:id="0"/>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spacing w:line="360" w:lineRule="auto"/>
              <w:jc w:val="right"/>
              <w:textAlignment w:val="center"/>
              <w:rPr>
                <w:color w:val="000000"/>
                <w:kern w:val="0"/>
                <w:szCs w:val="21"/>
                <w:lang w:bidi="ar"/>
              </w:rPr>
            </w:pPr>
            <w:r>
              <w:rPr>
                <w:rFonts w:hint="eastAsia"/>
                <w:color w:val="000000"/>
                <w:kern w:val="0"/>
                <w:szCs w:val="21"/>
                <w:lang w:bidi="ar"/>
              </w:rPr>
              <w:t>42</w:t>
            </w:r>
            <w:r>
              <w:rPr>
                <w:color w:val="000000"/>
                <w:kern w:val="0"/>
                <w:szCs w:val="21"/>
                <w:lang w:bidi="ar"/>
              </w:rPr>
              <w:t>,</w:t>
            </w:r>
            <w:r>
              <w:rPr>
                <w:rFonts w:hint="eastAsia"/>
                <w:color w:val="000000"/>
                <w:kern w:val="0"/>
                <w:szCs w:val="21"/>
                <w:lang w:bidi="ar"/>
              </w:rPr>
              <w:t>5</w:t>
            </w:r>
            <w:r>
              <w:rPr>
                <w:color w:val="000000"/>
                <w:kern w:val="0"/>
                <w:szCs w:val="21"/>
                <w:lang w:bidi="ar"/>
              </w:rPr>
              <w:t>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spacing w:line="360" w:lineRule="auto"/>
              <w:jc w:val="right"/>
              <w:textAlignment w:val="center"/>
              <w:rPr>
                <w:color w:val="000000"/>
                <w:kern w:val="0"/>
                <w:szCs w:val="21"/>
                <w:highlight w:val="yellow"/>
                <w:lang w:bidi="ar"/>
              </w:rPr>
            </w:pPr>
            <w:r>
              <w:rPr>
                <w:rFonts w:hint="eastAsia"/>
                <w:color w:val="000000"/>
                <w:kern w:val="0"/>
                <w:szCs w:val="21"/>
                <w:highlight w:val="none"/>
                <w:lang w:bidi="ar"/>
              </w:rPr>
              <w:t>30.45%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最近12个月委托理财累计收益/最近一年净利润（%）</w:t>
            </w:r>
          </w:p>
        </w:tc>
        <w:tc>
          <w:tcPr>
            <w:tcW w:w="2827" w:type="dxa"/>
            <w:gridSpan w:val="2"/>
            <w:shd w:val="clear" w:color="auto" w:fill="auto"/>
            <w:vAlign w:val="center"/>
          </w:tcPr>
          <w:p>
            <w:pPr>
              <w:widowControl/>
              <w:spacing w:line="360" w:lineRule="auto"/>
              <w:jc w:val="right"/>
              <w:textAlignment w:val="center"/>
              <w:rPr>
                <w:color w:val="000000"/>
                <w:kern w:val="0"/>
                <w:szCs w:val="21"/>
                <w:highlight w:val="none"/>
                <w:lang w:bidi="ar"/>
              </w:rPr>
            </w:pPr>
            <w:r>
              <w:rPr>
                <w:rFonts w:hint="eastAsia"/>
                <w:color w:val="000000"/>
                <w:kern w:val="0"/>
                <w:szCs w:val="21"/>
                <w:highlight w:val="none"/>
                <w:lang w:bidi="ar"/>
              </w:rPr>
              <w:t>21.</w:t>
            </w:r>
            <w:r>
              <w:rPr>
                <w:rFonts w:hint="eastAsia"/>
                <w:color w:val="000000"/>
                <w:kern w:val="0"/>
                <w:szCs w:val="21"/>
                <w:highlight w:val="none"/>
                <w:lang w:val="en-US" w:eastAsia="zh-CN" w:bidi="ar"/>
              </w:rPr>
              <w:t>39</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目前已使用的理财额度</w:t>
            </w:r>
          </w:p>
        </w:tc>
        <w:tc>
          <w:tcPr>
            <w:tcW w:w="2827" w:type="dxa"/>
            <w:gridSpan w:val="2"/>
            <w:shd w:val="clear" w:color="auto" w:fill="auto"/>
            <w:vAlign w:val="center"/>
          </w:tcPr>
          <w:p>
            <w:pPr>
              <w:widowControl/>
              <w:spacing w:line="360" w:lineRule="auto"/>
              <w:jc w:val="right"/>
              <w:textAlignment w:val="center"/>
              <w:rPr>
                <w:color w:val="000000"/>
                <w:kern w:val="0"/>
                <w:szCs w:val="21"/>
                <w:highlight w:val="none"/>
                <w:lang w:bidi="ar"/>
              </w:rPr>
            </w:pPr>
            <w:r>
              <w:rPr>
                <w:rFonts w:hint="eastAsia"/>
                <w:color w:val="000000"/>
                <w:kern w:val="0"/>
                <w:szCs w:val="21"/>
                <w:highlight w:val="none"/>
                <w:lang w:val="en-US" w:eastAsia="zh-CN" w:bidi="ar"/>
              </w:rPr>
              <w:t>28,50</w:t>
            </w:r>
            <w:r>
              <w:rPr>
                <w:color w:val="000000"/>
                <w:kern w:val="0"/>
                <w:szCs w:val="21"/>
                <w:highlight w:val="none"/>
                <w:lang w:bidi="ar"/>
              </w:rPr>
              <w:t>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spacing w:line="360" w:lineRule="auto"/>
              <w:jc w:val="center"/>
              <w:textAlignment w:val="center"/>
              <w:rPr>
                <w:color w:val="000000"/>
                <w:kern w:val="0"/>
                <w:szCs w:val="21"/>
                <w:lang w:bidi="ar"/>
              </w:rPr>
            </w:pPr>
            <w:r>
              <w:rPr>
                <w:color w:val="000000"/>
                <w:kern w:val="0"/>
                <w:szCs w:val="21"/>
                <w:lang w:bidi="ar"/>
              </w:rPr>
              <w:t>尚未使用的理财额度</w:t>
            </w:r>
          </w:p>
        </w:tc>
        <w:tc>
          <w:tcPr>
            <w:tcW w:w="2827" w:type="dxa"/>
            <w:gridSpan w:val="2"/>
            <w:shd w:val="clear" w:color="auto" w:fill="auto"/>
            <w:vAlign w:val="center"/>
          </w:tcPr>
          <w:p>
            <w:pPr>
              <w:widowControl/>
              <w:spacing w:line="360" w:lineRule="auto"/>
              <w:jc w:val="right"/>
              <w:textAlignment w:val="center"/>
              <w:rPr>
                <w:color w:val="000000"/>
                <w:kern w:val="0"/>
                <w:szCs w:val="21"/>
                <w:highlight w:val="none"/>
                <w:lang w:bidi="ar"/>
              </w:rPr>
            </w:pPr>
            <w:r>
              <w:rPr>
                <w:rFonts w:hint="eastAsia"/>
                <w:color w:val="000000"/>
                <w:kern w:val="0"/>
                <w:szCs w:val="21"/>
                <w:highlight w:val="none"/>
                <w:lang w:val="en-US" w:eastAsia="zh-CN" w:bidi="ar"/>
              </w:rPr>
              <w:t>21</w:t>
            </w:r>
            <w:r>
              <w:rPr>
                <w:rFonts w:hint="eastAsia"/>
                <w:color w:val="000000"/>
                <w:kern w:val="0"/>
                <w:szCs w:val="21"/>
                <w:highlight w:val="none"/>
                <w:lang w:bidi="ar"/>
              </w:rPr>
              <w:t>,</w:t>
            </w:r>
            <w:r>
              <w:rPr>
                <w:rFonts w:hint="eastAsia"/>
                <w:color w:val="000000"/>
                <w:kern w:val="0"/>
                <w:szCs w:val="21"/>
                <w:highlight w:val="none"/>
                <w:lang w:val="en-US" w:eastAsia="zh-CN" w:bidi="ar"/>
              </w:rPr>
              <w:t>5</w:t>
            </w:r>
            <w:r>
              <w:rPr>
                <w:rFonts w:hint="eastAsia"/>
                <w:color w:val="000000"/>
                <w:kern w:val="0"/>
                <w:szCs w:val="21"/>
                <w:highlight w:val="none"/>
                <w:lang w:bidi="ar"/>
              </w:rPr>
              <w:t>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bidi="ar"/>
              </w:rPr>
              <w:t>5</w:t>
            </w:r>
            <w:r>
              <w:rPr>
                <w:color w:val="000000"/>
                <w:kern w:val="0"/>
                <w:szCs w:val="21"/>
                <w:highlight w:val="none"/>
                <w:lang w:bidi="ar"/>
              </w:rPr>
              <w:t>0,000</w:t>
            </w:r>
            <w:r>
              <w:rPr>
                <w:rFonts w:hint="eastAsia"/>
                <w:color w:val="000000"/>
                <w:kern w:val="0"/>
                <w:szCs w:val="21"/>
                <w:highlight w:val="none"/>
                <w:lang w:bidi="ar"/>
              </w:rPr>
              <w:t>.00</w:t>
            </w:r>
          </w:p>
        </w:tc>
      </w:tr>
    </w:tbl>
    <w:p>
      <w:pPr>
        <w:widowControl/>
        <w:spacing w:before="312" w:beforeLines="100" w:line="360" w:lineRule="auto"/>
        <w:ind w:firstLine="480" w:firstLineChars="200"/>
        <w:jc w:val="left"/>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widowControl/>
        <w:spacing w:line="360" w:lineRule="auto"/>
        <w:ind w:firstLine="420" w:firstLineChars="175"/>
        <w:jc w:val="right"/>
        <w:rPr>
          <w:rFonts w:eastAsiaTheme="minorEastAsia"/>
          <w:color w:val="000000"/>
          <w:sz w:val="24"/>
          <w:szCs w:val="24"/>
        </w:rPr>
      </w:pPr>
      <w:r>
        <w:rPr>
          <w:rFonts w:hint="eastAsia" w:eastAsiaTheme="minorEastAsia"/>
          <w:color w:val="000000"/>
          <w:sz w:val="24"/>
          <w:szCs w:val="24"/>
        </w:rPr>
        <w:t>格尔软件股份有限公司董事会</w:t>
      </w:r>
    </w:p>
    <w:p>
      <w:pPr>
        <w:widowControl/>
        <w:spacing w:line="360" w:lineRule="auto"/>
        <w:ind w:firstLine="420" w:firstLineChars="175"/>
        <w:jc w:val="right"/>
      </w:pPr>
      <w:r>
        <w:rPr>
          <w:rFonts w:eastAsiaTheme="minorEastAsia"/>
          <w:color w:val="000000"/>
          <w:sz w:val="24"/>
          <w:szCs w:val="24"/>
        </w:rPr>
        <w:t>202</w:t>
      </w:r>
      <w:r>
        <w:rPr>
          <w:rFonts w:hint="eastAsia" w:eastAsiaTheme="minorEastAsia"/>
          <w:color w:val="000000"/>
          <w:sz w:val="24"/>
          <w:szCs w:val="24"/>
        </w:rPr>
        <w:t>3</w:t>
      </w:r>
      <w:r>
        <w:rPr>
          <w:rFonts w:eastAsiaTheme="minorEastAsia"/>
          <w:color w:val="000000"/>
          <w:sz w:val="24"/>
          <w:szCs w:val="24"/>
        </w:rPr>
        <w:t>年</w:t>
      </w:r>
      <w:r>
        <w:rPr>
          <w:rFonts w:hint="eastAsia" w:eastAsiaTheme="minorEastAsia"/>
          <w:color w:val="000000"/>
          <w:sz w:val="24"/>
          <w:szCs w:val="24"/>
          <w:lang w:val="en-US" w:eastAsia="zh-CN"/>
        </w:rPr>
        <w:t>4</w:t>
      </w:r>
      <w:r>
        <w:rPr>
          <w:rFonts w:eastAsiaTheme="minorEastAsia"/>
          <w:color w:val="000000"/>
          <w:sz w:val="24"/>
          <w:szCs w:val="24"/>
        </w:rPr>
        <w:t>月</w:t>
      </w:r>
      <w:r>
        <w:rPr>
          <w:rFonts w:hint="eastAsia" w:eastAsiaTheme="minorEastAsia"/>
          <w:color w:val="000000"/>
          <w:sz w:val="24"/>
          <w:szCs w:val="24"/>
          <w:lang w:val="en-US" w:eastAsia="zh-CN"/>
        </w:rPr>
        <w:t>1</w:t>
      </w:r>
      <w:r>
        <w:rPr>
          <w:rFonts w:eastAsiaTheme="minorEastAsia"/>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NjOWNlN2M0NWFjNjU5MzM1MDQ2MWFjZTU5YTcwYzUifQ=="/>
    <w:docVar w:name="KSO_WPS_MARK_KEY" w:val="ecbd8ddf-e6b1-4714-bca8-ec0003fa1b9d"/>
  </w:docVars>
  <w:rsids>
    <w:rsidRoot w:val="00172A27"/>
    <w:rsid w:val="0008475C"/>
    <w:rsid w:val="000A7B1C"/>
    <w:rsid w:val="000E03B2"/>
    <w:rsid w:val="001412EF"/>
    <w:rsid w:val="00172A27"/>
    <w:rsid w:val="00185548"/>
    <w:rsid w:val="001E17EA"/>
    <w:rsid w:val="001F1F79"/>
    <w:rsid w:val="00264ADB"/>
    <w:rsid w:val="002E1FA7"/>
    <w:rsid w:val="00346DA1"/>
    <w:rsid w:val="003A3E74"/>
    <w:rsid w:val="00454E78"/>
    <w:rsid w:val="00491A48"/>
    <w:rsid w:val="004B10E2"/>
    <w:rsid w:val="004F66E7"/>
    <w:rsid w:val="00516DD8"/>
    <w:rsid w:val="00526730"/>
    <w:rsid w:val="00551A7F"/>
    <w:rsid w:val="00583B30"/>
    <w:rsid w:val="005B2BB8"/>
    <w:rsid w:val="00610FFB"/>
    <w:rsid w:val="00680573"/>
    <w:rsid w:val="006F3225"/>
    <w:rsid w:val="0072751C"/>
    <w:rsid w:val="0073434F"/>
    <w:rsid w:val="007A65E2"/>
    <w:rsid w:val="007B5F91"/>
    <w:rsid w:val="007F0D65"/>
    <w:rsid w:val="007F256C"/>
    <w:rsid w:val="008D4204"/>
    <w:rsid w:val="008E3DED"/>
    <w:rsid w:val="00916C5C"/>
    <w:rsid w:val="00961EC7"/>
    <w:rsid w:val="009E3DFE"/>
    <w:rsid w:val="00A44917"/>
    <w:rsid w:val="00A45303"/>
    <w:rsid w:val="00AF22AE"/>
    <w:rsid w:val="00B037A9"/>
    <w:rsid w:val="00B4057A"/>
    <w:rsid w:val="00BC179A"/>
    <w:rsid w:val="00BE1E8F"/>
    <w:rsid w:val="00C530AB"/>
    <w:rsid w:val="00C60A20"/>
    <w:rsid w:val="00C924DE"/>
    <w:rsid w:val="00CB7C7D"/>
    <w:rsid w:val="00D11DCD"/>
    <w:rsid w:val="00D43C9F"/>
    <w:rsid w:val="00D530F3"/>
    <w:rsid w:val="00D63AC2"/>
    <w:rsid w:val="00D93AE5"/>
    <w:rsid w:val="00E16AC7"/>
    <w:rsid w:val="00E20E55"/>
    <w:rsid w:val="00EB0616"/>
    <w:rsid w:val="00EB3B4B"/>
    <w:rsid w:val="00ED265B"/>
    <w:rsid w:val="00EF5FB9"/>
    <w:rsid w:val="00FA025A"/>
    <w:rsid w:val="01046B36"/>
    <w:rsid w:val="012004B8"/>
    <w:rsid w:val="014943C9"/>
    <w:rsid w:val="01514253"/>
    <w:rsid w:val="018E4822"/>
    <w:rsid w:val="019B553E"/>
    <w:rsid w:val="01B05B0D"/>
    <w:rsid w:val="01B752FA"/>
    <w:rsid w:val="01CD2B2B"/>
    <w:rsid w:val="01D428E1"/>
    <w:rsid w:val="01DF6B9E"/>
    <w:rsid w:val="01E55C12"/>
    <w:rsid w:val="02325B21"/>
    <w:rsid w:val="0248443E"/>
    <w:rsid w:val="025D6557"/>
    <w:rsid w:val="027576DF"/>
    <w:rsid w:val="02982C02"/>
    <w:rsid w:val="02A57477"/>
    <w:rsid w:val="02AF4FED"/>
    <w:rsid w:val="02CB311A"/>
    <w:rsid w:val="03B4054E"/>
    <w:rsid w:val="03CF08DF"/>
    <w:rsid w:val="040D6E90"/>
    <w:rsid w:val="048F7ADE"/>
    <w:rsid w:val="049C0D81"/>
    <w:rsid w:val="04BC2DF0"/>
    <w:rsid w:val="04BD6B13"/>
    <w:rsid w:val="04DD7EC9"/>
    <w:rsid w:val="04F87615"/>
    <w:rsid w:val="050B3B86"/>
    <w:rsid w:val="050F3BF1"/>
    <w:rsid w:val="051D5553"/>
    <w:rsid w:val="05202816"/>
    <w:rsid w:val="05305716"/>
    <w:rsid w:val="05846F5A"/>
    <w:rsid w:val="0590500E"/>
    <w:rsid w:val="05A81D19"/>
    <w:rsid w:val="05B5678A"/>
    <w:rsid w:val="060416A7"/>
    <w:rsid w:val="062F6119"/>
    <w:rsid w:val="064B10EF"/>
    <w:rsid w:val="06EB467F"/>
    <w:rsid w:val="072E6603"/>
    <w:rsid w:val="07832D9E"/>
    <w:rsid w:val="07912289"/>
    <w:rsid w:val="07C13AF5"/>
    <w:rsid w:val="07C73762"/>
    <w:rsid w:val="08105099"/>
    <w:rsid w:val="083E47F0"/>
    <w:rsid w:val="08977F70"/>
    <w:rsid w:val="08AA1C74"/>
    <w:rsid w:val="08AA289A"/>
    <w:rsid w:val="08B7755F"/>
    <w:rsid w:val="08C60F31"/>
    <w:rsid w:val="09047A57"/>
    <w:rsid w:val="09344342"/>
    <w:rsid w:val="0936639C"/>
    <w:rsid w:val="097203F7"/>
    <w:rsid w:val="09A6028D"/>
    <w:rsid w:val="0A2A7BD7"/>
    <w:rsid w:val="0A684D06"/>
    <w:rsid w:val="0AC149D4"/>
    <w:rsid w:val="0AC25FFD"/>
    <w:rsid w:val="0AF10312"/>
    <w:rsid w:val="0AF763FA"/>
    <w:rsid w:val="0B3108C1"/>
    <w:rsid w:val="0B702F58"/>
    <w:rsid w:val="0BB02B0B"/>
    <w:rsid w:val="0BC369E1"/>
    <w:rsid w:val="0BC4590D"/>
    <w:rsid w:val="0BCD600B"/>
    <w:rsid w:val="0BE8347C"/>
    <w:rsid w:val="0BF34D62"/>
    <w:rsid w:val="0BF61875"/>
    <w:rsid w:val="0C1F1FD1"/>
    <w:rsid w:val="0C6F3073"/>
    <w:rsid w:val="0C75428E"/>
    <w:rsid w:val="0C917A3E"/>
    <w:rsid w:val="0CBD65F3"/>
    <w:rsid w:val="0CFD4DC1"/>
    <w:rsid w:val="0D0B00EC"/>
    <w:rsid w:val="0D8A2593"/>
    <w:rsid w:val="0DD5749F"/>
    <w:rsid w:val="0DD86E4E"/>
    <w:rsid w:val="0DFB104B"/>
    <w:rsid w:val="0E07575D"/>
    <w:rsid w:val="0E0A32BE"/>
    <w:rsid w:val="0E1E25FB"/>
    <w:rsid w:val="0F1914B5"/>
    <w:rsid w:val="0F314D6F"/>
    <w:rsid w:val="0F34760A"/>
    <w:rsid w:val="0F37618C"/>
    <w:rsid w:val="0F3D735E"/>
    <w:rsid w:val="0F9F53C9"/>
    <w:rsid w:val="0FAE623F"/>
    <w:rsid w:val="0FBD3F46"/>
    <w:rsid w:val="0FEE6879"/>
    <w:rsid w:val="100E2521"/>
    <w:rsid w:val="10146314"/>
    <w:rsid w:val="104C19C2"/>
    <w:rsid w:val="10622A64"/>
    <w:rsid w:val="111A2C24"/>
    <w:rsid w:val="112F2BB4"/>
    <w:rsid w:val="11535FD3"/>
    <w:rsid w:val="116256D8"/>
    <w:rsid w:val="116305F9"/>
    <w:rsid w:val="119506C7"/>
    <w:rsid w:val="11AD2DC6"/>
    <w:rsid w:val="11B55FCB"/>
    <w:rsid w:val="11D85012"/>
    <w:rsid w:val="11F24814"/>
    <w:rsid w:val="11FA498B"/>
    <w:rsid w:val="11FB0D2F"/>
    <w:rsid w:val="123F54D3"/>
    <w:rsid w:val="125A5E7C"/>
    <w:rsid w:val="12836B35"/>
    <w:rsid w:val="12A65EB9"/>
    <w:rsid w:val="12F32D06"/>
    <w:rsid w:val="1331129B"/>
    <w:rsid w:val="13341B04"/>
    <w:rsid w:val="13622204"/>
    <w:rsid w:val="13700F26"/>
    <w:rsid w:val="137C230D"/>
    <w:rsid w:val="13BB1D9A"/>
    <w:rsid w:val="13C8541B"/>
    <w:rsid w:val="13D06940"/>
    <w:rsid w:val="13E34C02"/>
    <w:rsid w:val="13ED276A"/>
    <w:rsid w:val="140212F1"/>
    <w:rsid w:val="142762EF"/>
    <w:rsid w:val="14325C20"/>
    <w:rsid w:val="143E2EE3"/>
    <w:rsid w:val="149A4343"/>
    <w:rsid w:val="151313C6"/>
    <w:rsid w:val="15212654"/>
    <w:rsid w:val="15462F97"/>
    <w:rsid w:val="154824EF"/>
    <w:rsid w:val="15632C16"/>
    <w:rsid w:val="15895A16"/>
    <w:rsid w:val="15BA3C42"/>
    <w:rsid w:val="15DD471C"/>
    <w:rsid w:val="15E54F66"/>
    <w:rsid w:val="1600437A"/>
    <w:rsid w:val="1644793F"/>
    <w:rsid w:val="16460004"/>
    <w:rsid w:val="16711ACF"/>
    <w:rsid w:val="168170BB"/>
    <w:rsid w:val="168C5B78"/>
    <w:rsid w:val="16A423D1"/>
    <w:rsid w:val="16D96ED9"/>
    <w:rsid w:val="16FE701F"/>
    <w:rsid w:val="17236100"/>
    <w:rsid w:val="17391ED0"/>
    <w:rsid w:val="174F2312"/>
    <w:rsid w:val="17542E0E"/>
    <w:rsid w:val="17965A93"/>
    <w:rsid w:val="17A17C4F"/>
    <w:rsid w:val="17A829E2"/>
    <w:rsid w:val="17AE54CD"/>
    <w:rsid w:val="17AF41AF"/>
    <w:rsid w:val="17E62CEF"/>
    <w:rsid w:val="17EC1C0A"/>
    <w:rsid w:val="18344404"/>
    <w:rsid w:val="18362483"/>
    <w:rsid w:val="184C57FA"/>
    <w:rsid w:val="18563C57"/>
    <w:rsid w:val="186E04C9"/>
    <w:rsid w:val="18AF5B27"/>
    <w:rsid w:val="18CA06D5"/>
    <w:rsid w:val="18FD48CF"/>
    <w:rsid w:val="19283A36"/>
    <w:rsid w:val="19B421D6"/>
    <w:rsid w:val="19B64719"/>
    <w:rsid w:val="19D9120E"/>
    <w:rsid w:val="19F4677B"/>
    <w:rsid w:val="1A002518"/>
    <w:rsid w:val="1A041605"/>
    <w:rsid w:val="1A215270"/>
    <w:rsid w:val="1A447172"/>
    <w:rsid w:val="1A6C0366"/>
    <w:rsid w:val="1A7520C5"/>
    <w:rsid w:val="1A7B41F9"/>
    <w:rsid w:val="1A961F57"/>
    <w:rsid w:val="1AD31E1B"/>
    <w:rsid w:val="1AE378D1"/>
    <w:rsid w:val="1AE77568"/>
    <w:rsid w:val="1AF841BE"/>
    <w:rsid w:val="1B304BC0"/>
    <w:rsid w:val="1B3131FB"/>
    <w:rsid w:val="1B4E20F0"/>
    <w:rsid w:val="1BF9228F"/>
    <w:rsid w:val="1C020FBE"/>
    <w:rsid w:val="1C255C0D"/>
    <w:rsid w:val="1C3D2907"/>
    <w:rsid w:val="1C5C244E"/>
    <w:rsid w:val="1C7D2391"/>
    <w:rsid w:val="1CBA29E7"/>
    <w:rsid w:val="1CC81A8E"/>
    <w:rsid w:val="1CCD691D"/>
    <w:rsid w:val="1CF77CDC"/>
    <w:rsid w:val="1D0C701D"/>
    <w:rsid w:val="1D36117A"/>
    <w:rsid w:val="1D860E9D"/>
    <w:rsid w:val="1DE640C3"/>
    <w:rsid w:val="1DF15C7D"/>
    <w:rsid w:val="1DF67D15"/>
    <w:rsid w:val="1E125A00"/>
    <w:rsid w:val="1E195D86"/>
    <w:rsid w:val="1E417F24"/>
    <w:rsid w:val="1E5E39D9"/>
    <w:rsid w:val="1E7B13C5"/>
    <w:rsid w:val="1EDE4471"/>
    <w:rsid w:val="1F200428"/>
    <w:rsid w:val="1F4D34F1"/>
    <w:rsid w:val="1F6C3676"/>
    <w:rsid w:val="200C0ACE"/>
    <w:rsid w:val="201C2745"/>
    <w:rsid w:val="204E2A84"/>
    <w:rsid w:val="206172E1"/>
    <w:rsid w:val="20873E15"/>
    <w:rsid w:val="20AB5FE8"/>
    <w:rsid w:val="21002234"/>
    <w:rsid w:val="210B4B8B"/>
    <w:rsid w:val="212C6943"/>
    <w:rsid w:val="213D657D"/>
    <w:rsid w:val="21431A7D"/>
    <w:rsid w:val="21544E8E"/>
    <w:rsid w:val="21A25532"/>
    <w:rsid w:val="21AD0E71"/>
    <w:rsid w:val="21F42001"/>
    <w:rsid w:val="22741D9D"/>
    <w:rsid w:val="22842391"/>
    <w:rsid w:val="22B67ECE"/>
    <w:rsid w:val="22B72955"/>
    <w:rsid w:val="22EC73A6"/>
    <w:rsid w:val="23294C3C"/>
    <w:rsid w:val="234D0967"/>
    <w:rsid w:val="234F7B17"/>
    <w:rsid w:val="23590C2A"/>
    <w:rsid w:val="236C666E"/>
    <w:rsid w:val="23E049ED"/>
    <w:rsid w:val="244B0FA4"/>
    <w:rsid w:val="24561892"/>
    <w:rsid w:val="25053BCC"/>
    <w:rsid w:val="251A0488"/>
    <w:rsid w:val="25781413"/>
    <w:rsid w:val="26010EE8"/>
    <w:rsid w:val="26023801"/>
    <w:rsid w:val="26114A34"/>
    <w:rsid w:val="26290859"/>
    <w:rsid w:val="265B05A2"/>
    <w:rsid w:val="267C3F47"/>
    <w:rsid w:val="268E7807"/>
    <w:rsid w:val="26DB60FD"/>
    <w:rsid w:val="26F909DD"/>
    <w:rsid w:val="271E19F2"/>
    <w:rsid w:val="27756961"/>
    <w:rsid w:val="27D55CFC"/>
    <w:rsid w:val="27F07DF2"/>
    <w:rsid w:val="288C5C1E"/>
    <w:rsid w:val="28B54147"/>
    <w:rsid w:val="28BB4B6F"/>
    <w:rsid w:val="28CF784B"/>
    <w:rsid w:val="29300240"/>
    <w:rsid w:val="29412132"/>
    <w:rsid w:val="2959488B"/>
    <w:rsid w:val="297C6CD1"/>
    <w:rsid w:val="29A7485D"/>
    <w:rsid w:val="29B6156B"/>
    <w:rsid w:val="2A0D53AA"/>
    <w:rsid w:val="2A570F2A"/>
    <w:rsid w:val="2A825479"/>
    <w:rsid w:val="2AB55734"/>
    <w:rsid w:val="2ADF10BD"/>
    <w:rsid w:val="2AF8642C"/>
    <w:rsid w:val="2B035939"/>
    <w:rsid w:val="2B1805E4"/>
    <w:rsid w:val="2B3B26B7"/>
    <w:rsid w:val="2B412143"/>
    <w:rsid w:val="2B4E778E"/>
    <w:rsid w:val="2B91285B"/>
    <w:rsid w:val="2BB110E6"/>
    <w:rsid w:val="2BF567D2"/>
    <w:rsid w:val="2BF87F43"/>
    <w:rsid w:val="2C30427D"/>
    <w:rsid w:val="2C38480E"/>
    <w:rsid w:val="2C8279BC"/>
    <w:rsid w:val="2CAF62D2"/>
    <w:rsid w:val="2CCE79B1"/>
    <w:rsid w:val="2CE95D7B"/>
    <w:rsid w:val="2CEC0D59"/>
    <w:rsid w:val="2D21007C"/>
    <w:rsid w:val="2D3F04F7"/>
    <w:rsid w:val="2D442EEB"/>
    <w:rsid w:val="2D752FAC"/>
    <w:rsid w:val="2DF44503"/>
    <w:rsid w:val="2E147EF0"/>
    <w:rsid w:val="2E2E5367"/>
    <w:rsid w:val="2E4E7A2B"/>
    <w:rsid w:val="2E80779D"/>
    <w:rsid w:val="2ED263E2"/>
    <w:rsid w:val="2F0C2040"/>
    <w:rsid w:val="2F812C9E"/>
    <w:rsid w:val="2FAE79EF"/>
    <w:rsid w:val="303C2551"/>
    <w:rsid w:val="303D0490"/>
    <w:rsid w:val="305C12EA"/>
    <w:rsid w:val="30C47F49"/>
    <w:rsid w:val="30D71F64"/>
    <w:rsid w:val="30F4566E"/>
    <w:rsid w:val="31263059"/>
    <w:rsid w:val="315F41DE"/>
    <w:rsid w:val="3164729B"/>
    <w:rsid w:val="317C64EF"/>
    <w:rsid w:val="31A1715E"/>
    <w:rsid w:val="31A53FD3"/>
    <w:rsid w:val="31B63457"/>
    <w:rsid w:val="31CF2D03"/>
    <w:rsid w:val="31D77017"/>
    <w:rsid w:val="31DD57E6"/>
    <w:rsid w:val="320A3645"/>
    <w:rsid w:val="325451C1"/>
    <w:rsid w:val="32D204BD"/>
    <w:rsid w:val="332A7D95"/>
    <w:rsid w:val="3340749F"/>
    <w:rsid w:val="33562357"/>
    <w:rsid w:val="33743374"/>
    <w:rsid w:val="33BA574B"/>
    <w:rsid w:val="33BD7F41"/>
    <w:rsid w:val="33C35E37"/>
    <w:rsid w:val="341214D4"/>
    <w:rsid w:val="34182627"/>
    <w:rsid w:val="344F1E96"/>
    <w:rsid w:val="347C40F8"/>
    <w:rsid w:val="34E22E0F"/>
    <w:rsid w:val="34E7249A"/>
    <w:rsid w:val="350C3A9F"/>
    <w:rsid w:val="351C2BF1"/>
    <w:rsid w:val="35BF55DC"/>
    <w:rsid w:val="362B7AD3"/>
    <w:rsid w:val="36655B51"/>
    <w:rsid w:val="369C4690"/>
    <w:rsid w:val="36E92B9A"/>
    <w:rsid w:val="37307DD1"/>
    <w:rsid w:val="37381173"/>
    <w:rsid w:val="37636236"/>
    <w:rsid w:val="37B445B9"/>
    <w:rsid w:val="37BF5B2C"/>
    <w:rsid w:val="37E471B6"/>
    <w:rsid w:val="381B3B91"/>
    <w:rsid w:val="38311D87"/>
    <w:rsid w:val="383B3276"/>
    <w:rsid w:val="384A473D"/>
    <w:rsid w:val="38586A39"/>
    <w:rsid w:val="38BB006B"/>
    <w:rsid w:val="38D05A6D"/>
    <w:rsid w:val="390212BA"/>
    <w:rsid w:val="397D10DC"/>
    <w:rsid w:val="398A09FF"/>
    <w:rsid w:val="39B02A11"/>
    <w:rsid w:val="39C778EE"/>
    <w:rsid w:val="39EC25A3"/>
    <w:rsid w:val="3A080F3D"/>
    <w:rsid w:val="3A0B7E25"/>
    <w:rsid w:val="3A2D1DBE"/>
    <w:rsid w:val="3A396B49"/>
    <w:rsid w:val="3A564B6E"/>
    <w:rsid w:val="3AB620B5"/>
    <w:rsid w:val="3AF7441B"/>
    <w:rsid w:val="3B09034C"/>
    <w:rsid w:val="3B2340FA"/>
    <w:rsid w:val="3B6A6B30"/>
    <w:rsid w:val="3BA0001E"/>
    <w:rsid w:val="3BA67EF3"/>
    <w:rsid w:val="3BE61780"/>
    <w:rsid w:val="3C0F0157"/>
    <w:rsid w:val="3C1F3694"/>
    <w:rsid w:val="3C295A99"/>
    <w:rsid w:val="3C491031"/>
    <w:rsid w:val="3C565CC7"/>
    <w:rsid w:val="3CAF7A61"/>
    <w:rsid w:val="3CF014F0"/>
    <w:rsid w:val="3CF52986"/>
    <w:rsid w:val="3D2C5A80"/>
    <w:rsid w:val="3D417F43"/>
    <w:rsid w:val="3DA6641A"/>
    <w:rsid w:val="3E19451F"/>
    <w:rsid w:val="3E736604"/>
    <w:rsid w:val="3E8F75E7"/>
    <w:rsid w:val="3E9C193E"/>
    <w:rsid w:val="3ED05B30"/>
    <w:rsid w:val="3EDA79C1"/>
    <w:rsid w:val="3EE1443F"/>
    <w:rsid w:val="3EE71B36"/>
    <w:rsid w:val="3EEF412D"/>
    <w:rsid w:val="3EFB2631"/>
    <w:rsid w:val="3F046B59"/>
    <w:rsid w:val="3F39520E"/>
    <w:rsid w:val="3F3A6493"/>
    <w:rsid w:val="3F3E0819"/>
    <w:rsid w:val="3F4718D8"/>
    <w:rsid w:val="3F932D2C"/>
    <w:rsid w:val="3FEE7990"/>
    <w:rsid w:val="40264296"/>
    <w:rsid w:val="40461D28"/>
    <w:rsid w:val="40502228"/>
    <w:rsid w:val="406E5112"/>
    <w:rsid w:val="40707236"/>
    <w:rsid w:val="408A442A"/>
    <w:rsid w:val="40AF25FA"/>
    <w:rsid w:val="40B90AE6"/>
    <w:rsid w:val="40C01FCB"/>
    <w:rsid w:val="40D4008B"/>
    <w:rsid w:val="40D4782B"/>
    <w:rsid w:val="40FD0905"/>
    <w:rsid w:val="410B04D9"/>
    <w:rsid w:val="412521E4"/>
    <w:rsid w:val="41551B3B"/>
    <w:rsid w:val="416602B2"/>
    <w:rsid w:val="41665F67"/>
    <w:rsid w:val="41785691"/>
    <w:rsid w:val="418E3065"/>
    <w:rsid w:val="41C7544C"/>
    <w:rsid w:val="41DE0DCA"/>
    <w:rsid w:val="41E75418"/>
    <w:rsid w:val="421E6B4D"/>
    <w:rsid w:val="4258162A"/>
    <w:rsid w:val="42E82FFB"/>
    <w:rsid w:val="42E939AF"/>
    <w:rsid w:val="42FD048C"/>
    <w:rsid w:val="432331CF"/>
    <w:rsid w:val="43280AD1"/>
    <w:rsid w:val="432B625C"/>
    <w:rsid w:val="432E4A7C"/>
    <w:rsid w:val="43326326"/>
    <w:rsid w:val="43394A63"/>
    <w:rsid w:val="433B62FA"/>
    <w:rsid w:val="43426F87"/>
    <w:rsid w:val="43B014CD"/>
    <w:rsid w:val="43DE7B0C"/>
    <w:rsid w:val="43FA5348"/>
    <w:rsid w:val="43FD73C8"/>
    <w:rsid w:val="4441756B"/>
    <w:rsid w:val="446911DA"/>
    <w:rsid w:val="44A33528"/>
    <w:rsid w:val="44B1663A"/>
    <w:rsid w:val="450A0722"/>
    <w:rsid w:val="453836CF"/>
    <w:rsid w:val="45B9521D"/>
    <w:rsid w:val="45F121B8"/>
    <w:rsid w:val="45FD43C0"/>
    <w:rsid w:val="45FE4B6D"/>
    <w:rsid w:val="461432B9"/>
    <w:rsid w:val="4627311B"/>
    <w:rsid w:val="466758D8"/>
    <w:rsid w:val="468A4AA1"/>
    <w:rsid w:val="46CF5A07"/>
    <w:rsid w:val="46FB157C"/>
    <w:rsid w:val="471E67A1"/>
    <w:rsid w:val="4752541D"/>
    <w:rsid w:val="47A22846"/>
    <w:rsid w:val="47B20E55"/>
    <w:rsid w:val="47E37431"/>
    <w:rsid w:val="47FF5B38"/>
    <w:rsid w:val="48000720"/>
    <w:rsid w:val="4809042F"/>
    <w:rsid w:val="489D483F"/>
    <w:rsid w:val="49410D19"/>
    <w:rsid w:val="49507E2D"/>
    <w:rsid w:val="495A5008"/>
    <w:rsid w:val="495D5A7D"/>
    <w:rsid w:val="496541CA"/>
    <w:rsid w:val="49721DBB"/>
    <w:rsid w:val="49961CFC"/>
    <w:rsid w:val="499668E1"/>
    <w:rsid w:val="49B0147C"/>
    <w:rsid w:val="49B80764"/>
    <w:rsid w:val="49BC656C"/>
    <w:rsid w:val="49F83CE9"/>
    <w:rsid w:val="4A0E310F"/>
    <w:rsid w:val="4A407258"/>
    <w:rsid w:val="4A5A43D6"/>
    <w:rsid w:val="4A872E60"/>
    <w:rsid w:val="4AFD1F57"/>
    <w:rsid w:val="4B047CA0"/>
    <w:rsid w:val="4B323F9E"/>
    <w:rsid w:val="4B4240C3"/>
    <w:rsid w:val="4B487CDE"/>
    <w:rsid w:val="4B501A2D"/>
    <w:rsid w:val="4B767137"/>
    <w:rsid w:val="4B7B065F"/>
    <w:rsid w:val="4B865AA7"/>
    <w:rsid w:val="4B9251E7"/>
    <w:rsid w:val="4B9F0B51"/>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6A76BA"/>
    <w:rsid w:val="4E77302F"/>
    <w:rsid w:val="4EC06D6D"/>
    <w:rsid w:val="4EE65CB5"/>
    <w:rsid w:val="4EF31987"/>
    <w:rsid w:val="4EFD21FF"/>
    <w:rsid w:val="4F6B7866"/>
    <w:rsid w:val="4F890CC8"/>
    <w:rsid w:val="4F97232D"/>
    <w:rsid w:val="4FA304F6"/>
    <w:rsid w:val="4FA5789E"/>
    <w:rsid w:val="50262422"/>
    <w:rsid w:val="506505F0"/>
    <w:rsid w:val="50A941FF"/>
    <w:rsid w:val="510C1E87"/>
    <w:rsid w:val="51372B8F"/>
    <w:rsid w:val="516C6209"/>
    <w:rsid w:val="517B1A54"/>
    <w:rsid w:val="51B71308"/>
    <w:rsid w:val="51C51B5F"/>
    <w:rsid w:val="51CB7214"/>
    <w:rsid w:val="51F74ABF"/>
    <w:rsid w:val="5235702F"/>
    <w:rsid w:val="52A176A8"/>
    <w:rsid w:val="52D279C5"/>
    <w:rsid w:val="52DA53D8"/>
    <w:rsid w:val="53B504E7"/>
    <w:rsid w:val="540D4497"/>
    <w:rsid w:val="541010AD"/>
    <w:rsid w:val="54140D2A"/>
    <w:rsid w:val="54250A4E"/>
    <w:rsid w:val="54544E99"/>
    <w:rsid w:val="549A5A7A"/>
    <w:rsid w:val="54DD38C0"/>
    <w:rsid w:val="55127A2A"/>
    <w:rsid w:val="55A74ED3"/>
    <w:rsid w:val="55AA2C77"/>
    <w:rsid w:val="55AD09F7"/>
    <w:rsid w:val="55D9675C"/>
    <w:rsid w:val="56292581"/>
    <w:rsid w:val="56487389"/>
    <w:rsid w:val="56FD7F32"/>
    <w:rsid w:val="573003D2"/>
    <w:rsid w:val="57511FB2"/>
    <w:rsid w:val="577D03B1"/>
    <w:rsid w:val="57BB0A78"/>
    <w:rsid w:val="580D0D18"/>
    <w:rsid w:val="58137B4D"/>
    <w:rsid w:val="58325CD2"/>
    <w:rsid w:val="58366984"/>
    <w:rsid w:val="58874867"/>
    <w:rsid w:val="589269F4"/>
    <w:rsid w:val="58B64650"/>
    <w:rsid w:val="58E2702B"/>
    <w:rsid w:val="5954505F"/>
    <w:rsid w:val="5993453F"/>
    <w:rsid w:val="59DB62D9"/>
    <w:rsid w:val="5A040F1E"/>
    <w:rsid w:val="5A571234"/>
    <w:rsid w:val="5A5D44B6"/>
    <w:rsid w:val="5A7F14AF"/>
    <w:rsid w:val="5AC61268"/>
    <w:rsid w:val="5B645B78"/>
    <w:rsid w:val="5B6E05FB"/>
    <w:rsid w:val="5B7724B7"/>
    <w:rsid w:val="5B7E605F"/>
    <w:rsid w:val="5B8C647D"/>
    <w:rsid w:val="5B992F87"/>
    <w:rsid w:val="5BF0003F"/>
    <w:rsid w:val="5BF34011"/>
    <w:rsid w:val="5C166F09"/>
    <w:rsid w:val="5C2A52BE"/>
    <w:rsid w:val="5C646231"/>
    <w:rsid w:val="5CE46FAA"/>
    <w:rsid w:val="5D2E4278"/>
    <w:rsid w:val="5D960828"/>
    <w:rsid w:val="5DAA51B9"/>
    <w:rsid w:val="5DC518B5"/>
    <w:rsid w:val="5DE66F6F"/>
    <w:rsid w:val="5E2810FD"/>
    <w:rsid w:val="5E2E0ABF"/>
    <w:rsid w:val="5E3B2546"/>
    <w:rsid w:val="5E3F5D12"/>
    <w:rsid w:val="5E472CA5"/>
    <w:rsid w:val="5E5B5F8C"/>
    <w:rsid w:val="5F503EAD"/>
    <w:rsid w:val="5F660863"/>
    <w:rsid w:val="5F921B54"/>
    <w:rsid w:val="5F9F4ACF"/>
    <w:rsid w:val="5FB87F8E"/>
    <w:rsid w:val="6012645F"/>
    <w:rsid w:val="604E6A0A"/>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E756A"/>
    <w:rsid w:val="626471EF"/>
    <w:rsid w:val="62A92180"/>
    <w:rsid w:val="63327C2F"/>
    <w:rsid w:val="633B50A9"/>
    <w:rsid w:val="634800DD"/>
    <w:rsid w:val="634E6339"/>
    <w:rsid w:val="638E5C3D"/>
    <w:rsid w:val="63B26805"/>
    <w:rsid w:val="63C50EC1"/>
    <w:rsid w:val="641103F6"/>
    <w:rsid w:val="641C4637"/>
    <w:rsid w:val="64274C3E"/>
    <w:rsid w:val="644323A1"/>
    <w:rsid w:val="64684EA9"/>
    <w:rsid w:val="64686153"/>
    <w:rsid w:val="652323D6"/>
    <w:rsid w:val="652C6D05"/>
    <w:rsid w:val="654A2614"/>
    <w:rsid w:val="658166D3"/>
    <w:rsid w:val="659426FC"/>
    <w:rsid w:val="66066C4D"/>
    <w:rsid w:val="662B1E8E"/>
    <w:rsid w:val="663F36DD"/>
    <w:rsid w:val="664523E3"/>
    <w:rsid w:val="66455432"/>
    <w:rsid w:val="6661052C"/>
    <w:rsid w:val="67097D0A"/>
    <w:rsid w:val="6736715E"/>
    <w:rsid w:val="67397FC2"/>
    <w:rsid w:val="675A07BC"/>
    <w:rsid w:val="6767364F"/>
    <w:rsid w:val="678A6A26"/>
    <w:rsid w:val="67BF6746"/>
    <w:rsid w:val="68385A0A"/>
    <w:rsid w:val="683A721E"/>
    <w:rsid w:val="6840772E"/>
    <w:rsid w:val="68435B89"/>
    <w:rsid w:val="684501B7"/>
    <w:rsid w:val="68643BC0"/>
    <w:rsid w:val="688A543D"/>
    <w:rsid w:val="68BA5CE9"/>
    <w:rsid w:val="68CE4553"/>
    <w:rsid w:val="68D51E7A"/>
    <w:rsid w:val="69195135"/>
    <w:rsid w:val="692A202C"/>
    <w:rsid w:val="694D1E19"/>
    <w:rsid w:val="69760C36"/>
    <w:rsid w:val="69C8195F"/>
    <w:rsid w:val="69CF3BEB"/>
    <w:rsid w:val="69EB7683"/>
    <w:rsid w:val="6A387C70"/>
    <w:rsid w:val="6A631E35"/>
    <w:rsid w:val="6A6F1C20"/>
    <w:rsid w:val="6A7C4E57"/>
    <w:rsid w:val="6A9A5FFD"/>
    <w:rsid w:val="6AA30D43"/>
    <w:rsid w:val="6AC97B14"/>
    <w:rsid w:val="6AE40685"/>
    <w:rsid w:val="6B144F27"/>
    <w:rsid w:val="6B797D08"/>
    <w:rsid w:val="6B7F203F"/>
    <w:rsid w:val="6B866E86"/>
    <w:rsid w:val="6B990794"/>
    <w:rsid w:val="6BE24CE8"/>
    <w:rsid w:val="6C360C93"/>
    <w:rsid w:val="6CA54180"/>
    <w:rsid w:val="6CE42579"/>
    <w:rsid w:val="6CE64DE7"/>
    <w:rsid w:val="6D1C3817"/>
    <w:rsid w:val="6D38704B"/>
    <w:rsid w:val="6D5307CF"/>
    <w:rsid w:val="6D98264B"/>
    <w:rsid w:val="6DAB6138"/>
    <w:rsid w:val="6DAE3B7D"/>
    <w:rsid w:val="6DBF37EC"/>
    <w:rsid w:val="6DEE2249"/>
    <w:rsid w:val="6DFC191F"/>
    <w:rsid w:val="6E0C0F5A"/>
    <w:rsid w:val="6E12113E"/>
    <w:rsid w:val="6E471F02"/>
    <w:rsid w:val="6E5503E4"/>
    <w:rsid w:val="6E620C4B"/>
    <w:rsid w:val="6E870A36"/>
    <w:rsid w:val="6F16667F"/>
    <w:rsid w:val="6F3A45FB"/>
    <w:rsid w:val="6F461A44"/>
    <w:rsid w:val="6F5003AC"/>
    <w:rsid w:val="6F8017C9"/>
    <w:rsid w:val="6F83527F"/>
    <w:rsid w:val="6FAF3346"/>
    <w:rsid w:val="6FCB4A13"/>
    <w:rsid w:val="6FF86DDD"/>
    <w:rsid w:val="70187EC5"/>
    <w:rsid w:val="701C39A1"/>
    <w:rsid w:val="7034456F"/>
    <w:rsid w:val="70700F6A"/>
    <w:rsid w:val="70A21DEA"/>
    <w:rsid w:val="70BD7855"/>
    <w:rsid w:val="70C90DC2"/>
    <w:rsid w:val="71021286"/>
    <w:rsid w:val="713A0D71"/>
    <w:rsid w:val="714E7FB6"/>
    <w:rsid w:val="715E0E87"/>
    <w:rsid w:val="716E7BB1"/>
    <w:rsid w:val="71AD7C03"/>
    <w:rsid w:val="72051B29"/>
    <w:rsid w:val="723F0E28"/>
    <w:rsid w:val="72422386"/>
    <w:rsid w:val="7266575F"/>
    <w:rsid w:val="72A87A3F"/>
    <w:rsid w:val="72B817C6"/>
    <w:rsid w:val="730B678F"/>
    <w:rsid w:val="733D2828"/>
    <w:rsid w:val="733F2B3D"/>
    <w:rsid w:val="73911D1F"/>
    <w:rsid w:val="73AC5164"/>
    <w:rsid w:val="73BF531C"/>
    <w:rsid w:val="73E5475D"/>
    <w:rsid w:val="73E76120"/>
    <w:rsid w:val="74144569"/>
    <w:rsid w:val="74381238"/>
    <w:rsid w:val="743C1784"/>
    <w:rsid w:val="744B00F3"/>
    <w:rsid w:val="74782F0F"/>
    <w:rsid w:val="74E02504"/>
    <w:rsid w:val="74F7039E"/>
    <w:rsid w:val="750B6677"/>
    <w:rsid w:val="75184383"/>
    <w:rsid w:val="75224E08"/>
    <w:rsid w:val="75324C67"/>
    <w:rsid w:val="75545B20"/>
    <w:rsid w:val="757A6AA8"/>
    <w:rsid w:val="75A620CB"/>
    <w:rsid w:val="75AC73B3"/>
    <w:rsid w:val="75F87069"/>
    <w:rsid w:val="76254B88"/>
    <w:rsid w:val="769D7C92"/>
    <w:rsid w:val="76BF7512"/>
    <w:rsid w:val="76C84E7B"/>
    <w:rsid w:val="76CC503A"/>
    <w:rsid w:val="77011E8D"/>
    <w:rsid w:val="773835C9"/>
    <w:rsid w:val="776179CD"/>
    <w:rsid w:val="778D724E"/>
    <w:rsid w:val="77C92997"/>
    <w:rsid w:val="77D230BA"/>
    <w:rsid w:val="77E3226A"/>
    <w:rsid w:val="77F45337"/>
    <w:rsid w:val="7811592B"/>
    <w:rsid w:val="78287689"/>
    <w:rsid w:val="786F5E45"/>
    <w:rsid w:val="78831644"/>
    <w:rsid w:val="78F2552C"/>
    <w:rsid w:val="790316D7"/>
    <w:rsid w:val="79083AE0"/>
    <w:rsid w:val="79483135"/>
    <w:rsid w:val="795C5849"/>
    <w:rsid w:val="79636308"/>
    <w:rsid w:val="799C5E36"/>
    <w:rsid w:val="79B459BB"/>
    <w:rsid w:val="7A285399"/>
    <w:rsid w:val="7A56205D"/>
    <w:rsid w:val="7A656D7F"/>
    <w:rsid w:val="7A75045A"/>
    <w:rsid w:val="7AE64ECB"/>
    <w:rsid w:val="7AEB2C08"/>
    <w:rsid w:val="7AFC3D41"/>
    <w:rsid w:val="7AFC61D6"/>
    <w:rsid w:val="7B123F06"/>
    <w:rsid w:val="7B154A85"/>
    <w:rsid w:val="7B865DB0"/>
    <w:rsid w:val="7B957C6B"/>
    <w:rsid w:val="7BE049A8"/>
    <w:rsid w:val="7BEB393A"/>
    <w:rsid w:val="7C03388E"/>
    <w:rsid w:val="7C1F439D"/>
    <w:rsid w:val="7C7069A4"/>
    <w:rsid w:val="7C804E8D"/>
    <w:rsid w:val="7C8A1FDF"/>
    <w:rsid w:val="7C953875"/>
    <w:rsid w:val="7C9B7091"/>
    <w:rsid w:val="7CAF1F68"/>
    <w:rsid w:val="7CD05500"/>
    <w:rsid w:val="7D0B37FA"/>
    <w:rsid w:val="7D2908DD"/>
    <w:rsid w:val="7D4B05C2"/>
    <w:rsid w:val="7D5D5D78"/>
    <w:rsid w:val="7E071885"/>
    <w:rsid w:val="7E653164"/>
    <w:rsid w:val="7E8D1B3C"/>
    <w:rsid w:val="7EA618F0"/>
    <w:rsid w:val="7EB7696D"/>
    <w:rsid w:val="7EC95E9A"/>
    <w:rsid w:val="7ED74FB0"/>
    <w:rsid w:val="7F516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8"/>
    <w:qFormat/>
    <w:uiPriority w:val="0"/>
    <w:pPr>
      <w:tabs>
        <w:tab w:val="center" w:pos="4153"/>
        <w:tab w:val="right" w:pos="8306"/>
      </w:tabs>
      <w:snapToGrid w:val="0"/>
      <w:jc w:val="left"/>
    </w:pPr>
    <w:rPr>
      <w:sz w:val="18"/>
      <w:szCs w:val="18"/>
    </w:rPr>
  </w:style>
  <w:style w:type="paragraph" w:styleId="5">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kern w:val="2"/>
      <w:sz w:val="18"/>
      <w:szCs w:val="18"/>
    </w:rPr>
  </w:style>
  <w:style w:type="paragraph" w:customStyle="1" w:styleId="13">
    <w:name w:val="修订1"/>
    <w:hidden/>
    <w:semiHidden/>
    <w:qFormat/>
    <w:uiPriority w:val="99"/>
    <w:rPr>
      <w:rFonts w:ascii="Times New Roman" w:hAnsi="Times New Roman" w:eastAsia="宋体" w:cs="Times New Roman"/>
      <w:kern w:val="2"/>
      <w:sz w:val="21"/>
      <w:lang w:val="en-US" w:eastAsia="zh-CN" w:bidi="ar-SA"/>
    </w:rPr>
  </w:style>
  <w:style w:type="character" w:customStyle="1" w:styleId="14">
    <w:name w:val="批注文字 字符"/>
    <w:basedOn w:val="9"/>
    <w:link w:val="2"/>
    <w:qFormat/>
    <w:uiPriority w:val="0"/>
    <w:rPr>
      <w:kern w:val="2"/>
      <w:sz w:val="21"/>
    </w:rPr>
  </w:style>
  <w:style w:type="character" w:customStyle="1" w:styleId="15">
    <w:name w:val="批注主题 字符"/>
    <w:basedOn w:val="14"/>
    <w:link w:val="6"/>
    <w:qFormat/>
    <w:uiPriority w:val="0"/>
    <w:rPr>
      <w:b/>
      <w:bCs/>
      <w:kern w:val="2"/>
      <w:sz w:val="21"/>
    </w:rPr>
  </w:style>
  <w:style w:type="paragraph" w:customStyle="1" w:styleId="16">
    <w:name w:val="修订2"/>
    <w:hidden/>
    <w:semiHidden/>
    <w:qFormat/>
    <w:uiPriority w:val="99"/>
    <w:rPr>
      <w:rFonts w:ascii="Times New Roman" w:hAnsi="Times New Roman" w:eastAsia="宋体" w:cs="Times New Roman"/>
      <w:kern w:val="2"/>
      <w:sz w:val="21"/>
      <w:lang w:val="en-US" w:eastAsia="zh-CN" w:bidi="ar-SA"/>
    </w:rPr>
  </w:style>
  <w:style w:type="character" w:customStyle="1" w:styleId="17">
    <w:name w:val="页眉 字符"/>
    <w:basedOn w:val="9"/>
    <w:link w:val="5"/>
    <w:qFormat/>
    <w:uiPriority w:val="0"/>
    <w:rPr>
      <w:kern w:val="2"/>
      <w:sz w:val="18"/>
      <w:szCs w:val="18"/>
    </w:rPr>
  </w:style>
  <w:style w:type="character" w:customStyle="1" w:styleId="18">
    <w:name w:val="页脚 字符"/>
    <w:basedOn w:val="9"/>
    <w:link w:val="4"/>
    <w:qFormat/>
    <w:uiPriority w:val="0"/>
    <w:rPr>
      <w:kern w:val="2"/>
      <w:sz w:val="18"/>
      <w:szCs w:val="18"/>
    </w:rPr>
  </w:style>
  <w:style w:type="paragraph" w:customStyle="1" w:styleId="19">
    <w:name w:val="修订3"/>
    <w:hidden/>
    <w:semiHidden/>
    <w:qFormat/>
    <w:uiPriority w:val="99"/>
    <w:rPr>
      <w:rFonts w:ascii="Times New Roman" w:hAnsi="Times New Roman" w:eastAsia="宋体" w:cs="Times New Roman"/>
      <w:kern w:val="2"/>
      <w:sz w:val="21"/>
      <w:lang w:val="en-US" w:eastAsia="zh-CN" w:bidi="ar-SA"/>
    </w:rPr>
  </w:style>
  <w:style w:type="paragraph" w:customStyle="1" w:styleId="20">
    <w:name w:val="修订4"/>
    <w:hidden/>
    <w:semiHidden/>
    <w:qFormat/>
    <w:uiPriority w:val="99"/>
    <w:rPr>
      <w:rFonts w:ascii="Times New Roman" w:hAnsi="Times New Roman" w:eastAsia="宋体" w:cs="Times New Roman"/>
      <w:kern w:val="2"/>
      <w:sz w:val="21"/>
      <w:lang w:val="en-US" w:eastAsia="zh-CN" w:bidi="ar-SA"/>
    </w:rPr>
  </w:style>
  <w:style w:type="paragraph" w:customStyle="1" w:styleId="21">
    <w:name w:val="修订5"/>
    <w:hidden/>
    <w:semiHidden/>
    <w:qFormat/>
    <w:uiPriority w:val="99"/>
    <w:rPr>
      <w:rFonts w:ascii="Times New Roman" w:hAnsi="Times New Roman" w:eastAsia="宋体" w:cs="Times New Roman"/>
      <w:kern w:val="2"/>
      <w:sz w:val="21"/>
      <w:lang w:val="en-US" w:eastAsia="zh-CN" w:bidi="ar-SA"/>
    </w:rPr>
  </w:style>
  <w:style w:type="paragraph" w:customStyle="1" w:styleId="22">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1113</Words>
  <Characters>1657</Characters>
  <Lines>13</Lines>
  <Paragraphs>3</Paragraphs>
  <TotalTime>0</TotalTime>
  <ScaleCrop>false</ScaleCrop>
  <LinksUpToDate>false</LinksUpToDate>
  <CharactersWithSpaces>1686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2023-03-27T02:19:00Z</dcterms:created>
  <dc:creator>suuuu</dc:creator>
  <cp:lastModifiedBy>suuuu</cp:lastModifiedBy>
  <dcterms:modified xsi:type="dcterms:W3CDTF">2023-03-31T06:58:55Z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7F3059DBC3064F4AB5B6CF9B343D97FE_13</vt:lpwstr>
  </property>
</Properties>
</file>