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ascii="宋体" w:hAnsi="宋体"/>
          <w:sz w:val="24"/>
          <w:szCs w:val="24"/>
        </w:rPr>
      </w:pPr>
      <w:r>
        <w:rPr>
          <w:rFonts w:hint="eastAsia" w:ascii="宋体" w:hAnsi="宋体"/>
          <w:sz w:val="24"/>
          <w:szCs w:val="24"/>
        </w:rPr>
        <w:t xml:space="preserve">证券代码：603232  </w:t>
      </w:r>
      <w:r>
        <w:rPr>
          <w:rFonts w:ascii="宋体" w:hAnsi="宋体"/>
          <w:sz w:val="24"/>
          <w:szCs w:val="24"/>
        </w:rPr>
        <w:t xml:space="preserve">       </w:t>
      </w:r>
      <w:r>
        <w:rPr>
          <w:rFonts w:hint="eastAsia" w:ascii="宋体" w:hAnsi="宋体"/>
          <w:sz w:val="24"/>
          <w:szCs w:val="24"/>
        </w:rPr>
        <w:t xml:space="preserve">证券简称：格尔软件   </w:t>
      </w:r>
      <w:r>
        <w:rPr>
          <w:rFonts w:ascii="宋体" w:hAnsi="宋体"/>
          <w:sz w:val="24"/>
          <w:szCs w:val="24"/>
        </w:rPr>
        <w:t xml:space="preserve">     </w:t>
      </w:r>
      <w:r>
        <w:rPr>
          <w:rFonts w:hint="eastAsia" w:ascii="宋体" w:hAnsi="宋体"/>
          <w:sz w:val="24"/>
          <w:szCs w:val="24"/>
        </w:rPr>
        <w:t>公告编号：2</w:t>
      </w:r>
      <w:r>
        <w:rPr>
          <w:rFonts w:ascii="宋体" w:hAnsi="宋体"/>
          <w:sz w:val="24"/>
          <w:szCs w:val="24"/>
        </w:rPr>
        <w:t>022-</w:t>
      </w:r>
      <w:r>
        <w:rPr>
          <w:rFonts w:hint="eastAsia" w:ascii="宋体" w:hAnsi="宋体"/>
          <w:sz w:val="24"/>
          <w:szCs w:val="24"/>
        </w:rPr>
        <w:t>060</w:t>
      </w:r>
    </w:p>
    <w:p>
      <w:pPr>
        <w:adjustRightInd w:val="0"/>
        <w:snapToGrid w:val="0"/>
        <w:spacing w:line="360" w:lineRule="auto"/>
        <w:rPr>
          <w:rFonts w:ascii="仿宋_GB2312" w:eastAsia="仿宋_GB2312"/>
          <w:sz w:val="30"/>
          <w:szCs w:val="30"/>
        </w:rPr>
      </w:pPr>
    </w:p>
    <w:p>
      <w:pPr>
        <w:adjustRightInd w:val="0"/>
        <w:snapToGrid w:val="0"/>
        <w:spacing w:line="360" w:lineRule="auto"/>
        <w:jc w:val="center"/>
        <w:rPr>
          <w:rFonts w:ascii="黑体" w:hAnsi="黑体" w:eastAsia="黑体"/>
          <w:b/>
          <w:color w:val="FF0000"/>
          <w:sz w:val="36"/>
          <w:szCs w:val="36"/>
        </w:rPr>
      </w:pPr>
      <w:r>
        <w:rPr>
          <w:rFonts w:hint="eastAsia" w:ascii="黑体" w:hAnsi="黑体" w:eastAsia="黑体"/>
          <w:b/>
          <w:color w:val="FF0000"/>
          <w:sz w:val="36"/>
          <w:szCs w:val="36"/>
        </w:rPr>
        <w:t>格尔软件股份有限公司</w:t>
      </w:r>
      <w:bookmarkStart w:id="5" w:name="_GoBack"/>
      <w:bookmarkEnd w:id="5"/>
    </w:p>
    <w:p>
      <w:pPr>
        <w:adjustRightInd w:val="0"/>
        <w:snapToGrid w:val="0"/>
        <w:spacing w:line="360" w:lineRule="auto"/>
        <w:jc w:val="center"/>
        <w:rPr>
          <w:rFonts w:ascii="黑体" w:hAnsi="黑体" w:eastAsia="黑体"/>
          <w:b/>
          <w:color w:val="FF0000"/>
          <w:sz w:val="36"/>
          <w:szCs w:val="36"/>
        </w:rPr>
      </w:pPr>
      <w:r>
        <w:rPr>
          <w:rFonts w:hint="eastAsia" w:ascii="黑体" w:hAnsi="黑体" w:eastAsia="黑体"/>
          <w:b/>
          <w:color w:val="FF0000"/>
          <w:sz w:val="36"/>
          <w:szCs w:val="36"/>
        </w:rPr>
        <w:t>股票交易异常波动公告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本公司董事会及全体董事保证本公告内容不存在任何虚假记载、误导性陈述或者重大遗漏，并对其内容的真实性、准确性和完整性承担法律责任。</w:t>
      </w:r>
    </w:p>
    <w:p>
      <w:pPr>
        <w:adjustRightInd w:val="0"/>
        <w:snapToGrid w:val="0"/>
        <w:spacing w:line="560" w:lineRule="exact"/>
        <w:ind w:firstLine="600" w:firstLineChars="200"/>
        <w:rPr>
          <w:rFonts w:ascii="仿宋_GB2312" w:hAnsi="宋体" w:eastAsia="仿宋_GB2312"/>
          <w:sz w:val="30"/>
          <w:szCs w:val="30"/>
        </w:rPr>
      </w:pPr>
    </w:p>
    <w:p>
      <w:pPr>
        <w:adjustRightInd w:val="0"/>
        <w:snapToGrid w:val="0"/>
        <w:spacing w:line="360" w:lineRule="auto"/>
        <w:ind w:firstLine="482" w:firstLineChars="200"/>
        <w:rPr>
          <w:rFonts w:ascii="宋体" w:hAnsi="宋体"/>
          <w:b/>
          <w:bCs/>
          <w:sz w:val="24"/>
          <w:szCs w:val="24"/>
        </w:rPr>
      </w:pPr>
      <w:r>
        <w:rPr>
          <w:rFonts w:hint="eastAsia" w:ascii="宋体" w:hAnsi="宋体"/>
          <w:b/>
          <w:bCs/>
          <w:sz w:val="24"/>
          <w:szCs w:val="24"/>
        </w:rPr>
        <w:t>重要内容提示：</w:t>
      </w:r>
    </w:p>
    <w:p>
      <w:pPr>
        <w:numPr>
          <w:ilvl w:val="0"/>
          <w:numId w:val="1"/>
        </w:numPr>
        <w:adjustRightInd w:val="0"/>
        <w:snapToGrid w:val="0"/>
        <w:spacing w:line="360" w:lineRule="auto"/>
        <w:ind w:left="0" w:firstLine="480" w:firstLineChars="200"/>
        <w:rPr>
          <w:rFonts w:ascii="宋体" w:hAnsi="宋体"/>
          <w:sz w:val="24"/>
          <w:szCs w:val="24"/>
        </w:rPr>
      </w:pPr>
      <w:bookmarkStart w:id="0" w:name="_Hlk47168962"/>
      <w:r>
        <w:rPr>
          <w:rFonts w:hint="eastAsia" w:ascii="宋体" w:hAnsi="宋体"/>
          <w:sz w:val="24"/>
          <w:szCs w:val="24"/>
        </w:rPr>
        <w:t>格尔软件股份有限公司（以下简称“公司”或“本公司”）股票于</w:t>
      </w:r>
      <w:r>
        <w:rPr>
          <w:rFonts w:ascii="宋体" w:hAnsi="宋体"/>
          <w:sz w:val="24"/>
          <w:szCs w:val="24"/>
        </w:rPr>
        <w:t>202</w:t>
      </w:r>
      <w:r>
        <w:rPr>
          <w:rFonts w:hint="eastAsia" w:ascii="宋体" w:hAnsi="宋体"/>
          <w:sz w:val="24"/>
          <w:szCs w:val="24"/>
        </w:rPr>
        <w:t>2年10月27日、10月28日连续两个交易日内日收盘价格涨幅偏离值累计达20%。根据《上海证券交易所交易规则》的有关规定，属于股票交易异常波动情形</w:t>
      </w:r>
      <w:bookmarkEnd w:id="0"/>
      <w:r>
        <w:rPr>
          <w:rFonts w:hint="eastAsia" w:ascii="宋体" w:hAnsi="宋体"/>
          <w:sz w:val="24"/>
          <w:szCs w:val="24"/>
        </w:rPr>
        <w:t>。</w:t>
      </w:r>
    </w:p>
    <w:p>
      <w:pPr>
        <w:numPr>
          <w:ilvl w:val="0"/>
          <w:numId w:val="1"/>
        </w:numPr>
        <w:adjustRightInd w:val="0"/>
        <w:snapToGrid w:val="0"/>
        <w:spacing w:line="360" w:lineRule="auto"/>
        <w:ind w:left="0" w:firstLine="480" w:firstLineChars="200"/>
        <w:rPr>
          <w:rFonts w:ascii="宋体" w:hAnsi="宋体"/>
          <w:sz w:val="24"/>
          <w:szCs w:val="24"/>
        </w:rPr>
      </w:pPr>
      <w:r>
        <w:rPr>
          <w:rFonts w:hint="eastAsia" w:ascii="宋体" w:hAnsi="宋体"/>
          <w:sz w:val="24"/>
          <w:szCs w:val="24"/>
        </w:rPr>
        <w:t>经公司自查并向控股股东及实际控制人核实，截至本公告披露日，不存在应披露而未披露的重大信息。</w:t>
      </w:r>
    </w:p>
    <w:p>
      <w:pPr>
        <w:numPr>
          <w:ilvl w:val="0"/>
          <w:numId w:val="1"/>
        </w:numPr>
        <w:adjustRightInd w:val="0"/>
        <w:snapToGrid w:val="0"/>
        <w:spacing w:line="360" w:lineRule="auto"/>
        <w:ind w:left="0" w:firstLine="480" w:firstLineChars="200"/>
        <w:rPr>
          <w:rFonts w:ascii="宋体" w:hAnsi="宋体"/>
          <w:sz w:val="24"/>
          <w:szCs w:val="24"/>
        </w:rPr>
      </w:pPr>
      <w:r>
        <w:rPr>
          <w:rFonts w:hint="eastAsia" w:ascii="宋体" w:hAnsi="宋体"/>
          <w:sz w:val="24"/>
          <w:szCs w:val="24"/>
        </w:rPr>
        <w:t>公司目前生产经营活动一切正常，市场环境、行业政策没有发生重大调整、生产成本和销售等情况没有出现大幅波动、内部生产经营秩序正常。敬请广大投资者注意二级市场交易风险，理性决策，审慎投资。</w:t>
      </w:r>
    </w:p>
    <w:p>
      <w:pPr>
        <w:adjustRightInd w:val="0"/>
        <w:snapToGrid w:val="0"/>
        <w:spacing w:line="360" w:lineRule="auto"/>
        <w:ind w:firstLine="600"/>
        <w:rPr>
          <w:rFonts w:ascii="宋体" w:hAnsi="宋体"/>
          <w:sz w:val="24"/>
          <w:szCs w:val="24"/>
        </w:rPr>
      </w:pPr>
    </w:p>
    <w:p>
      <w:pPr>
        <w:adjustRightInd w:val="0"/>
        <w:snapToGrid w:val="0"/>
        <w:spacing w:line="360" w:lineRule="auto"/>
        <w:ind w:firstLine="482" w:firstLineChars="200"/>
        <w:rPr>
          <w:rFonts w:ascii="宋体" w:hAnsi="宋体" w:cs="宋体"/>
          <w:b/>
          <w:kern w:val="0"/>
          <w:sz w:val="24"/>
          <w:szCs w:val="24"/>
          <w:lang w:val="zh-CN"/>
        </w:rPr>
      </w:pPr>
      <w:r>
        <w:rPr>
          <w:rFonts w:hint="eastAsia" w:ascii="宋体" w:hAnsi="宋体" w:cs="宋体"/>
          <w:b/>
          <w:kern w:val="0"/>
          <w:sz w:val="24"/>
          <w:szCs w:val="24"/>
          <w:lang w:val="zh-CN"/>
        </w:rPr>
        <w:t>一、股票交易异常波动的具体情况</w:t>
      </w:r>
    </w:p>
    <w:p>
      <w:pPr>
        <w:adjustRightInd w:val="0"/>
        <w:snapToGrid w:val="0"/>
        <w:spacing w:line="360" w:lineRule="auto"/>
        <w:ind w:firstLine="480" w:firstLineChars="200"/>
        <w:rPr>
          <w:rFonts w:ascii="宋体" w:hAnsi="宋体" w:cs="宋体"/>
          <w:kern w:val="0"/>
          <w:sz w:val="24"/>
          <w:szCs w:val="24"/>
          <w:lang w:val="zh-CN"/>
        </w:rPr>
      </w:pPr>
      <w:r>
        <w:rPr>
          <w:rFonts w:hint="eastAsia" w:ascii="宋体" w:hAnsi="宋体" w:cs="宋体"/>
          <w:kern w:val="0"/>
          <w:sz w:val="24"/>
          <w:szCs w:val="24"/>
          <w:lang w:val="zh-CN"/>
        </w:rPr>
        <w:t>公司股票交易于</w:t>
      </w:r>
      <w:r>
        <w:rPr>
          <w:rFonts w:hint="eastAsia" w:ascii="宋体" w:hAnsi="宋体"/>
          <w:sz w:val="24"/>
          <w:szCs w:val="24"/>
        </w:rPr>
        <w:t>10月27日、10月28日</w:t>
      </w:r>
      <w:r>
        <w:rPr>
          <w:rFonts w:hint="eastAsia" w:ascii="宋体" w:hAnsi="宋体" w:cs="宋体"/>
          <w:kern w:val="0"/>
          <w:sz w:val="24"/>
          <w:szCs w:val="24"/>
          <w:lang w:val="zh-CN"/>
        </w:rPr>
        <w:t>连续</w:t>
      </w:r>
      <w:r>
        <w:rPr>
          <w:rFonts w:hint="eastAsia" w:ascii="宋体" w:hAnsi="宋体" w:cs="宋体"/>
          <w:kern w:val="0"/>
          <w:sz w:val="24"/>
          <w:szCs w:val="24"/>
        </w:rPr>
        <w:t>两个</w:t>
      </w:r>
      <w:r>
        <w:rPr>
          <w:rFonts w:hint="eastAsia" w:ascii="宋体" w:hAnsi="宋体" w:cs="宋体"/>
          <w:kern w:val="0"/>
          <w:sz w:val="24"/>
          <w:szCs w:val="24"/>
          <w:lang w:val="zh-CN"/>
        </w:rPr>
        <w:t>交易日内收盘价格</w:t>
      </w:r>
      <w:r>
        <w:rPr>
          <w:rFonts w:hint="eastAsia" w:ascii="宋体" w:hAnsi="宋体" w:cs="宋体"/>
          <w:kern w:val="0"/>
          <w:sz w:val="24"/>
          <w:szCs w:val="24"/>
        </w:rPr>
        <w:t>涨幅</w:t>
      </w:r>
      <w:r>
        <w:rPr>
          <w:rFonts w:hint="eastAsia" w:ascii="宋体" w:hAnsi="宋体" w:cs="宋体"/>
          <w:kern w:val="0"/>
          <w:sz w:val="24"/>
          <w:szCs w:val="24"/>
          <w:lang w:val="zh-CN"/>
        </w:rPr>
        <w:t>偏离值累计达20%，根据《上海证券交易所交易规则》的有关规定，属于股票交易价格异常波动</w:t>
      </w:r>
      <w:r>
        <w:rPr>
          <w:rFonts w:hint="eastAsia" w:ascii="宋体" w:hAnsi="宋体"/>
          <w:sz w:val="24"/>
          <w:szCs w:val="24"/>
        </w:rPr>
        <w:t>。</w:t>
      </w:r>
    </w:p>
    <w:p>
      <w:pPr>
        <w:adjustRightInd w:val="0"/>
        <w:snapToGrid w:val="0"/>
        <w:spacing w:line="360" w:lineRule="auto"/>
        <w:ind w:firstLine="482" w:firstLineChars="200"/>
        <w:rPr>
          <w:rFonts w:ascii="宋体" w:hAnsi="宋体" w:cs="宋体"/>
          <w:b/>
          <w:kern w:val="0"/>
          <w:sz w:val="24"/>
          <w:szCs w:val="24"/>
          <w:lang w:val="zh-CN"/>
        </w:rPr>
      </w:pPr>
      <w:r>
        <w:rPr>
          <w:rFonts w:hint="eastAsia" w:ascii="宋体" w:hAnsi="宋体" w:cs="宋体"/>
          <w:b/>
          <w:kern w:val="0"/>
          <w:sz w:val="24"/>
          <w:szCs w:val="24"/>
          <w:lang w:val="zh-CN"/>
        </w:rPr>
        <w:t>二、公司关注并核实的相关情况</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（一）生产经营情况</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经公司自查，公司目前生产经营活动一切正常，市场环境、行业政策没有发生重大调整、生产成本和销售等情况没有出现大幅波动、内部生产经营秩序正常。</w:t>
      </w:r>
    </w:p>
    <w:p>
      <w:pPr>
        <w:spacing w:line="360" w:lineRule="auto"/>
        <w:ind w:firstLine="480" w:firstLineChars="200"/>
        <w:rPr>
          <w:rFonts w:ascii="宋体" w:hAnsi="宋体"/>
          <w:sz w:val="24"/>
          <w:szCs w:val="24"/>
        </w:rPr>
      </w:pPr>
      <w:r>
        <w:rPr>
          <w:rFonts w:hint="eastAsia" w:ascii="宋体" w:hAnsi="宋体"/>
          <w:sz w:val="24"/>
          <w:szCs w:val="24"/>
        </w:rPr>
        <w:t>（二）重大事项情况</w:t>
      </w:r>
    </w:p>
    <w:p>
      <w:pPr>
        <w:spacing w:line="360" w:lineRule="auto"/>
        <w:ind w:firstLine="480" w:firstLineChars="200"/>
        <w:rPr>
          <w:rFonts w:ascii="宋体" w:hAnsi="宋体" w:cs="宋体"/>
          <w:kern w:val="0"/>
          <w:sz w:val="24"/>
          <w:szCs w:val="24"/>
          <w:lang w:val="zh-CN"/>
        </w:rPr>
      </w:pPr>
      <w:r>
        <w:rPr>
          <w:rFonts w:hint="eastAsia" w:ascii="宋体" w:hAnsi="宋体" w:cs="宋体"/>
          <w:kern w:val="0"/>
          <w:sz w:val="24"/>
          <w:szCs w:val="24"/>
          <w:lang w:val="zh-CN"/>
        </w:rPr>
        <w:t>经公司自查，并向公司控股股东、实际控制人</w:t>
      </w:r>
      <w:r>
        <w:rPr>
          <w:rFonts w:hint="eastAsia" w:ascii="宋体" w:hAnsi="宋体" w:cs="宋体"/>
          <w:kern w:val="0"/>
          <w:sz w:val="24"/>
          <w:szCs w:val="24"/>
        </w:rPr>
        <w:t>孔令钢先生</w:t>
      </w:r>
      <w:r>
        <w:rPr>
          <w:rFonts w:hint="eastAsia" w:ascii="宋体" w:hAnsi="宋体" w:cs="宋体"/>
          <w:kern w:val="0"/>
          <w:sz w:val="24"/>
          <w:szCs w:val="24"/>
          <w:lang w:val="en-US" w:eastAsia="zh-CN"/>
        </w:rPr>
        <w:t>及</w:t>
      </w:r>
      <w:r>
        <w:rPr>
          <w:rFonts w:hint="eastAsia" w:ascii="宋体" w:hAnsi="宋体" w:cs="宋体"/>
          <w:kern w:val="0"/>
          <w:sz w:val="24"/>
          <w:szCs w:val="24"/>
        </w:rPr>
        <w:t>陆海天先生</w:t>
      </w:r>
      <w:r>
        <w:rPr>
          <w:rFonts w:hint="eastAsia" w:ascii="宋体" w:hAnsi="宋体" w:cs="宋体"/>
          <w:kern w:val="0"/>
          <w:sz w:val="24"/>
          <w:szCs w:val="24"/>
          <w:lang w:val="zh-CN"/>
        </w:rPr>
        <w:t>函证核实：截至本公告披露日，除了在指定媒体上已公开披露的信息外，不存在影响公司股票交易价格异常波动的重大事宜；不存在其他涉及本公司应披露而未披露的重大信息，包括但不限于重大资产重组、发行股份、上市公司收购、债务重组、业务重组、资产剥离、资产注入、股份回购、股权激励、破产重组、重大业务合作、引进战略投资者等重大事项。</w:t>
      </w:r>
    </w:p>
    <w:p>
      <w:pPr>
        <w:spacing w:line="360" w:lineRule="auto"/>
        <w:ind w:firstLine="480" w:firstLineChars="200"/>
        <w:rPr>
          <w:rFonts w:ascii="宋体" w:hAnsi="宋体" w:cs="宋体"/>
          <w:kern w:val="0"/>
          <w:sz w:val="24"/>
          <w:szCs w:val="24"/>
          <w:lang w:val="zh-CN"/>
        </w:rPr>
      </w:pPr>
      <w:r>
        <w:rPr>
          <w:rFonts w:hint="eastAsia" w:ascii="宋体" w:hAnsi="宋体" w:cs="宋体"/>
          <w:kern w:val="0"/>
          <w:sz w:val="24"/>
          <w:szCs w:val="24"/>
          <w:lang w:val="zh-CN"/>
        </w:rPr>
        <w:t>（三）媒体报道、市场传闻、热点概念情况</w:t>
      </w:r>
    </w:p>
    <w:p>
      <w:pPr>
        <w:spacing w:line="360" w:lineRule="auto"/>
        <w:ind w:firstLine="480" w:firstLineChars="200"/>
        <w:rPr>
          <w:rFonts w:ascii="宋体" w:hAnsi="宋体" w:cs="宋体"/>
          <w:kern w:val="0"/>
          <w:sz w:val="24"/>
          <w:szCs w:val="24"/>
          <w:lang w:val="zh-CN"/>
        </w:rPr>
      </w:pPr>
      <w:r>
        <w:rPr>
          <w:rFonts w:hint="eastAsia" w:ascii="宋体" w:hAnsi="宋体" w:cs="宋体"/>
          <w:kern w:val="0"/>
          <w:sz w:val="24"/>
          <w:szCs w:val="24"/>
          <w:lang w:val="zh-CN"/>
        </w:rPr>
        <w:t>经公司自查，公司未发现存在对公司股票交易价格可能产生重大影响的媒体报道及市场传闻，也未涉及市场热点概念</w:t>
      </w:r>
      <w:r>
        <w:rPr>
          <w:rFonts w:hint="eastAsia" w:ascii="宋体" w:hAnsi="宋体"/>
          <w:sz w:val="24"/>
          <w:szCs w:val="24"/>
        </w:rPr>
        <w:t>。</w:t>
      </w:r>
    </w:p>
    <w:p>
      <w:pPr>
        <w:spacing w:line="360" w:lineRule="auto"/>
        <w:ind w:firstLine="480" w:firstLineChars="200"/>
        <w:rPr>
          <w:rFonts w:ascii="宋体" w:hAnsi="宋体"/>
          <w:sz w:val="24"/>
          <w:szCs w:val="24"/>
        </w:rPr>
      </w:pPr>
      <w:r>
        <w:rPr>
          <w:rFonts w:hint="eastAsia" w:ascii="宋体" w:hAnsi="宋体"/>
          <w:sz w:val="24"/>
          <w:szCs w:val="24"/>
        </w:rPr>
        <w:t>（四）其他股价敏感信息</w:t>
      </w:r>
    </w:p>
    <w:p>
      <w:pPr>
        <w:spacing w:line="360" w:lineRule="auto"/>
        <w:ind w:firstLine="480" w:firstLineChars="200"/>
        <w:rPr>
          <w:rFonts w:ascii="宋体" w:hAnsi="宋体"/>
          <w:sz w:val="24"/>
          <w:szCs w:val="24"/>
        </w:rPr>
      </w:pPr>
      <w:r>
        <w:rPr>
          <w:rFonts w:hint="eastAsia" w:ascii="宋体" w:hAnsi="宋体"/>
          <w:sz w:val="24"/>
          <w:szCs w:val="24"/>
        </w:rPr>
        <w:t>经核实，公司未发现其他有可能对公司股价产生较大影响的重大事件，公司董事、监事、高级管理人员、控股股东及实际控制人在公司本次股票交易异常波动期间不存在买卖公司股票的情况。</w:t>
      </w:r>
    </w:p>
    <w:p>
      <w:pPr>
        <w:adjustRightInd w:val="0"/>
        <w:snapToGrid w:val="0"/>
        <w:spacing w:line="360" w:lineRule="auto"/>
        <w:ind w:firstLine="482" w:firstLineChars="200"/>
        <w:rPr>
          <w:rFonts w:ascii="宋体" w:hAnsi="宋体" w:cs="宋体"/>
          <w:b/>
          <w:kern w:val="0"/>
          <w:sz w:val="24"/>
          <w:szCs w:val="24"/>
        </w:rPr>
      </w:pPr>
      <w:r>
        <w:rPr>
          <w:rFonts w:hint="eastAsia" w:ascii="宋体" w:hAnsi="宋体" w:cs="宋体"/>
          <w:b/>
          <w:kern w:val="0"/>
          <w:sz w:val="24"/>
          <w:szCs w:val="24"/>
          <w:lang w:val="zh-CN"/>
        </w:rPr>
        <w:t>三、相关风险提示</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（一）二级市场交易风险</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公司股票于10月27日、10月28日连续两个交易日内日收盘价格涨幅偏离值累计达20%，股价剔除大盘和板块整体因素后的实际波动幅度较大。</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敬请广大投资者注意二级市场交易风险，理性决策，审慎投资。</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（二）其他风险</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公司郑重提醒广大投资者，《上海证券报》《中国证券报》《证券时报》《证券日报》为公司指定信息披露报刊，上海证券交易所网站(www.sse.com.cn)为公司指定信息披露网站。公司所有信息均以在上述指定媒体刊登的信息为准。敬请广大投资者理性投资，注意投资风险。</w:t>
      </w:r>
    </w:p>
    <w:p>
      <w:pPr>
        <w:adjustRightInd w:val="0"/>
        <w:snapToGrid w:val="0"/>
        <w:spacing w:line="360" w:lineRule="auto"/>
        <w:ind w:firstLine="482" w:firstLineChars="200"/>
        <w:rPr>
          <w:rFonts w:ascii="宋体" w:hAnsi="宋体" w:cs="宋体"/>
          <w:b/>
          <w:kern w:val="0"/>
          <w:sz w:val="24"/>
          <w:szCs w:val="24"/>
          <w:lang w:val="zh-CN"/>
        </w:rPr>
      </w:pPr>
      <w:r>
        <w:rPr>
          <w:rFonts w:hint="eastAsia" w:ascii="宋体" w:hAnsi="宋体" w:cs="宋体"/>
          <w:b/>
          <w:kern w:val="0"/>
          <w:sz w:val="24"/>
          <w:szCs w:val="24"/>
          <w:lang w:val="zh-CN"/>
        </w:rPr>
        <w:t>四、董事会声明及相关方承诺</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公司董事会确认，不存在其他根据《上海证券交易所股票上市规则》等有关规定应披露而未披露的事项或与该等事项有关的筹划、商谈、意向、协议等，董事会也未获悉根据《上海证券交易所股票上市规则》等有关规定应披露而未披露的、对本公司股票及其衍生品种交易价格可能产生较大影响的信息；公司前期披露的信息不存在需要更正、补充之处</w:t>
      </w:r>
      <w:r>
        <w:rPr>
          <w:rFonts w:hint="eastAsia" w:ascii="宋体" w:hAnsi="宋体" w:cs="宋体"/>
          <w:kern w:val="0"/>
          <w:sz w:val="24"/>
          <w:szCs w:val="24"/>
          <w:lang w:val="zh-CN"/>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特此公告。</w:t>
      </w:r>
    </w:p>
    <w:p>
      <w:pPr>
        <w:adjustRightInd w:val="0"/>
        <w:snapToGrid w:val="0"/>
        <w:spacing w:line="360" w:lineRule="auto"/>
        <w:ind w:firstLine="480" w:firstLineChars="200"/>
        <w:rPr>
          <w:rFonts w:ascii="宋体" w:hAnsi="宋体"/>
          <w:sz w:val="24"/>
          <w:szCs w:val="24"/>
        </w:rPr>
      </w:pPr>
    </w:p>
    <w:p>
      <w:pPr>
        <w:tabs>
          <w:tab w:val="left" w:pos="1080"/>
        </w:tabs>
        <w:adjustRightInd w:val="0"/>
        <w:snapToGrid w:val="0"/>
        <w:spacing w:line="560" w:lineRule="exact"/>
        <w:jc w:val="right"/>
        <w:rPr>
          <w:rFonts w:ascii="宋体" w:hAnsi="宋体"/>
          <w:sz w:val="24"/>
          <w:szCs w:val="24"/>
        </w:rPr>
      </w:pPr>
      <w:r>
        <w:rPr>
          <w:rFonts w:hint="eastAsia" w:ascii="宋体" w:hAnsi="宋体"/>
          <w:sz w:val="24"/>
          <w:szCs w:val="24"/>
        </w:rPr>
        <w:t>格尔软件股份有限公司董事会</w:t>
      </w:r>
    </w:p>
    <w:p>
      <w:pPr>
        <w:adjustRightInd w:val="0"/>
        <w:snapToGrid w:val="0"/>
        <w:spacing w:line="560" w:lineRule="exact"/>
        <w:jc w:val="right"/>
        <w:rPr>
          <w:rFonts w:ascii="仿宋_GB2312" w:hAnsi="宋体" w:eastAsia="仿宋_GB2312"/>
          <w:sz w:val="24"/>
          <w:szCs w:val="24"/>
        </w:rPr>
      </w:pPr>
      <w:r>
        <w:rPr>
          <w:rFonts w:hint="eastAsia" w:ascii="宋体" w:hAnsi="宋体"/>
          <w:sz w:val="24"/>
          <w:szCs w:val="24"/>
        </w:rPr>
        <w:t>2</w:t>
      </w:r>
      <w:r>
        <w:rPr>
          <w:rFonts w:ascii="宋体" w:hAnsi="宋体"/>
          <w:sz w:val="24"/>
          <w:szCs w:val="24"/>
        </w:rPr>
        <w:t>022</w:t>
      </w:r>
      <w:r>
        <w:rPr>
          <w:rFonts w:hint="eastAsia" w:ascii="宋体" w:hAnsi="宋体"/>
          <w:sz w:val="24"/>
          <w:szCs w:val="24"/>
        </w:rPr>
        <w:t>年10月29日</w:t>
      </w:r>
    </w:p>
    <w:p>
      <w:pPr>
        <w:spacing w:line="560" w:lineRule="exact"/>
      </w:pPr>
      <w:bookmarkStart w:id="1" w:name="_Toc340839634"/>
      <w:bookmarkEnd w:id="1"/>
      <w:bookmarkStart w:id="2" w:name="_Toc329775046"/>
      <w:bookmarkEnd w:id="2"/>
      <w:bookmarkStart w:id="3" w:name="_Toc330904149"/>
      <w:bookmarkEnd w:id="3"/>
      <w:bookmarkStart w:id="4" w:name="_Toc329786096"/>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B1DCA"/>
    <w:multiLevelType w:val="multilevel"/>
    <w:tmpl w:val="01FB1DCA"/>
    <w:lvl w:ilvl="0" w:tentative="0">
      <w:start w:val="1"/>
      <w:numFmt w:val="bullet"/>
      <w:lvlText w:val=""/>
      <w:lvlJc w:val="left"/>
      <w:pPr>
        <w:ind w:left="846"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s>
  <w:rsids>
    <w:rsidRoot w:val="00F6170B"/>
    <w:rsid w:val="00015FF8"/>
    <w:rsid w:val="0002099A"/>
    <w:rsid w:val="00022811"/>
    <w:rsid w:val="0004027D"/>
    <w:rsid w:val="0004287C"/>
    <w:rsid w:val="000432CE"/>
    <w:rsid w:val="00050B4C"/>
    <w:rsid w:val="00057EF6"/>
    <w:rsid w:val="000665CB"/>
    <w:rsid w:val="00071DFE"/>
    <w:rsid w:val="00076BE7"/>
    <w:rsid w:val="000868AC"/>
    <w:rsid w:val="00086BE9"/>
    <w:rsid w:val="000B51B2"/>
    <w:rsid w:val="000D0CAB"/>
    <w:rsid w:val="000D64C7"/>
    <w:rsid w:val="000E2592"/>
    <w:rsid w:val="000E7F87"/>
    <w:rsid w:val="000F1FF3"/>
    <w:rsid w:val="000F2598"/>
    <w:rsid w:val="000F406D"/>
    <w:rsid w:val="000F6787"/>
    <w:rsid w:val="001005DD"/>
    <w:rsid w:val="00107583"/>
    <w:rsid w:val="00113421"/>
    <w:rsid w:val="00125515"/>
    <w:rsid w:val="00130F6D"/>
    <w:rsid w:val="00133FDB"/>
    <w:rsid w:val="001356DD"/>
    <w:rsid w:val="00145B86"/>
    <w:rsid w:val="00157813"/>
    <w:rsid w:val="0016367B"/>
    <w:rsid w:val="001652B2"/>
    <w:rsid w:val="00165CD9"/>
    <w:rsid w:val="001743DE"/>
    <w:rsid w:val="00175D85"/>
    <w:rsid w:val="00181765"/>
    <w:rsid w:val="001866B6"/>
    <w:rsid w:val="001901B6"/>
    <w:rsid w:val="001A1FB0"/>
    <w:rsid w:val="001B5830"/>
    <w:rsid w:val="001C211E"/>
    <w:rsid w:val="001D6444"/>
    <w:rsid w:val="001E46E0"/>
    <w:rsid w:val="001F1AE0"/>
    <w:rsid w:val="0020436E"/>
    <w:rsid w:val="00207363"/>
    <w:rsid w:val="00224606"/>
    <w:rsid w:val="002334D8"/>
    <w:rsid w:val="00235ED8"/>
    <w:rsid w:val="0025363B"/>
    <w:rsid w:val="002547E2"/>
    <w:rsid w:val="00267FA9"/>
    <w:rsid w:val="0028282E"/>
    <w:rsid w:val="00291621"/>
    <w:rsid w:val="00292FAE"/>
    <w:rsid w:val="002934D0"/>
    <w:rsid w:val="00297159"/>
    <w:rsid w:val="00300668"/>
    <w:rsid w:val="0031787F"/>
    <w:rsid w:val="00324C5E"/>
    <w:rsid w:val="00325780"/>
    <w:rsid w:val="00331794"/>
    <w:rsid w:val="00333CEE"/>
    <w:rsid w:val="00335982"/>
    <w:rsid w:val="0033722C"/>
    <w:rsid w:val="0034284A"/>
    <w:rsid w:val="003460D8"/>
    <w:rsid w:val="003502D6"/>
    <w:rsid w:val="00356A58"/>
    <w:rsid w:val="003672B1"/>
    <w:rsid w:val="00372290"/>
    <w:rsid w:val="00381946"/>
    <w:rsid w:val="003823D6"/>
    <w:rsid w:val="00384763"/>
    <w:rsid w:val="003936C8"/>
    <w:rsid w:val="003942F6"/>
    <w:rsid w:val="003A3E9B"/>
    <w:rsid w:val="003C22F0"/>
    <w:rsid w:val="003D5D9A"/>
    <w:rsid w:val="003E266A"/>
    <w:rsid w:val="003E3835"/>
    <w:rsid w:val="003E7729"/>
    <w:rsid w:val="003E776C"/>
    <w:rsid w:val="003E7F9C"/>
    <w:rsid w:val="003F0478"/>
    <w:rsid w:val="0040691E"/>
    <w:rsid w:val="00410ADE"/>
    <w:rsid w:val="00425A0B"/>
    <w:rsid w:val="004272A2"/>
    <w:rsid w:val="00444831"/>
    <w:rsid w:val="0045509F"/>
    <w:rsid w:val="00456441"/>
    <w:rsid w:val="0047516A"/>
    <w:rsid w:val="00475478"/>
    <w:rsid w:val="00480888"/>
    <w:rsid w:val="004852DC"/>
    <w:rsid w:val="00497789"/>
    <w:rsid w:val="004A64CC"/>
    <w:rsid w:val="004C7A93"/>
    <w:rsid w:val="004D00D1"/>
    <w:rsid w:val="004D1DE1"/>
    <w:rsid w:val="004D754A"/>
    <w:rsid w:val="004E41C5"/>
    <w:rsid w:val="004F19D6"/>
    <w:rsid w:val="004F7100"/>
    <w:rsid w:val="004F77C6"/>
    <w:rsid w:val="00501722"/>
    <w:rsid w:val="005036F1"/>
    <w:rsid w:val="00520E88"/>
    <w:rsid w:val="005371F3"/>
    <w:rsid w:val="00542B69"/>
    <w:rsid w:val="00544AB4"/>
    <w:rsid w:val="00551144"/>
    <w:rsid w:val="00552183"/>
    <w:rsid w:val="00556041"/>
    <w:rsid w:val="00560F0F"/>
    <w:rsid w:val="0056739E"/>
    <w:rsid w:val="005820F1"/>
    <w:rsid w:val="0058239E"/>
    <w:rsid w:val="005857D1"/>
    <w:rsid w:val="0059611C"/>
    <w:rsid w:val="0059781B"/>
    <w:rsid w:val="005A0AA8"/>
    <w:rsid w:val="005A6ED0"/>
    <w:rsid w:val="005C192E"/>
    <w:rsid w:val="005D7D3D"/>
    <w:rsid w:val="00607AA8"/>
    <w:rsid w:val="00611CAA"/>
    <w:rsid w:val="0062375B"/>
    <w:rsid w:val="0062711B"/>
    <w:rsid w:val="00630769"/>
    <w:rsid w:val="006324B9"/>
    <w:rsid w:val="00635940"/>
    <w:rsid w:val="0063797D"/>
    <w:rsid w:val="00646113"/>
    <w:rsid w:val="00667DA9"/>
    <w:rsid w:val="0067281D"/>
    <w:rsid w:val="0067473A"/>
    <w:rsid w:val="00676878"/>
    <w:rsid w:val="00691E88"/>
    <w:rsid w:val="00692741"/>
    <w:rsid w:val="00693860"/>
    <w:rsid w:val="006946BF"/>
    <w:rsid w:val="006B0A87"/>
    <w:rsid w:val="006B4118"/>
    <w:rsid w:val="006B6692"/>
    <w:rsid w:val="006C0387"/>
    <w:rsid w:val="006E4A2C"/>
    <w:rsid w:val="006F5F7B"/>
    <w:rsid w:val="00735F8C"/>
    <w:rsid w:val="00736B47"/>
    <w:rsid w:val="00740D0D"/>
    <w:rsid w:val="00742B8D"/>
    <w:rsid w:val="00746531"/>
    <w:rsid w:val="0074718E"/>
    <w:rsid w:val="007522D1"/>
    <w:rsid w:val="00753A7C"/>
    <w:rsid w:val="00756885"/>
    <w:rsid w:val="00757420"/>
    <w:rsid w:val="007605D1"/>
    <w:rsid w:val="00767DF8"/>
    <w:rsid w:val="00780F08"/>
    <w:rsid w:val="00781042"/>
    <w:rsid w:val="0078534C"/>
    <w:rsid w:val="00790C6A"/>
    <w:rsid w:val="00792576"/>
    <w:rsid w:val="007A1EC5"/>
    <w:rsid w:val="007A22A5"/>
    <w:rsid w:val="007A2453"/>
    <w:rsid w:val="007B6150"/>
    <w:rsid w:val="007C3305"/>
    <w:rsid w:val="007C3941"/>
    <w:rsid w:val="007D34E6"/>
    <w:rsid w:val="007D68D6"/>
    <w:rsid w:val="007F7340"/>
    <w:rsid w:val="00810684"/>
    <w:rsid w:val="00811665"/>
    <w:rsid w:val="00811FAE"/>
    <w:rsid w:val="00815175"/>
    <w:rsid w:val="008179C0"/>
    <w:rsid w:val="00821A7A"/>
    <w:rsid w:val="00823EAE"/>
    <w:rsid w:val="00842F2D"/>
    <w:rsid w:val="00853582"/>
    <w:rsid w:val="008630D9"/>
    <w:rsid w:val="00864FE3"/>
    <w:rsid w:val="00874649"/>
    <w:rsid w:val="0087505C"/>
    <w:rsid w:val="00875E91"/>
    <w:rsid w:val="00886DA0"/>
    <w:rsid w:val="00886F1D"/>
    <w:rsid w:val="008A0B5E"/>
    <w:rsid w:val="008B14D9"/>
    <w:rsid w:val="008B6ECA"/>
    <w:rsid w:val="008B6FF4"/>
    <w:rsid w:val="008D4CFF"/>
    <w:rsid w:val="008E3328"/>
    <w:rsid w:val="008E737C"/>
    <w:rsid w:val="008F1EBC"/>
    <w:rsid w:val="008F27E6"/>
    <w:rsid w:val="009005C6"/>
    <w:rsid w:val="00904CB5"/>
    <w:rsid w:val="00911BD7"/>
    <w:rsid w:val="0091620A"/>
    <w:rsid w:val="00925C9C"/>
    <w:rsid w:val="00933272"/>
    <w:rsid w:val="00935C1E"/>
    <w:rsid w:val="00950D99"/>
    <w:rsid w:val="00957DEC"/>
    <w:rsid w:val="00960DE4"/>
    <w:rsid w:val="00966AB8"/>
    <w:rsid w:val="00967505"/>
    <w:rsid w:val="00985EBB"/>
    <w:rsid w:val="00994E8F"/>
    <w:rsid w:val="009A28C0"/>
    <w:rsid w:val="009B12A8"/>
    <w:rsid w:val="009D1629"/>
    <w:rsid w:val="009F133E"/>
    <w:rsid w:val="00A03BED"/>
    <w:rsid w:val="00A0586C"/>
    <w:rsid w:val="00A10F74"/>
    <w:rsid w:val="00A23527"/>
    <w:rsid w:val="00A240DE"/>
    <w:rsid w:val="00A41375"/>
    <w:rsid w:val="00A5091F"/>
    <w:rsid w:val="00A55426"/>
    <w:rsid w:val="00A6022D"/>
    <w:rsid w:val="00A71EAF"/>
    <w:rsid w:val="00A72090"/>
    <w:rsid w:val="00A72847"/>
    <w:rsid w:val="00A774DA"/>
    <w:rsid w:val="00A80453"/>
    <w:rsid w:val="00A80602"/>
    <w:rsid w:val="00A84005"/>
    <w:rsid w:val="00A928E3"/>
    <w:rsid w:val="00AA63DF"/>
    <w:rsid w:val="00AD13BF"/>
    <w:rsid w:val="00AD5029"/>
    <w:rsid w:val="00AF46B9"/>
    <w:rsid w:val="00B04087"/>
    <w:rsid w:val="00B04A31"/>
    <w:rsid w:val="00B06474"/>
    <w:rsid w:val="00B10E38"/>
    <w:rsid w:val="00B17348"/>
    <w:rsid w:val="00B17E9B"/>
    <w:rsid w:val="00B24022"/>
    <w:rsid w:val="00B261CE"/>
    <w:rsid w:val="00B36F7A"/>
    <w:rsid w:val="00B476D3"/>
    <w:rsid w:val="00B556F7"/>
    <w:rsid w:val="00B63208"/>
    <w:rsid w:val="00B664A6"/>
    <w:rsid w:val="00B75065"/>
    <w:rsid w:val="00B7799B"/>
    <w:rsid w:val="00B80E71"/>
    <w:rsid w:val="00B811D3"/>
    <w:rsid w:val="00B83132"/>
    <w:rsid w:val="00B87769"/>
    <w:rsid w:val="00BB21EA"/>
    <w:rsid w:val="00BC0840"/>
    <w:rsid w:val="00BD382A"/>
    <w:rsid w:val="00BD57A8"/>
    <w:rsid w:val="00BE150F"/>
    <w:rsid w:val="00C034DD"/>
    <w:rsid w:val="00C12FE1"/>
    <w:rsid w:val="00C25C82"/>
    <w:rsid w:val="00C41640"/>
    <w:rsid w:val="00C455DA"/>
    <w:rsid w:val="00C46C01"/>
    <w:rsid w:val="00C52FCF"/>
    <w:rsid w:val="00C60260"/>
    <w:rsid w:val="00CA6DEE"/>
    <w:rsid w:val="00CB3954"/>
    <w:rsid w:val="00CB3D7B"/>
    <w:rsid w:val="00CB4A54"/>
    <w:rsid w:val="00CC02BA"/>
    <w:rsid w:val="00CD08F3"/>
    <w:rsid w:val="00CD25C3"/>
    <w:rsid w:val="00CD27B9"/>
    <w:rsid w:val="00CD4B16"/>
    <w:rsid w:val="00CE1D8B"/>
    <w:rsid w:val="00CF4673"/>
    <w:rsid w:val="00D04B8F"/>
    <w:rsid w:val="00D1083B"/>
    <w:rsid w:val="00D11F51"/>
    <w:rsid w:val="00D17B36"/>
    <w:rsid w:val="00D301F7"/>
    <w:rsid w:val="00D34CB8"/>
    <w:rsid w:val="00D36C1D"/>
    <w:rsid w:val="00D410CA"/>
    <w:rsid w:val="00D5129B"/>
    <w:rsid w:val="00D52287"/>
    <w:rsid w:val="00D70E5F"/>
    <w:rsid w:val="00D7146C"/>
    <w:rsid w:val="00D71855"/>
    <w:rsid w:val="00D7393B"/>
    <w:rsid w:val="00D944E5"/>
    <w:rsid w:val="00DA1123"/>
    <w:rsid w:val="00DA2D5A"/>
    <w:rsid w:val="00DB4A66"/>
    <w:rsid w:val="00DC1494"/>
    <w:rsid w:val="00DD1942"/>
    <w:rsid w:val="00DD6798"/>
    <w:rsid w:val="00DD7C4E"/>
    <w:rsid w:val="00DF6C5F"/>
    <w:rsid w:val="00E12C7B"/>
    <w:rsid w:val="00E20663"/>
    <w:rsid w:val="00E2263E"/>
    <w:rsid w:val="00E24435"/>
    <w:rsid w:val="00E27617"/>
    <w:rsid w:val="00E32841"/>
    <w:rsid w:val="00E34ADB"/>
    <w:rsid w:val="00E437C7"/>
    <w:rsid w:val="00E52EEC"/>
    <w:rsid w:val="00E56208"/>
    <w:rsid w:val="00E57AD4"/>
    <w:rsid w:val="00E6120B"/>
    <w:rsid w:val="00E647F8"/>
    <w:rsid w:val="00E7492D"/>
    <w:rsid w:val="00E75554"/>
    <w:rsid w:val="00E96397"/>
    <w:rsid w:val="00EA3D9D"/>
    <w:rsid w:val="00EA6688"/>
    <w:rsid w:val="00EB71CE"/>
    <w:rsid w:val="00EC0D63"/>
    <w:rsid w:val="00EC11CE"/>
    <w:rsid w:val="00EC7904"/>
    <w:rsid w:val="00ED0D7C"/>
    <w:rsid w:val="00ED0EFD"/>
    <w:rsid w:val="00ED1E02"/>
    <w:rsid w:val="00ED6496"/>
    <w:rsid w:val="00EE3857"/>
    <w:rsid w:val="00EF2E32"/>
    <w:rsid w:val="00F00832"/>
    <w:rsid w:val="00F014D5"/>
    <w:rsid w:val="00F018A1"/>
    <w:rsid w:val="00F020BD"/>
    <w:rsid w:val="00F108B5"/>
    <w:rsid w:val="00F50039"/>
    <w:rsid w:val="00F50068"/>
    <w:rsid w:val="00F51106"/>
    <w:rsid w:val="00F555CF"/>
    <w:rsid w:val="00F6072B"/>
    <w:rsid w:val="00F6170B"/>
    <w:rsid w:val="00F6229F"/>
    <w:rsid w:val="00F674CB"/>
    <w:rsid w:val="00F73081"/>
    <w:rsid w:val="00F80151"/>
    <w:rsid w:val="00F818E5"/>
    <w:rsid w:val="00F825CA"/>
    <w:rsid w:val="00F8530F"/>
    <w:rsid w:val="00FA61A7"/>
    <w:rsid w:val="00FA7F08"/>
    <w:rsid w:val="00FC12DC"/>
    <w:rsid w:val="00FC2692"/>
    <w:rsid w:val="00FC26B2"/>
    <w:rsid w:val="00FC26E8"/>
    <w:rsid w:val="00FC49D2"/>
    <w:rsid w:val="00FC5C28"/>
    <w:rsid w:val="00FD1494"/>
    <w:rsid w:val="00FD4B50"/>
    <w:rsid w:val="00FE296F"/>
    <w:rsid w:val="00FE7216"/>
    <w:rsid w:val="00FF1376"/>
    <w:rsid w:val="00FF4162"/>
    <w:rsid w:val="04050D95"/>
    <w:rsid w:val="090A4C91"/>
    <w:rsid w:val="1E2E1D75"/>
    <w:rsid w:val="29006301"/>
    <w:rsid w:val="29A56896"/>
    <w:rsid w:val="3E862E92"/>
    <w:rsid w:val="7DF141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3"/>
    <w:semiHidden/>
    <w:unhideWhenUsed/>
    <w:qFormat/>
    <w:uiPriority w:val="99"/>
    <w:rPr>
      <w:kern w:val="0"/>
      <w:sz w:val="18"/>
      <w:szCs w:val="18"/>
    </w:rPr>
  </w:style>
  <w:style w:type="paragraph" w:styleId="4">
    <w:name w:val="footer"/>
    <w:basedOn w:val="1"/>
    <w:link w:val="11"/>
    <w:unhideWhenUsed/>
    <w:qFormat/>
    <w:uiPriority w:val="99"/>
    <w:pPr>
      <w:tabs>
        <w:tab w:val="center" w:pos="4153"/>
        <w:tab w:val="right" w:pos="8306"/>
      </w:tabs>
      <w:snapToGrid w:val="0"/>
      <w:jc w:val="left"/>
    </w:pPr>
    <w:rPr>
      <w:kern w:val="0"/>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semiHidden/>
    <w:unhideWhenUsed/>
    <w:qFormat/>
    <w:uiPriority w:val="99"/>
    <w:rPr>
      <w:sz w:val="21"/>
      <w:szCs w:val="21"/>
    </w:rPr>
  </w:style>
  <w:style w:type="character" w:customStyle="1" w:styleId="10">
    <w:name w:val="页眉 字符"/>
    <w:link w:val="5"/>
    <w:qFormat/>
    <w:uiPriority w:val="99"/>
    <w:rPr>
      <w:rFonts w:ascii="Times New Roman" w:hAnsi="Times New Roman" w:eastAsia="宋体" w:cs="Times New Roman"/>
      <w:sz w:val="18"/>
      <w:szCs w:val="18"/>
    </w:rPr>
  </w:style>
  <w:style w:type="character" w:customStyle="1" w:styleId="11">
    <w:name w:val="页脚 字符1"/>
    <w:link w:val="4"/>
    <w:qFormat/>
    <w:uiPriority w:val="99"/>
    <w:rPr>
      <w:rFonts w:ascii="Times New Roman" w:hAnsi="Times New Roman" w:eastAsia="宋体" w:cs="Times New Roman"/>
      <w:sz w:val="18"/>
      <w:szCs w:val="18"/>
    </w:rPr>
  </w:style>
  <w:style w:type="paragraph" w:customStyle="1" w:styleId="12">
    <w:name w:val="列出段落1"/>
    <w:basedOn w:val="1"/>
    <w:qFormat/>
    <w:uiPriority w:val="34"/>
    <w:pPr>
      <w:ind w:firstLine="420" w:firstLineChars="200"/>
    </w:pPr>
  </w:style>
  <w:style w:type="character" w:customStyle="1" w:styleId="13">
    <w:name w:val="批注框文本 字符"/>
    <w:link w:val="3"/>
    <w:semiHidden/>
    <w:qFormat/>
    <w:uiPriority w:val="99"/>
    <w:rPr>
      <w:rFonts w:ascii="Times New Roman" w:hAnsi="Times New Roman" w:eastAsia="宋体" w:cs="Times New Roman"/>
      <w:sz w:val="18"/>
      <w:szCs w:val="18"/>
    </w:rPr>
  </w:style>
  <w:style w:type="character" w:customStyle="1" w:styleId="14">
    <w:name w:val="批注文字 字符"/>
    <w:link w:val="2"/>
    <w:semiHidden/>
    <w:qFormat/>
    <w:uiPriority w:val="99"/>
    <w:rPr>
      <w:rFonts w:ascii="Times New Roman" w:hAnsi="Times New Roman"/>
      <w:kern w:val="2"/>
      <w:sz w:val="21"/>
    </w:rPr>
  </w:style>
  <w:style w:type="character" w:customStyle="1" w:styleId="15">
    <w:name w:val="批注主题 字符"/>
    <w:link w:val="6"/>
    <w:semiHidden/>
    <w:qFormat/>
    <w:uiPriority w:val="99"/>
    <w:rPr>
      <w:rFonts w:ascii="Times New Roman" w:hAnsi="Times New Roman"/>
      <w:b/>
      <w:bCs/>
      <w:kern w:val="2"/>
      <w:sz w:val="21"/>
    </w:rPr>
  </w:style>
  <w:style w:type="character" w:customStyle="1" w:styleId="16">
    <w:name w:val="页脚 字符"/>
    <w:qFormat/>
    <w:uiPriority w:val="99"/>
  </w:style>
  <w:style w:type="paragraph" w:styleId="17">
    <w:name w:val="List Paragraph"/>
    <w:basedOn w:val="1"/>
    <w:qFormat/>
    <w:uiPriority w:val="34"/>
    <w:pPr>
      <w:ind w:firstLine="420" w:firstLineChars="200"/>
    </w:pPr>
  </w:style>
  <w:style w:type="paragraph" w:customStyle="1" w:styleId="18">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Template>
  <Company>Hewlett-Packard Company</Company>
  <Pages>3</Pages>
  <Words>1310</Words>
  <Characters>1363</Characters>
  <Lines>10</Lines>
  <Paragraphs>2</Paragraphs>
  <TotalTime>7</TotalTime>
  <ScaleCrop>false</ScaleCrop>
  <LinksUpToDate>false</LinksUpToDate>
  <CharactersWithSpaces>1380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2022-10-28T07:42:00Z</dcterms:created>
  <dc:creator>JF</dc:creator>
  <cp:lastModifiedBy>杨易</cp:lastModifiedBy>
  <cp:lastPrinted>2019-11-04T00:47:00Z</cp:lastPrinted>
  <dcterms:modified xsi:type="dcterms:W3CDTF">2022-10-28T08:36:57Z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F55095A58A574FE4A0A3BF2637D2F559</vt:lpwstr>
  </property>
</Properties>
</file>