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Cs w:val="21"/>
          <w:lang w:val="en-US" w:eastAsia="zh-CN"/>
        </w:rPr>
      </w:pPr>
      <w:r>
        <w:rPr>
          <w:rFonts w:hint="default" w:ascii="Times New Roman" w:hAnsi="Times New Roman" w:cs="Times New Roman"/>
          <w:szCs w:val="21"/>
        </w:rPr>
        <w:t xml:space="preserve">证券代码：603232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证券简称：格尔软件             公告编号：</w:t>
      </w:r>
      <w:r>
        <w:rPr>
          <w:rFonts w:hint="default" w:ascii="Times New Roman" w:hAnsi="Times New Roman" w:cs="Times New Roman"/>
          <w:szCs w:val="21"/>
          <w:highlight w:val="none"/>
        </w:rPr>
        <w:t>20</w:t>
      </w:r>
      <w:r>
        <w:rPr>
          <w:rFonts w:hint="default" w:ascii="Times New Roman" w:hAnsi="Times New Roman" w:cs="Times New Roman"/>
          <w:szCs w:val="21"/>
          <w:highlight w:val="none"/>
          <w:lang w:val="en-US" w:eastAsia="zh-CN"/>
        </w:rPr>
        <w:t>21</w:t>
      </w: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039</w:t>
      </w:r>
    </w:p>
    <w:p>
      <w:pPr>
        <w:autoSpaceDE w:val="0"/>
        <w:autoSpaceDN w:val="0"/>
        <w:adjustRightInd w:val="0"/>
        <w:jc w:val="left"/>
        <w:rPr>
          <w:rFonts w:hint="default" w:ascii="Times New Roman" w:hAnsi="Times New Roman" w:cs="Times New Roman" w:eastAsiaTheme="minorEastAsia"/>
          <w:color w:val="000000"/>
          <w:kern w:val="0"/>
          <w:sz w:val="24"/>
          <w:szCs w:val="24"/>
        </w:rPr>
      </w:pPr>
    </w:p>
    <w:p>
      <w:pPr>
        <w:adjustRightInd w:val="0"/>
        <w:snapToGrid w:val="0"/>
        <w:spacing w:line="360" w:lineRule="auto"/>
        <w:jc w:val="center"/>
        <w:rPr>
          <w:rFonts w:hint="default" w:ascii="Times New Roman" w:hAnsi="Times New Roman" w:eastAsia="黑体" w:cs="Times New Roman"/>
          <w:b/>
          <w:bCs/>
          <w:color w:val="FF0000"/>
          <w:kern w:val="0"/>
          <w:sz w:val="36"/>
          <w:szCs w:val="36"/>
        </w:rPr>
      </w:pPr>
      <w:r>
        <w:rPr>
          <w:rFonts w:hint="default" w:ascii="Times New Roman" w:hAnsi="Times New Roman" w:eastAsia="黑体" w:cs="Times New Roman"/>
          <w:b/>
          <w:bCs/>
          <w:color w:val="FF0000"/>
          <w:kern w:val="0"/>
          <w:sz w:val="36"/>
          <w:szCs w:val="36"/>
        </w:rPr>
        <w:t>格尔软件股份有限公司</w:t>
      </w:r>
    </w:p>
    <w:p>
      <w:pPr>
        <w:adjustRightInd w:val="0"/>
        <w:snapToGrid w:val="0"/>
        <w:spacing w:line="360" w:lineRule="auto"/>
        <w:jc w:val="center"/>
        <w:rPr>
          <w:rFonts w:hint="default" w:ascii="Times New Roman" w:hAnsi="Times New Roman" w:eastAsia="黑体" w:cs="Times New Roman"/>
          <w:b/>
          <w:bCs/>
          <w:color w:val="FF0000"/>
          <w:kern w:val="0"/>
          <w:sz w:val="36"/>
          <w:szCs w:val="36"/>
        </w:rPr>
      </w:pPr>
      <w:r>
        <w:rPr>
          <w:rFonts w:hint="default" w:ascii="Times New Roman" w:hAnsi="Times New Roman" w:eastAsia="黑体" w:cs="Times New Roman"/>
          <w:b/>
          <w:bCs/>
          <w:color w:val="FF0000"/>
          <w:kern w:val="0"/>
          <w:sz w:val="36"/>
          <w:szCs w:val="36"/>
        </w:rPr>
        <w:t>关于修订《公司章程》的公告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hint="default" w:ascii="Times New Roman" w:hAnsi="Times New Roman" w:cs="Times New Roman" w:eastAsiaTheme="minorEastAsia"/>
          <w:color w:val="000000"/>
          <w:szCs w:val="21"/>
        </w:rPr>
      </w:pPr>
      <w:r>
        <w:rPr>
          <w:rFonts w:hint="default" w:ascii="Times New Roman" w:hAnsi="Times New Roman" w:cs="Times New Roman" w:eastAsiaTheme="minorEastAsia"/>
          <w:color w:val="000000"/>
          <w:szCs w:val="21"/>
        </w:rPr>
        <w:t>本公司董事会及全体董事保证本公告内容不存在任何虚假记载、误导性陈述或者重大遗漏，并对其内容的真实性、准确性和完整性承担个别及连带责任。</w:t>
      </w:r>
    </w:p>
    <w:p>
      <w:pPr>
        <w:pStyle w:val="2"/>
        <w:adjustRightInd w:val="0"/>
        <w:snapToGrid w:val="0"/>
        <w:spacing w:before="0" w:beforeAutospacing="0" w:after="0" w:afterAutospacing="0" w:line="360" w:lineRule="auto"/>
        <w:ind w:firstLine="480" w:firstLineChars="200"/>
        <w:rPr>
          <w:rFonts w:hint="default" w:ascii="Times New Roman" w:hAnsi="Times New Roman" w:cs="Times New Roman"/>
          <w:bCs/>
          <w:snapToGrid w:val="0"/>
          <w:color w:val="000000"/>
        </w:rPr>
      </w:pPr>
    </w:p>
    <w:p>
      <w:pPr>
        <w:pStyle w:val="2"/>
        <w:adjustRightInd w:val="0"/>
        <w:snapToGrid w:val="0"/>
        <w:spacing w:before="0" w:beforeAutospacing="0" w:after="0" w:afterAutospacing="0" w:line="360" w:lineRule="auto"/>
        <w:ind w:left="0" w:leftChars="0" w:firstLine="420" w:firstLineChars="175"/>
        <w:jc w:val="both"/>
        <w:rPr>
          <w:rFonts w:hint="default" w:ascii="Times New Roman" w:hAnsi="Times New Roman" w:eastAsia="宋体" w:cs="Times New Roman"/>
          <w:bCs/>
          <w:snapToGrid w:val="0"/>
          <w:color w:val="000000"/>
        </w:rPr>
      </w:pPr>
      <w:r>
        <w:rPr>
          <w:rFonts w:hint="default" w:ascii="Times New Roman" w:hAnsi="Times New Roman" w:cs="Times New Roman" w:eastAsiaTheme="minorEastAsia"/>
          <w:bCs/>
          <w:snapToGrid w:val="0"/>
          <w:color w:val="000000"/>
          <w:highlight w:val="none"/>
        </w:rPr>
        <w:t>格尔软件股份有限公司（以下简称</w:t>
      </w:r>
      <w:r>
        <w:rPr>
          <w:rFonts w:hint="eastAsia" w:ascii="Times New Roman" w:hAnsi="Times New Roman" w:cs="Times New Roman" w:eastAsiaTheme="minorEastAsia"/>
          <w:bCs/>
          <w:snapToGrid w:val="0"/>
          <w:color w:val="000000"/>
          <w:highlight w:val="none"/>
          <w:lang w:eastAsia="zh-CN"/>
        </w:rPr>
        <w:t>“</w:t>
      </w:r>
      <w:r>
        <w:rPr>
          <w:rFonts w:hint="default" w:ascii="Times New Roman" w:hAnsi="Times New Roman" w:cs="Times New Roman" w:eastAsiaTheme="minorEastAsia"/>
          <w:bCs/>
          <w:snapToGrid w:val="0"/>
          <w:color w:val="000000"/>
          <w:highlight w:val="none"/>
        </w:rPr>
        <w:t>公司</w:t>
      </w:r>
      <w:r>
        <w:rPr>
          <w:rFonts w:hint="eastAsia" w:ascii="Times New Roman" w:hAnsi="Times New Roman" w:cs="Times New Roman" w:eastAsiaTheme="minorEastAsia"/>
          <w:bCs/>
          <w:snapToGrid w:val="0"/>
          <w:color w:val="000000"/>
          <w:highlight w:val="none"/>
          <w:lang w:eastAsia="zh-CN"/>
        </w:rPr>
        <w:t>”</w:t>
      </w:r>
      <w:r>
        <w:rPr>
          <w:rFonts w:hint="default" w:ascii="Times New Roman" w:hAnsi="Times New Roman" w:cs="Times New Roman" w:eastAsiaTheme="minorEastAsia"/>
          <w:bCs/>
          <w:snapToGrid w:val="0"/>
          <w:color w:val="000000"/>
          <w:highlight w:val="none"/>
        </w:rPr>
        <w:t>）第</w:t>
      </w:r>
      <w:r>
        <w:rPr>
          <w:rFonts w:hint="default" w:ascii="Times New Roman" w:hAnsi="Times New Roman" w:cs="Times New Roman" w:eastAsiaTheme="minorEastAsia"/>
          <w:bCs/>
          <w:snapToGrid w:val="0"/>
          <w:color w:val="000000"/>
          <w:highlight w:val="none"/>
          <w:lang w:val="en-US" w:eastAsia="zh-CN"/>
        </w:rPr>
        <w:t>七</w:t>
      </w:r>
      <w:r>
        <w:rPr>
          <w:rFonts w:hint="default" w:ascii="Times New Roman" w:hAnsi="Times New Roman" w:cs="Times New Roman" w:eastAsiaTheme="minorEastAsia"/>
          <w:bCs/>
          <w:snapToGrid w:val="0"/>
          <w:color w:val="000000"/>
          <w:highlight w:val="none"/>
        </w:rPr>
        <w:t>届董事会第</w:t>
      </w:r>
      <w:r>
        <w:rPr>
          <w:rFonts w:hint="default" w:ascii="Times New Roman" w:hAnsi="Times New Roman" w:cs="Times New Roman" w:eastAsiaTheme="minorEastAsia"/>
          <w:bCs/>
          <w:snapToGrid w:val="0"/>
          <w:color w:val="000000"/>
          <w:highlight w:val="none"/>
          <w:lang w:eastAsia="zh-CN"/>
        </w:rPr>
        <w:t>十七次</w:t>
      </w:r>
      <w:r>
        <w:rPr>
          <w:rFonts w:hint="default" w:ascii="Times New Roman" w:hAnsi="Times New Roman" w:cs="Times New Roman" w:eastAsiaTheme="minorEastAsia"/>
          <w:bCs/>
          <w:snapToGrid w:val="0"/>
          <w:color w:val="000000"/>
          <w:highlight w:val="none"/>
        </w:rPr>
        <w:t>会议</w:t>
      </w:r>
      <w:r>
        <w:rPr>
          <w:rFonts w:hint="default" w:ascii="Times New Roman" w:hAnsi="Times New Roman" w:cs="Times New Roman" w:eastAsiaTheme="minorEastAsia"/>
          <w:bCs/>
          <w:snapToGrid w:val="0"/>
          <w:color w:val="000000"/>
          <w:highlight w:val="none"/>
          <w:lang w:eastAsia="zh-CN"/>
        </w:rPr>
        <w:t>，第七届监事会第十三次会议</w:t>
      </w:r>
      <w:r>
        <w:rPr>
          <w:rFonts w:hint="default" w:ascii="Times New Roman" w:hAnsi="Times New Roman" w:cs="Times New Roman" w:eastAsiaTheme="minorEastAsia"/>
          <w:bCs/>
          <w:snapToGrid w:val="0"/>
          <w:color w:val="000000"/>
          <w:highlight w:val="none"/>
        </w:rPr>
        <w:t>审</w:t>
      </w:r>
      <w:r>
        <w:rPr>
          <w:rFonts w:hint="default" w:ascii="Times New Roman" w:hAnsi="Times New Roman" w:cs="Times New Roman" w:eastAsiaTheme="minorEastAsia"/>
          <w:bCs/>
          <w:snapToGrid w:val="0"/>
          <w:color w:val="000000"/>
        </w:rPr>
        <w:t>议通过了</w:t>
      </w:r>
      <w:r>
        <w:rPr>
          <w:rFonts w:hint="default" w:ascii="Times New Roman" w:hAnsi="Times New Roman" w:cs="Times New Roman" w:eastAsiaTheme="minorEastAsia"/>
        </w:rPr>
        <w:t>《关于</w:t>
      </w:r>
      <w:r>
        <w:rPr>
          <w:rFonts w:hint="default" w:ascii="Times New Roman" w:hAnsi="Times New Roman" w:cs="Times New Roman" w:eastAsiaTheme="minorEastAsia"/>
          <w:lang w:val="en-US" w:eastAsia="zh-CN"/>
        </w:rPr>
        <w:t>修订&lt;公司章程&gt;</w:t>
      </w:r>
      <w:r>
        <w:rPr>
          <w:rFonts w:hint="default" w:ascii="Times New Roman" w:hAnsi="Times New Roman" w:cs="Times New Roman" w:eastAsiaTheme="minorEastAsia"/>
        </w:rPr>
        <w:t>的议案》</w:t>
      </w:r>
      <w:r>
        <w:rPr>
          <w:rFonts w:hint="default" w:ascii="Times New Roman" w:hAnsi="Times New Roman" w:cs="Times New Roman" w:eastAsiaTheme="minorEastAsia"/>
          <w:lang w:eastAsia="zh-CN"/>
        </w:rPr>
        <w:t>。</w:t>
      </w:r>
      <w:r>
        <w:rPr>
          <w:rFonts w:hint="default" w:ascii="Times New Roman" w:hAnsi="Times New Roman" w:eastAsia="宋体" w:cs="Times New Roman"/>
          <w:sz w:val="24"/>
          <w:szCs w:val="24"/>
        </w:rPr>
        <w:t>本次</w:t>
      </w:r>
      <w:r>
        <w:rPr>
          <w:rFonts w:hint="default" w:ascii="Times New Roman" w:hAnsi="Times New Roman" w:cs="Times New Roman"/>
          <w:sz w:val="24"/>
          <w:szCs w:val="24"/>
          <w:lang w:val="en-US" w:eastAsia="zh-CN"/>
        </w:rPr>
        <w:t>修订《公司章程》事项尚</w:t>
      </w:r>
      <w:r>
        <w:rPr>
          <w:rFonts w:hint="default" w:ascii="Times New Roman" w:hAnsi="Times New Roman" w:eastAsia="宋体" w:cs="Times New Roman"/>
          <w:sz w:val="24"/>
          <w:szCs w:val="24"/>
        </w:rPr>
        <w:t>需提交股东大会审议，</w:t>
      </w:r>
      <w:r>
        <w:rPr>
          <w:rFonts w:hint="default" w:ascii="Times New Roman" w:hAnsi="Times New Roman" w:cs="Times New Roman"/>
          <w:highlight w:val="none"/>
          <w:lang w:eastAsia="zh-CN"/>
        </w:rPr>
        <w:t>公司董事会</w:t>
      </w:r>
      <w:r>
        <w:rPr>
          <w:rFonts w:hint="default" w:ascii="Times New Roman" w:hAnsi="Times New Roman" w:cs="Times New Roman"/>
          <w:highlight w:val="none"/>
        </w:rPr>
        <w:t>提请股东大会授权公司董事会及董事会授权人士向工商行政管理部门申请办理</w:t>
      </w:r>
      <w:r>
        <w:rPr>
          <w:rFonts w:hint="default" w:ascii="Times New Roman" w:hAnsi="Times New Roman" w:cs="Times New Roman"/>
          <w:highlight w:val="none"/>
          <w:lang w:eastAsia="zh-CN"/>
        </w:rPr>
        <w:t>相关</w:t>
      </w:r>
      <w:r>
        <w:rPr>
          <w:rFonts w:hint="default" w:ascii="Times New Roman" w:hAnsi="Times New Roman" w:cs="Times New Roman"/>
          <w:highlight w:val="none"/>
        </w:rPr>
        <w:t>手续</w:t>
      </w:r>
      <w:r>
        <w:rPr>
          <w:rFonts w:hint="default" w:ascii="Times New Roman" w:hAnsi="Times New Roman" w:cs="Times New Roman" w:eastAsiaTheme="minorEastAsia"/>
          <w:bCs/>
          <w:snapToGrid w:val="0"/>
          <w:color w:val="000000"/>
        </w:rPr>
        <w:t>。详情如下</w:t>
      </w:r>
      <w:r>
        <w:rPr>
          <w:rFonts w:hint="default" w:ascii="Times New Roman" w:hAnsi="Times New Roman" w:cs="Times New Roman" w:eastAsiaTheme="minorEastAsia"/>
          <w:bCs/>
          <w:snapToGrid w:val="0"/>
          <w:color w:val="000000"/>
          <w:lang w:eastAsia="zh-CN"/>
        </w:rPr>
        <w:t>：</w:t>
      </w:r>
    </w:p>
    <w:p>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eastAsia="宋体" w:cs="Times New Roman"/>
          <w:sz w:val="24"/>
          <w:szCs w:val="24"/>
        </w:rPr>
      </w:pPr>
      <w:r>
        <w:rPr>
          <w:rFonts w:hint="default" w:ascii="Times New Roman" w:hAnsi="Times New Roman" w:cs="Times New Roman" w:eastAsiaTheme="minorEastAsia"/>
          <w:sz w:val="24"/>
          <w:szCs w:val="24"/>
          <w:lang w:val="en-US" w:eastAsia="zh-CN"/>
        </w:rPr>
        <w:t>根据《公司法》、《证券法》、《上海证券交易所股票上市规则》等法律、法规及规范性文件的相关规定，结合公司的实际情况，公司拟修订《公司章程》，具体情况如下：</w:t>
      </w:r>
    </w:p>
    <w:p>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rPr>
        <w:t>因公司2020年年度利润分配的实施</w:t>
      </w:r>
      <w:r>
        <w:rPr>
          <w:rFonts w:hint="eastAsia" w:cs="Times New Roman"/>
          <w:sz w:val="24"/>
          <w:szCs w:val="24"/>
          <w:lang w:eastAsia="zh-CN"/>
        </w:rPr>
        <w:t>，</w:t>
      </w:r>
      <w:r>
        <w:rPr>
          <w:rFonts w:hint="default" w:ascii="Times New Roman" w:hAnsi="Times New Roman" w:eastAsia="宋体" w:cs="Times New Roman"/>
          <w:sz w:val="24"/>
          <w:szCs w:val="24"/>
        </w:rPr>
        <w:t>公司注册资本将由</w:t>
      </w:r>
      <w:r>
        <w:rPr>
          <w:rFonts w:hint="default" w:ascii="Times New Roman" w:hAnsi="Times New Roman" w:eastAsia="宋体" w:cs="Times New Roman"/>
          <w:sz w:val="24"/>
          <w:szCs w:val="24"/>
          <w:lang w:val="en-US" w:eastAsia="zh-CN"/>
        </w:rPr>
        <w:t>193,101,694</w:t>
      </w:r>
      <w:r>
        <w:rPr>
          <w:rFonts w:hint="default" w:ascii="Times New Roman" w:hAnsi="Times New Roman" w:eastAsia="宋体" w:cs="Times New Roman"/>
          <w:sz w:val="24"/>
          <w:szCs w:val="24"/>
        </w:rPr>
        <w:t>元变更为</w:t>
      </w:r>
      <w:r>
        <w:rPr>
          <w:rFonts w:hint="default" w:ascii="Times New Roman" w:hAnsi="Times New Roman" w:eastAsia="宋体" w:cs="Times New Roman"/>
          <w:sz w:val="24"/>
          <w:szCs w:val="24"/>
          <w:lang w:val="en-US" w:eastAsia="zh-CN"/>
        </w:rPr>
        <w:t>231,722,033</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公司拟对注册资本变更，由原来的</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310</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1694</w:t>
      </w:r>
      <w:r>
        <w:rPr>
          <w:rFonts w:hint="default" w:ascii="Times New Roman" w:hAnsi="Times New Roman" w:eastAsia="宋体" w:cs="Times New Roman"/>
          <w:sz w:val="24"/>
          <w:szCs w:val="24"/>
        </w:rPr>
        <w:t>万元</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变更为</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lang w:val="en-US" w:eastAsia="zh-CN"/>
        </w:rPr>
        <w:t>23,172.2033</w:t>
      </w:r>
      <w:r>
        <w:rPr>
          <w:rFonts w:hint="default" w:ascii="Times New Roman" w:hAnsi="Times New Roman" w:eastAsia="宋体" w:cs="Times New Roman"/>
          <w:sz w:val="24"/>
          <w:szCs w:val="24"/>
        </w:rPr>
        <w:t>万元</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，因此公司需要对《公司章程》进行相应修订，原</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第六条：公司的注册资本为人民币1</w:t>
      </w:r>
      <w:r>
        <w:rPr>
          <w:rFonts w:hint="default"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310</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1694</w:t>
      </w:r>
      <w:r>
        <w:rPr>
          <w:rFonts w:hint="default" w:ascii="Times New Roman" w:hAnsi="Times New Roman" w:eastAsia="宋体" w:cs="Times New Roman"/>
          <w:sz w:val="24"/>
          <w:szCs w:val="24"/>
        </w:rPr>
        <w:t>万元。</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修改为</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第六条：</w:t>
      </w:r>
      <w:bookmarkStart w:id="0" w:name="_GoBack"/>
      <w:bookmarkEnd w:id="0"/>
      <w:r>
        <w:rPr>
          <w:rFonts w:hint="default" w:ascii="Times New Roman" w:hAnsi="Times New Roman" w:eastAsia="宋体" w:cs="Times New Roman"/>
          <w:sz w:val="24"/>
          <w:szCs w:val="24"/>
        </w:rPr>
        <w:t>公司的注册资本为人民币</w:t>
      </w:r>
      <w:r>
        <w:rPr>
          <w:rFonts w:hint="default" w:ascii="Times New Roman" w:hAnsi="Times New Roman" w:eastAsia="宋体" w:cs="Times New Roman"/>
          <w:sz w:val="24"/>
          <w:szCs w:val="24"/>
          <w:lang w:val="en-US" w:eastAsia="zh-CN"/>
        </w:rPr>
        <w:t>23,172.2033</w:t>
      </w:r>
      <w:r>
        <w:rPr>
          <w:rFonts w:hint="default" w:ascii="Times New Roman" w:hAnsi="Times New Roman" w:eastAsia="宋体" w:cs="Times New Roman"/>
          <w:sz w:val="24"/>
          <w:szCs w:val="24"/>
        </w:rPr>
        <w:t>万元。</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；原</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第十五条：公司的股份总数为1</w:t>
      </w:r>
      <w:r>
        <w:rPr>
          <w:rFonts w:hint="default"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310</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1694</w:t>
      </w:r>
      <w:r>
        <w:rPr>
          <w:rFonts w:hint="default" w:ascii="Times New Roman" w:hAnsi="Times New Roman" w:eastAsia="宋体" w:cs="Times New Roman"/>
          <w:sz w:val="24"/>
          <w:szCs w:val="24"/>
        </w:rPr>
        <w:t>万股，全部为普通股，以人民币标明面值，每股面值为人民币一元。</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修改为</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第十五条：公司的股份总数为</w:t>
      </w:r>
      <w:r>
        <w:rPr>
          <w:rFonts w:hint="default" w:ascii="Times New Roman" w:hAnsi="Times New Roman" w:eastAsia="宋体" w:cs="Times New Roman"/>
          <w:sz w:val="24"/>
          <w:szCs w:val="24"/>
          <w:lang w:val="en-US" w:eastAsia="zh-CN"/>
        </w:rPr>
        <w:t>23,172.2033</w:t>
      </w:r>
      <w:r>
        <w:rPr>
          <w:rFonts w:hint="default" w:ascii="Times New Roman" w:hAnsi="Times New Roman" w:eastAsia="宋体" w:cs="Times New Roman"/>
          <w:sz w:val="24"/>
          <w:szCs w:val="24"/>
        </w:rPr>
        <w:t>万股，全部为普通股，以人</w:t>
      </w:r>
      <w:r>
        <w:rPr>
          <w:rFonts w:hint="default" w:ascii="Times New Roman" w:hAnsi="Times New Roman" w:eastAsia="宋体" w:cs="Times New Roman"/>
          <w:sz w:val="24"/>
          <w:szCs w:val="24"/>
          <w:lang w:eastAsia="zh-CN"/>
        </w:rPr>
        <w:t>民币标明面值，每股面值为人民币</w:t>
      </w:r>
      <w:r>
        <w:rPr>
          <w:rFonts w:hint="default" w:ascii="Times New Roman" w:hAnsi="Times New Roman" w:eastAsia="宋体" w:cs="Times New Roman"/>
          <w:sz w:val="24"/>
          <w:szCs w:val="24"/>
          <w:highlight w:val="none"/>
          <w:lang w:eastAsia="zh-CN"/>
        </w:rPr>
        <w:t>一元。</w:t>
      </w:r>
      <w:r>
        <w:rPr>
          <w:rFonts w:hint="eastAsia" w:ascii="Times New Roman" w:hAnsi="Times New Roman" w:cs="Times New Roman"/>
          <w:sz w:val="24"/>
          <w:szCs w:val="24"/>
          <w:lang w:eastAsia="zh-CN"/>
        </w:rPr>
        <w:t>”</w:t>
      </w:r>
    </w:p>
    <w:p>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eastAsia="宋体" w:cs="Times New Roman"/>
          <w:bCs/>
          <w:snapToGrid w:val="0"/>
          <w:color w:val="000000"/>
          <w:highlight w:val="none"/>
        </w:rPr>
      </w:pPr>
      <w:r>
        <w:rPr>
          <w:rFonts w:hint="default" w:ascii="Times New Roman" w:hAnsi="Times New Roman" w:eastAsia="宋体" w:cs="Times New Roman"/>
          <w:sz w:val="24"/>
          <w:szCs w:val="24"/>
          <w:highlight w:val="none"/>
          <w:lang w:eastAsia="zh-CN"/>
        </w:rPr>
        <w:t>根据公司董事会运行情况并结合新形势下的公司经营发展需要，公司董事会建议对现行《公司章程》中关于</w:t>
      </w:r>
      <w:r>
        <w:rPr>
          <w:rFonts w:hint="default" w:ascii="Times New Roman" w:hAnsi="Times New Roman" w:eastAsia="宋体" w:cs="Times New Roman"/>
          <w:sz w:val="24"/>
          <w:szCs w:val="24"/>
          <w:highlight w:val="none"/>
          <w:lang w:val="en-US" w:eastAsia="zh-CN"/>
        </w:rPr>
        <w:t>召开董事会临时会议的条款</w:t>
      </w:r>
      <w:r>
        <w:rPr>
          <w:rFonts w:hint="default" w:ascii="Times New Roman" w:hAnsi="Times New Roman" w:eastAsia="宋体" w:cs="Times New Roman"/>
          <w:sz w:val="24"/>
          <w:szCs w:val="24"/>
          <w:highlight w:val="none"/>
          <w:lang w:eastAsia="zh-CN"/>
        </w:rPr>
        <w:t>进行修订，原</w:t>
      </w:r>
      <w:r>
        <w:rPr>
          <w:rFonts w:hint="eastAsia" w:ascii="Times New Roman" w:hAnsi="Times New Roman"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第一百</w:t>
      </w:r>
      <w:r>
        <w:rPr>
          <w:rFonts w:hint="default" w:ascii="Times New Roman" w:hAnsi="Times New Roman" w:cs="Times New Roman"/>
          <w:sz w:val="24"/>
          <w:szCs w:val="24"/>
          <w:highlight w:val="none"/>
          <w:lang w:val="en-US" w:eastAsia="zh-CN"/>
        </w:rPr>
        <w:t>一</w:t>
      </w:r>
      <w:r>
        <w:rPr>
          <w:rFonts w:hint="default" w:ascii="Times New Roman" w:hAnsi="Times New Roman" w:eastAsia="宋体" w:cs="Times New Roman"/>
          <w:sz w:val="24"/>
          <w:szCs w:val="24"/>
          <w:highlight w:val="none"/>
          <w:lang w:val="en-US" w:eastAsia="zh-CN"/>
        </w:rPr>
        <w:t>十七条</w:t>
      </w:r>
      <w:r>
        <w:rPr>
          <w:rFonts w:hint="default" w:ascii="Times New Roman" w:hAnsi="Times New Roman" w:eastAsia="宋体" w:cs="Times New Roman"/>
          <w:sz w:val="24"/>
          <w:szCs w:val="24"/>
          <w:highlight w:val="none"/>
          <w:lang w:eastAsia="zh-CN"/>
        </w:rPr>
        <w:t>：董事会召开临时董事会会议的通知方式为</w:t>
      </w:r>
      <w:r>
        <w:rPr>
          <w:rFonts w:hint="default" w:ascii="Times New Roman" w:hAnsi="Times New Roman" w:eastAsia="宋体" w:cs="Times New Roman"/>
          <w:sz w:val="24"/>
          <w:szCs w:val="24"/>
          <w:lang w:eastAsia="zh-CN"/>
        </w:rPr>
        <w:t>：传真、电话、信函、电子邮</w:t>
      </w:r>
      <w:r>
        <w:rPr>
          <w:rFonts w:hint="default" w:ascii="Times New Roman" w:hAnsi="Times New Roman" w:eastAsia="宋体" w:cs="Times New Roman"/>
          <w:sz w:val="24"/>
          <w:szCs w:val="24"/>
        </w:rPr>
        <w:t>件等；通知时限为提前10天。</w:t>
      </w:r>
      <w:r>
        <w:rPr>
          <w:rFonts w:hint="eastAsia" w:ascii="Times New Roman" w:hAnsi="Times New Roman" w:cs="Times New Roman"/>
          <w:sz w:val="24"/>
          <w:szCs w:val="24"/>
          <w:highlight w:val="none"/>
          <w:lang w:eastAsia="zh-CN"/>
        </w:rPr>
        <w:t>”</w:t>
      </w:r>
      <w:r>
        <w:rPr>
          <w:rFonts w:hint="default" w:ascii="Times New Roman" w:hAnsi="Times New Roman" w:eastAsia="宋体" w:cs="Times New Roman"/>
          <w:sz w:val="24"/>
          <w:szCs w:val="24"/>
        </w:rPr>
        <w:t>修改为</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lang w:val="en-US" w:eastAsia="zh-CN"/>
        </w:rPr>
        <w:t>一百</w:t>
      </w:r>
      <w:r>
        <w:rPr>
          <w:rFonts w:hint="default" w:ascii="Times New Roman" w:hAnsi="Times New Roman" w:cs="Times New Roman"/>
          <w:sz w:val="24"/>
          <w:szCs w:val="24"/>
          <w:lang w:val="en-US" w:eastAsia="zh-CN"/>
        </w:rPr>
        <w:t>一</w:t>
      </w:r>
      <w:r>
        <w:rPr>
          <w:rFonts w:hint="default" w:ascii="Times New Roman" w:hAnsi="Times New Roman" w:eastAsia="宋体" w:cs="Times New Roman"/>
          <w:sz w:val="24"/>
          <w:szCs w:val="24"/>
          <w:lang w:val="en-US" w:eastAsia="zh-CN"/>
        </w:rPr>
        <w:t>十七条</w:t>
      </w:r>
      <w:r>
        <w:rPr>
          <w:rFonts w:hint="default" w:ascii="Times New Roman" w:hAnsi="Times New Roman" w:eastAsia="宋体" w:cs="Times New Roman"/>
          <w:sz w:val="24"/>
          <w:szCs w:val="24"/>
        </w:rPr>
        <w:t>：董事会召开临时董事会会议的通知方式为：传真、电话、信函、电子邮件等；通知时</w:t>
      </w:r>
      <w:r>
        <w:rPr>
          <w:rFonts w:hint="default" w:ascii="Times New Roman" w:hAnsi="Times New Roman" w:cs="Times New Roman"/>
          <w:sz w:val="24"/>
          <w:szCs w:val="24"/>
        </w:rPr>
        <w:t>限为提前10天。情况紧急，需要尽快召开董事会临时会议的，可</w:t>
      </w:r>
      <w:r>
        <w:rPr>
          <w:rFonts w:hint="default" w:ascii="Times New Roman" w:hAnsi="Times New Roman" w:cs="Times New Roman"/>
          <w:sz w:val="24"/>
          <w:szCs w:val="24"/>
          <w:highlight w:val="none"/>
        </w:rPr>
        <w:t>以随时通过电话</w:t>
      </w:r>
      <w:r>
        <w:rPr>
          <w:rFonts w:hint="default" w:ascii="Times New Roman" w:hAnsi="Times New Roman" w:cs="Times New Roman"/>
          <w:sz w:val="24"/>
          <w:szCs w:val="24"/>
          <w:highlight w:val="none"/>
          <w:lang w:eastAsia="zh-CN"/>
        </w:rPr>
        <w:t>、电子邮件</w:t>
      </w:r>
      <w:r>
        <w:rPr>
          <w:rFonts w:hint="default" w:ascii="Times New Roman" w:hAnsi="Times New Roman" w:cs="Times New Roman"/>
          <w:sz w:val="24"/>
          <w:szCs w:val="24"/>
          <w:highlight w:val="none"/>
        </w:rPr>
        <w:t>或其他方式发出会议通知，但召集人应当在会议上作出说明。</w:t>
      </w:r>
      <w:r>
        <w:rPr>
          <w:rFonts w:hint="eastAsia" w:ascii="Times New Roman" w:hAnsi="Times New Roman" w:cs="Times New Roman"/>
          <w:sz w:val="24"/>
          <w:szCs w:val="24"/>
          <w:lang w:eastAsia="zh-CN"/>
        </w:rPr>
        <w:t>”</w:t>
      </w:r>
    </w:p>
    <w:p>
      <w:pPr>
        <w:pStyle w:val="2"/>
        <w:adjustRightInd w:val="0"/>
        <w:snapToGrid w:val="0"/>
        <w:spacing w:before="0" w:beforeAutospacing="0" w:after="0" w:afterAutospacing="0" w:line="360" w:lineRule="auto"/>
        <w:ind w:left="0" w:leftChars="0" w:firstLine="420" w:firstLineChars="175"/>
        <w:jc w:val="both"/>
        <w:rPr>
          <w:rFonts w:hint="default" w:ascii="Times New Roman" w:hAnsi="Times New Roman" w:eastAsia="宋体" w:cs="Times New Roman"/>
          <w:bCs/>
          <w:snapToGrid w:val="0"/>
          <w:color w:val="000000"/>
        </w:rPr>
      </w:pPr>
      <w:r>
        <w:rPr>
          <w:rFonts w:hint="default" w:ascii="Times New Roman" w:hAnsi="Times New Roman" w:eastAsia="宋体" w:cs="Times New Roman"/>
          <w:bCs/>
          <w:snapToGrid w:val="0"/>
          <w:color w:val="000000"/>
        </w:rPr>
        <w:t>除上述修订内容和条款外，《公司章程》其他条款保持不变。变更后的内容最终以工商部门核准为准。</w:t>
      </w:r>
    </w:p>
    <w:p>
      <w:pPr>
        <w:pStyle w:val="2"/>
        <w:adjustRightInd w:val="0"/>
        <w:snapToGrid w:val="0"/>
        <w:spacing w:before="0" w:beforeAutospacing="0" w:after="0" w:afterAutospacing="0" w:line="360" w:lineRule="auto"/>
        <w:ind w:left="0" w:leftChars="0" w:firstLine="420" w:firstLineChars="175"/>
        <w:jc w:val="both"/>
        <w:rPr>
          <w:rFonts w:hint="default" w:ascii="Times New Roman" w:hAnsi="Times New Roman" w:eastAsia="宋体" w:cs="Times New Roman"/>
          <w:bCs/>
          <w:snapToGrid w:val="0"/>
          <w:color w:val="000000"/>
        </w:rPr>
      </w:pPr>
      <w:r>
        <w:rPr>
          <w:rFonts w:hint="default" w:ascii="Times New Roman" w:hAnsi="Times New Roman" w:eastAsia="宋体" w:cs="Times New Roman"/>
          <w:bCs/>
          <w:snapToGrid w:val="0"/>
          <w:color w:val="000000"/>
        </w:rPr>
        <w:t>本次章程修订尚需提交公司股东大会审议，因上述变更事项需办理工商变更登记，公司董事会已提请股东大会授权董事会全权办理相关工商变更登记事宜。</w:t>
      </w:r>
    </w:p>
    <w:p>
      <w:pPr>
        <w:pStyle w:val="2"/>
        <w:adjustRightInd w:val="0"/>
        <w:snapToGrid w:val="0"/>
        <w:spacing w:before="0" w:beforeAutospacing="0" w:after="0" w:afterAutospacing="0" w:line="360" w:lineRule="auto"/>
        <w:ind w:left="0" w:leftChars="0" w:firstLine="420" w:firstLineChars="175"/>
        <w:jc w:val="both"/>
        <w:rPr>
          <w:rFonts w:hint="default" w:ascii="Times New Roman" w:hAnsi="Times New Roman" w:eastAsia="宋体" w:cs="Times New Roman"/>
          <w:bCs/>
          <w:snapToGrid w:val="0"/>
          <w:color w:val="000000"/>
        </w:rPr>
      </w:pPr>
      <w:r>
        <w:rPr>
          <w:rFonts w:hint="default" w:ascii="Times New Roman" w:hAnsi="Times New Roman" w:eastAsia="宋体" w:cs="Times New Roman"/>
          <w:bCs/>
          <w:snapToGrid w:val="0"/>
          <w:color w:val="000000"/>
        </w:rPr>
        <w:t>特此公告。</w:t>
      </w:r>
    </w:p>
    <w:p>
      <w:pPr>
        <w:pStyle w:val="2"/>
        <w:adjustRightInd w:val="0"/>
        <w:snapToGrid w:val="0"/>
        <w:spacing w:before="0" w:beforeAutospacing="0" w:after="0" w:afterAutospacing="0" w:line="360" w:lineRule="auto"/>
        <w:ind w:left="0" w:leftChars="0" w:firstLine="420" w:firstLineChars="175"/>
        <w:rPr>
          <w:rFonts w:hint="default" w:ascii="Times New Roman" w:hAnsi="Times New Roman" w:eastAsia="宋体" w:cs="Times New Roman"/>
          <w:bCs/>
          <w:snapToGrid w:val="0"/>
          <w:color w:val="000000"/>
        </w:rPr>
      </w:pPr>
    </w:p>
    <w:p>
      <w:pPr>
        <w:autoSpaceDE w:val="0"/>
        <w:autoSpaceDN w:val="0"/>
        <w:adjustRightInd w:val="0"/>
        <w:snapToGrid w:val="0"/>
        <w:spacing w:line="360" w:lineRule="auto"/>
        <w:ind w:left="0" w:leftChars="0" w:firstLine="420" w:firstLineChars="175"/>
        <w:jc w:val="right"/>
        <w:rPr>
          <w:rFonts w:hint="default" w:ascii="Times New Roman" w:hAnsi="Times New Roman" w:eastAsia="宋体" w:cs="Times New Roman"/>
          <w:color w:val="000000"/>
          <w:kern w:val="0"/>
          <w:sz w:val="24"/>
          <w:szCs w:val="24"/>
          <w:lang w:eastAsia="zh-CN"/>
        </w:rPr>
      </w:pPr>
      <w:r>
        <w:rPr>
          <w:rFonts w:hint="default" w:ascii="Times New Roman" w:hAnsi="Times New Roman" w:eastAsia="宋体" w:cs="Times New Roman"/>
          <w:color w:val="000000"/>
          <w:kern w:val="0"/>
          <w:sz w:val="24"/>
          <w:szCs w:val="24"/>
        </w:rPr>
        <w:t>格尔软件股份有限公司</w:t>
      </w:r>
      <w:r>
        <w:rPr>
          <w:rFonts w:hint="default" w:ascii="Times New Roman" w:hAnsi="Times New Roman" w:cs="Times New Roman"/>
          <w:color w:val="000000"/>
          <w:kern w:val="0"/>
          <w:sz w:val="24"/>
          <w:szCs w:val="24"/>
          <w:lang w:eastAsia="zh-CN"/>
        </w:rPr>
        <w:t>董事会</w:t>
      </w:r>
    </w:p>
    <w:p>
      <w:pPr>
        <w:pStyle w:val="2"/>
        <w:adjustRightInd w:val="0"/>
        <w:snapToGrid w:val="0"/>
        <w:spacing w:before="0" w:beforeAutospacing="0" w:after="0" w:afterAutospacing="0" w:line="360" w:lineRule="auto"/>
        <w:ind w:left="0" w:leftChars="0" w:firstLine="420" w:firstLineChars="175"/>
        <w:jc w:val="right"/>
        <w:rPr>
          <w:rFonts w:hint="default" w:ascii="Times New Roman" w:hAnsi="Times New Roman" w:eastAsia="宋体" w:cs="Times New Roman"/>
          <w:bCs/>
          <w:snapToGrid w:val="0"/>
          <w:color w:val="000000"/>
        </w:rPr>
      </w:pPr>
      <w:r>
        <w:rPr>
          <w:rFonts w:hint="default" w:ascii="Times New Roman" w:hAnsi="Times New Roman" w:eastAsia="宋体" w:cs="Times New Roman"/>
          <w:color w:val="000000"/>
        </w:rPr>
        <w:t>20</w:t>
      </w:r>
      <w:r>
        <w:rPr>
          <w:rFonts w:hint="default" w:ascii="Times New Roman" w:hAnsi="Times New Roman" w:eastAsia="宋体" w:cs="Times New Roman"/>
          <w:color w:val="000000"/>
          <w:lang w:val="en-US" w:eastAsia="zh-CN"/>
        </w:rPr>
        <w:t>2</w:t>
      </w:r>
      <w:r>
        <w:rPr>
          <w:rFonts w:hint="default" w:ascii="Times New Roman" w:hAnsi="Times New Roman" w:cs="Times New Roman"/>
          <w:color w:val="000000"/>
          <w:lang w:val="en-US" w:eastAsia="zh-CN"/>
        </w:rPr>
        <w:t>1</w:t>
      </w:r>
      <w:r>
        <w:rPr>
          <w:rFonts w:hint="default" w:ascii="Times New Roman" w:hAnsi="Times New Roman" w:eastAsia="宋体" w:cs="Times New Roman"/>
          <w:color w:val="000000"/>
        </w:rPr>
        <w:t>年</w:t>
      </w:r>
      <w:r>
        <w:rPr>
          <w:rFonts w:hint="default" w:ascii="Times New Roman" w:hAnsi="Times New Roman" w:cs="Times New Roman"/>
          <w:color w:val="000000"/>
          <w:lang w:val="en-US" w:eastAsia="zh-CN"/>
        </w:rPr>
        <w:t>7</w:t>
      </w:r>
      <w:r>
        <w:rPr>
          <w:rFonts w:hint="default" w:ascii="Times New Roman" w:hAnsi="Times New Roman" w:eastAsia="宋体" w:cs="Times New Roman"/>
          <w:color w:val="000000"/>
        </w:rPr>
        <w:t>月</w:t>
      </w:r>
      <w:r>
        <w:rPr>
          <w:rFonts w:hint="default" w:ascii="Times New Roman" w:hAnsi="Times New Roman" w:cs="Times New Roman"/>
          <w:color w:val="000000"/>
          <w:highlight w:val="none"/>
          <w:lang w:val="en-US" w:eastAsia="zh-CN"/>
        </w:rPr>
        <w:t>10</w:t>
      </w:r>
      <w:r>
        <w:rPr>
          <w:rFonts w:hint="default" w:ascii="Times New Roman" w:hAnsi="Times New Roman" w:eastAsia="宋体" w:cs="Times New Roman"/>
          <w:color w:val="000000"/>
        </w:rPr>
        <w:t>日</w:t>
      </w:r>
    </w:p>
    <w:p>
      <w:pPr>
        <w:pStyle w:val="2"/>
        <w:adjustRightInd w:val="0"/>
        <w:snapToGrid w:val="0"/>
        <w:spacing w:before="0" w:beforeAutospacing="0" w:after="0" w:afterAutospacing="0" w:line="360" w:lineRule="auto"/>
        <w:ind w:left="0" w:leftChars="0" w:firstLine="422" w:firstLineChars="175"/>
        <w:rPr>
          <w:rFonts w:hint="default" w:ascii="Times New Roman" w:hAnsi="Times New Roman" w:cs="Times New Roman" w:eastAsiaTheme="minorEastAsia"/>
          <w:b/>
          <w:bCs w:val="0"/>
          <w:sz w:val="24"/>
          <w:szCs w:val="24"/>
          <w:highlight w:val="none"/>
          <w:lang w:val="en-US" w:eastAsia="zh-CN"/>
        </w:rPr>
      </w:pPr>
      <w:r>
        <w:rPr>
          <w:rFonts w:hint="default" w:ascii="Times New Roman" w:hAnsi="Times New Roman" w:cs="Times New Roman"/>
          <w:b/>
          <w:bCs w:val="0"/>
          <w:snapToGrid w:val="0"/>
          <w:color w:val="000000"/>
          <w:lang w:val="en-US" w:eastAsia="zh-CN"/>
        </w:rPr>
        <w:t>附件：</w:t>
      </w:r>
      <w:r>
        <w:rPr>
          <w:rFonts w:hint="default" w:ascii="Times New Roman" w:hAnsi="Times New Roman" w:cs="Times New Roman" w:eastAsiaTheme="minorEastAsia"/>
          <w:b/>
          <w:bCs w:val="0"/>
          <w:sz w:val="24"/>
          <w:szCs w:val="24"/>
          <w:highlight w:val="none"/>
          <w:lang w:val="en-US" w:eastAsia="zh-CN"/>
        </w:rPr>
        <w:t>《公司章程》修订对照表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3"/>
        <w:gridCol w:w="3499"/>
        <w:gridCol w:w="3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523"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b/>
                <w:bCs w:val="0"/>
                <w:snapToGrid w:val="0"/>
                <w:color w:val="000000"/>
                <w:sz w:val="21"/>
                <w:szCs w:val="21"/>
                <w:vertAlign w:val="baseline"/>
                <w:lang w:val="en-US" w:eastAsia="zh-CN"/>
              </w:rPr>
            </w:pPr>
            <w:r>
              <w:rPr>
                <w:rFonts w:hint="default" w:ascii="Times New Roman" w:hAnsi="Times New Roman" w:cs="Times New Roman"/>
                <w:b/>
                <w:bCs w:val="0"/>
                <w:snapToGrid w:val="0"/>
                <w:color w:val="000000"/>
                <w:sz w:val="21"/>
                <w:szCs w:val="21"/>
                <w:vertAlign w:val="baseline"/>
                <w:lang w:val="en-US" w:eastAsia="zh-CN"/>
              </w:rPr>
              <w:t>条款</w:t>
            </w:r>
          </w:p>
        </w:tc>
        <w:tc>
          <w:tcPr>
            <w:tcW w:w="3499"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b/>
                <w:bCs w:val="0"/>
                <w:snapToGrid w:val="0"/>
                <w:color w:val="000000"/>
                <w:sz w:val="21"/>
                <w:szCs w:val="21"/>
                <w:vertAlign w:val="baseline"/>
                <w:lang w:val="en-US" w:eastAsia="zh-CN"/>
              </w:rPr>
            </w:pPr>
            <w:r>
              <w:rPr>
                <w:rFonts w:hint="default" w:ascii="Times New Roman" w:hAnsi="Times New Roman" w:cs="Times New Roman"/>
                <w:b/>
                <w:bCs w:val="0"/>
                <w:snapToGrid w:val="0"/>
                <w:color w:val="000000"/>
                <w:sz w:val="21"/>
                <w:szCs w:val="21"/>
                <w:vertAlign w:val="baseline"/>
                <w:lang w:val="en-US" w:eastAsia="zh-CN"/>
              </w:rPr>
              <w:t>原条款内容</w:t>
            </w:r>
          </w:p>
        </w:tc>
        <w:tc>
          <w:tcPr>
            <w:tcW w:w="3500"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b/>
                <w:bCs w:val="0"/>
                <w:snapToGrid w:val="0"/>
                <w:color w:val="000000"/>
                <w:sz w:val="21"/>
                <w:szCs w:val="21"/>
                <w:vertAlign w:val="baseline"/>
                <w:lang w:val="en-US" w:eastAsia="zh-CN"/>
              </w:rPr>
            </w:pPr>
            <w:r>
              <w:rPr>
                <w:rFonts w:hint="default" w:ascii="Times New Roman" w:hAnsi="Times New Roman" w:cs="Times New Roman"/>
                <w:b/>
                <w:bCs w:val="0"/>
                <w:snapToGrid w:val="0"/>
                <w:color w:val="000000"/>
                <w:sz w:val="21"/>
                <w:szCs w:val="21"/>
                <w:vertAlign w:val="baseline"/>
                <w:lang w:val="en-US" w:eastAsia="zh-CN"/>
              </w:rPr>
              <w:t>修订后条款内容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Pr>
          <w:p>
            <w:pPr>
              <w:pStyle w:val="2"/>
              <w:adjustRightInd w:val="0"/>
              <w:snapToGrid w:val="0"/>
              <w:spacing w:before="0" w:beforeAutospacing="0" w:after="0" w:afterAutospacing="0" w:line="360" w:lineRule="auto"/>
              <w:jc w:val="both"/>
              <w:rPr>
                <w:rFonts w:hint="default" w:ascii="Times New Roman" w:hAnsi="Times New Roman" w:cs="Times New Roman"/>
                <w:bCs/>
                <w:snapToGrid w:val="0"/>
                <w:color w:val="000000"/>
                <w:sz w:val="21"/>
                <w:szCs w:val="21"/>
                <w:vertAlign w:val="baseline"/>
                <w:lang w:val="en-US" w:eastAsia="zh-CN"/>
              </w:rPr>
            </w:pPr>
            <w:r>
              <w:rPr>
                <w:rFonts w:hint="default" w:ascii="Times New Roman" w:hAnsi="Times New Roman" w:eastAsia="宋体" w:cs="Times New Roman"/>
                <w:sz w:val="21"/>
                <w:szCs w:val="21"/>
              </w:rPr>
              <w:t>第六条</w:t>
            </w:r>
          </w:p>
        </w:tc>
        <w:tc>
          <w:tcPr>
            <w:tcW w:w="3499"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w:t>公司的注册资本为人民币</w:t>
            </w:r>
            <w:r>
              <w:rPr>
                <w:rFonts w:hint="default" w:ascii="Times New Roman" w:hAnsi="Times New Roman" w:eastAsia="宋体" w:cs="Times New Roman"/>
                <w:color w:val="FF0000"/>
                <w:sz w:val="21"/>
                <w:szCs w:val="21"/>
              </w:rPr>
              <w:t>1</w:t>
            </w:r>
            <w:r>
              <w:rPr>
                <w:rFonts w:hint="default" w:ascii="Times New Roman" w:hAnsi="Times New Roman" w:eastAsia="宋体" w:cs="Times New Roman"/>
                <w:color w:val="FF0000"/>
                <w:sz w:val="21"/>
                <w:szCs w:val="21"/>
                <w:lang w:val="en-US" w:eastAsia="zh-CN"/>
              </w:rPr>
              <w:t>9</w:t>
            </w:r>
            <w:r>
              <w:rPr>
                <w:rFonts w:hint="default" w:ascii="Times New Roman" w:hAnsi="Times New Roman" w:eastAsia="宋体" w:cs="Times New Roman"/>
                <w:color w:val="FF0000"/>
                <w:sz w:val="21"/>
                <w:szCs w:val="21"/>
              </w:rPr>
              <w:t>,</w:t>
            </w:r>
            <w:r>
              <w:rPr>
                <w:rFonts w:hint="default" w:ascii="Times New Roman" w:hAnsi="Times New Roman" w:eastAsia="宋体" w:cs="Times New Roman"/>
                <w:color w:val="FF0000"/>
                <w:sz w:val="21"/>
                <w:szCs w:val="21"/>
                <w:lang w:val="en-US" w:eastAsia="zh-CN"/>
              </w:rPr>
              <w:t>310</w:t>
            </w:r>
            <w:r>
              <w:rPr>
                <w:rFonts w:hint="default" w:ascii="Times New Roman" w:hAnsi="Times New Roman" w:eastAsia="宋体" w:cs="Times New Roman"/>
                <w:color w:val="FF0000"/>
                <w:sz w:val="21"/>
                <w:szCs w:val="21"/>
              </w:rPr>
              <w:t>.</w:t>
            </w:r>
            <w:r>
              <w:rPr>
                <w:rFonts w:hint="default" w:ascii="Times New Roman" w:hAnsi="Times New Roman" w:eastAsia="宋体" w:cs="Times New Roman"/>
                <w:color w:val="FF0000"/>
                <w:sz w:val="21"/>
                <w:szCs w:val="21"/>
                <w:lang w:val="en-US" w:eastAsia="zh-CN"/>
              </w:rPr>
              <w:t>1694</w:t>
            </w:r>
            <w:r>
              <w:rPr>
                <w:rFonts w:hint="default" w:ascii="Times New Roman" w:hAnsi="Times New Roman" w:eastAsia="宋体" w:cs="Times New Roman"/>
                <w:sz w:val="21"/>
                <w:szCs w:val="21"/>
              </w:rPr>
              <w:t>万元</w:t>
            </w:r>
            <w:r>
              <w:rPr>
                <w:rFonts w:hint="default" w:ascii="Times New Roman" w:hAnsi="Times New Roman" w:eastAsia="宋体" w:cs="Times New Roman"/>
                <w:sz w:val="21"/>
                <w:szCs w:val="21"/>
                <w:lang w:eastAsia="zh-CN"/>
              </w:rPr>
              <w:t>。</w:t>
            </w:r>
          </w:p>
        </w:tc>
        <w:tc>
          <w:tcPr>
            <w:tcW w:w="3500"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w:t>公司的注册资本为人民币</w:t>
            </w:r>
            <w:r>
              <w:rPr>
                <w:rFonts w:hint="default" w:ascii="Times New Roman" w:hAnsi="Times New Roman" w:eastAsia="宋体" w:cs="Times New Roman"/>
                <w:color w:val="FF0000"/>
                <w:sz w:val="21"/>
                <w:szCs w:val="21"/>
                <w:lang w:val="en-US" w:eastAsia="zh-CN"/>
              </w:rPr>
              <w:t>23,172.2033</w:t>
            </w:r>
            <w:r>
              <w:rPr>
                <w:rFonts w:hint="default" w:ascii="Times New Roman" w:hAnsi="Times New Roman" w:eastAsia="宋体" w:cs="Times New Roman"/>
                <w:sz w:val="21"/>
                <w:szCs w:val="21"/>
              </w:rPr>
              <w:t>万元</w:t>
            </w:r>
            <w:r>
              <w:rPr>
                <w:rFonts w:hint="default" w:ascii="Times New Roman" w:hAnsi="Times New Roman" w:eastAsia="宋体" w:cs="Times New Roman"/>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Pr>
          <w:p>
            <w:pPr>
              <w:pStyle w:val="2"/>
              <w:adjustRightInd w:val="0"/>
              <w:snapToGrid w:val="0"/>
              <w:spacing w:before="0" w:beforeAutospacing="0" w:after="0" w:afterAutospacing="0" w:line="360" w:lineRule="auto"/>
              <w:jc w:val="both"/>
              <w:rPr>
                <w:rFonts w:hint="default" w:ascii="Times New Roman" w:hAnsi="Times New Roman" w:cs="Times New Roman"/>
                <w:bCs/>
                <w:snapToGrid w:val="0"/>
                <w:color w:val="000000"/>
                <w:sz w:val="21"/>
                <w:szCs w:val="21"/>
                <w:vertAlign w:val="baseline"/>
                <w:lang w:val="en-US" w:eastAsia="zh-CN"/>
              </w:rPr>
            </w:pPr>
            <w:r>
              <w:rPr>
                <w:rFonts w:hint="default" w:ascii="Times New Roman" w:hAnsi="Times New Roman" w:eastAsia="宋体" w:cs="Times New Roman"/>
                <w:sz w:val="21"/>
                <w:szCs w:val="21"/>
              </w:rPr>
              <w:t>第十五条</w:t>
            </w:r>
          </w:p>
        </w:tc>
        <w:tc>
          <w:tcPr>
            <w:tcW w:w="3499"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w:t>公司的股份总数为</w:t>
            </w:r>
            <w:r>
              <w:rPr>
                <w:rFonts w:hint="default" w:ascii="Times New Roman" w:hAnsi="Times New Roman" w:eastAsia="宋体" w:cs="Times New Roman"/>
                <w:color w:val="FF0000"/>
                <w:sz w:val="21"/>
                <w:szCs w:val="21"/>
              </w:rPr>
              <w:t>1</w:t>
            </w:r>
            <w:r>
              <w:rPr>
                <w:rFonts w:hint="default" w:ascii="Times New Roman" w:hAnsi="Times New Roman" w:eastAsia="宋体" w:cs="Times New Roman"/>
                <w:color w:val="FF0000"/>
                <w:sz w:val="21"/>
                <w:szCs w:val="21"/>
                <w:lang w:val="en-US" w:eastAsia="zh-CN"/>
              </w:rPr>
              <w:t>9</w:t>
            </w:r>
            <w:r>
              <w:rPr>
                <w:rFonts w:hint="default" w:ascii="Times New Roman" w:hAnsi="Times New Roman" w:eastAsia="宋体" w:cs="Times New Roman"/>
                <w:color w:val="FF0000"/>
                <w:sz w:val="21"/>
                <w:szCs w:val="21"/>
              </w:rPr>
              <w:t>,</w:t>
            </w:r>
            <w:r>
              <w:rPr>
                <w:rFonts w:hint="default" w:ascii="Times New Roman" w:hAnsi="Times New Roman" w:eastAsia="宋体" w:cs="Times New Roman"/>
                <w:color w:val="FF0000"/>
                <w:sz w:val="21"/>
                <w:szCs w:val="21"/>
                <w:lang w:val="en-US" w:eastAsia="zh-CN"/>
              </w:rPr>
              <w:t>310</w:t>
            </w:r>
            <w:r>
              <w:rPr>
                <w:rFonts w:hint="default" w:ascii="Times New Roman" w:hAnsi="Times New Roman" w:eastAsia="宋体" w:cs="Times New Roman"/>
                <w:color w:val="FF0000"/>
                <w:sz w:val="21"/>
                <w:szCs w:val="21"/>
              </w:rPr>
              <w:t>.</w:t>
            </w:r>
            <w:r>
              <w:rPr>
                <w:rFonts w:hint="default" w:ascii="Times New Roman" w:hAnsi="Times New Roman" w:eastAsia="宋体" w:cs="Times New Roman"/>
                <w:color w:val="FF0000"/>
                <w:sz w:val="21"/>
                <w:szCs w:val="21"/>
                <w:lang w:val="en-US" w:eastAsia="zh-CN"/>
              </w:rPr>
              <w:t>1694</w:t>
            </w:r>
            <w:r>
              <w:rPr>
                <w:rFonts w:hint="default" w:ascii="Times New Roman" w:hAnsi="Times New Roman" w:eastAsia="宋体" w:cs="Times New Roman"/>
                <w:sz w:val="21"/>
                <w:szCs w:val="21"/>
              </w:rPr>
              <w:t>万股，全部为普通股，以人民币标明面值，每股面值为人民币一元</w:t>
            </w:r>
            <w:r>
              <w:rPr>
                <w:rFonts w:hint="default" w:ascii="Times New Roman" w:hAnsi="Times New Roman" w:eastAsia="宋体" w:cs="Times New Roman"/>
                <w:sz w:val="21"/>
                <w:szCs w:val="21"/>
                <w:lang w:eastAsia="zh-CN"/>
              </w:rPr>
              <w:t>。</w:t>
            </w:r>
          </w:p>
        </w:tc>
        <w:tc>
          <w:tcPr>
            <w:tcW w:w="3500"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w:t>公司的股份总数为</w:t>
            </w:r>
            <w:r>
              <w:rPr>
                <w:rFonts w:hint="default" w:ascii="Times New Roman" w:hAnsi="Times New Roman" w:eastAsia="宋体" w:cs="Times New Roman"/>
                <w:color w:val="FF0000"/>
                <w:sz w:val="21"/>
                <w:szCs w:val="21"/>
                <w:lang w:val="en-US" w:eastAsia="zh-CN"/>
              </w:rPr>
              <w:t>23,172.2033</w:t>
            </w:r>
            <w:r>
              <w:rPr>
                <w:rFonts w:hint="default" w:ascii="Times New Roman" w:hAnsi="Times New Roman" w:eastAsia="宋体" w:cs="Times New Roman"/>
                <w:sz w:val="21"/>
                <w:szCs w:val="21"/>
              </w:rPr>
              <w:t>万股，全部为普通股，以人民币标明面值，每股面值为人民币一元</w:t>
            </w:r>
            <w:r>
              <w:rPr>
                <w:rFonts w:hint="default" w:ascii="Times New Roman" w:hAnsi="Times New Roman" w:eastAsia="宋体" w:cs="Times New Roman"/>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bCs/>
                <w:snapToGrid w:val="0"/>
                <w:color w:val="000000"/>
                <w:sz w:val="21"/>
                <w:szCs w:val="21"/>
                <w:vertAlign w:val="baseline"/>
                <w:lang w:val="en-US" w:eastAsia="zh-CN"/>
              </w:rPr>
            </w:pPr>
            <w:r>
              <w:rPr>
                <w:rFonts w:hint="default" w:ascii="Times New Roman" w:hAnsi="Times New Roman" w:cs="Times New Roman"/>
                <w:bCs/>
                <w:snapToGrid w:val="0"/>
                <w:color w:val="000000"/>
                <w:sz w:val="21"/>
                <w:szCs w:val="21"/>
                <w:vertAlign w:val="baseline"/>
                <w:lang w:val="en-US" w:eastAsia="zh-CN"/>
              </w:rPr>
              <w:t>第一百一十七条</w:t>
            </w:r>
          </w:p>
        </w:tc>
        <w:tc>
          <w:tcPr>
            <w:tcW w:w="3499"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bCs/>
                <w:snapToGrid w:val="0"/>
                <w:color w:val="000000"/>
                <w:sz w:val="21"/>
                <w:szCs w:val="21"/>
                <w:vertAlign w:val="baseline"/>
              </w:rPr>
            </w:pPr>
            <w:r>
              <w:rPr>
                <w:rFonts w:hint="default" w:ascii="Times New Roman" w:hAnsi="Times New Roman" w:cs="Times New Roman"/>
                <w:sz w:val="21"/>
                <w:szCs w:val="21"/>
              </w:rPr>
              <w:t>董事会召开临时董事会会议的通知方式为：传真、电话、信函、电子邮件等；通知时限为提前10天。</w:t>
            </w:r>
          </w:p>
        </w:tc>
        <w:tc>
          <w:tcPr>
            <w:tcW w:w="3500" w:type="dxa"/>
          </w:tcPr>
          <w:p>
            <w:pPr>
              <w:pStyle w:val="2"/>
              <w:adjustRightInd w:val="0"/>
              <w:snapToGrid w:val="0"/>
              <w:spacing w:before="0" w:beforeAutospacing="0" w:after="0" w:afterAutospacing="0" w:line="360" w:lineRule="auto"/>
              <w:jc w:val="both"/>
              <w:rPr>
                <w:rFonts w:hint="default" w:ascii="Times New Roman" w:hAnsi="Times New Roman" w:eastAsia="宋体" w:cs="Times New Roman"/>
                <w:bCs/>
                <w:snapToGrid w:val="0"/>
                <w:color w:val="000000"/>
                <w:sz w:val="21"/>
                <w:szCs w:val="21"/>
                <w:vertAlign w:val="baseline"/>
              </w:rPr>
            </w:pPr>
            <w:r>
              <w:rPr>
                <w:rFonts w:hint="default" w:ascii="Times New Roman" w:hAnsi="Times New Roman" w:cs="Times New Roman"/>
                <w:sz w:val="21"/>
                <w:szCs w:val="21"/>
              </w:rPr>
              <w:t>董事会召开临时董事会会议的通知方式为：传真、电话、信函、电子邮件等；通知时限为提前10天。</w:t>
            </w:r>
            <w:r>
              <w:rPr>
                <w:rFonts w:hint="default" w:ascii="Times New Roman" w:hAnsi="Times New Roman" w:cs="Times New Roman"/>
                <w:color w:val="FF0000"/>
                <w:sz w:val="21"/>
                <w:szCs w:val="21"/>
              </w:rPr>
              <w:t>情况紧急，需要尽快召开董事会临时会议的，可以随时通过电话、电子邮件或其他方式发出会议通知，但召集人应当在会议上作出说明。</w:t>
            </w:r>
          </w:p>
        </w:tc>
      </w:tr>
    </w:tbl>
    <w:p>
      <w:pPr>
        <w:pStyle w:val="2"/>
        <w:adjustRightInd w:val="0"/>
        <w:snapToGrid w:val="0"/>
        <w:spacing w:before="0" w:beforeAutospacing="0" w:after="0" w:afterAutospacing="0" w:line="360" w:lineRule="auto"/>
        <w:ind w:left="0" w:leftChars="0" w:firstLine="420" w:firstLineChars="175"/>
        <w:rPr>
          <w:rFonts w:hint="default" w:ascii="Times New Roman" w:hAnsi="Times New Roman" w:cs="Times New Roman"/>
          <w:bCs/>
          <w:snapToGrid w:val="0"/>
          <w:color w:val="000000"/>
          <w:lang w:val="en-US" w:eastAsia="zh-CN"/>
        </w:rPr>
      </w:pPr>
    </w:p>
    <w:p>
      <w:pPr>
        <w:pStyle w:val="2"/>
        <w:adjustRightInd w:val="0"/>
        <w:snapToGrid w:val="0"/>
        <w:spacing w:before="0" w:beforeAutospacing="0" w:after="0" w:afterAutospacing="0" w:line="360" w:lineRule="auto"/>
        <w:ind w:left="0" w:leftChars="0" w:firstLine="422" w:firstLineChars="175"/>
        <w:rPr>
          <w:rFonts w:hint="default" w:ascii="Times New Roman" w:hAnsi="Times New Roman" w:cs="Times New Roman"/>
          <w:bCs/>
          <w:snapToGrid w:val="0"/>
          <w:color w:val="000000"/>
        </w:rPr>
      </w:pPr>
      <w:r>
        <w:rPr>
          <w:rFonts w:hint="default" w:ascii="Times New Roman" w:hAnsi="Times New Roman" w:cs="Times New Roman"/>
          <w:b/>
        </w:rPr>
        <w:t>备查文件</w:t>
      </w:r>
    </w:p>
    <w:p>
      <w:pPr>
        <w:pStyle w:val="2"/>
        <w:adjustRightInd w:val="0"/>
        <w:snapToGrid w:val="0"/>
        <w:spacing w:before="0" w:beforeAutospacing="0" w:after="0" w:afterAutospacing="0" w:line="360" w:lineRule="auto"/>
        <w:ind w:left="0" w:leftChars="0" w:firstLine="420" w:firstLineChars="175"/>
        <w:rPr>
          <w:rFonts w:hint="default" w:ascii="Times New Roman" w:hAnsi="Times New Roman" w:cs="Times New Roman"/>
          <w:bCs/>
          <w:snapToGrid w:val="0"/>
          <w:color w:val="000000"/>
        </w:rPr>
      </w:pPr>
      <w:r>
        <w:rPr>
          <w:rFonts w:hint="default" w:ascii="Times New Roman" w:hAnsi="Times New Roman" w:cs="Times New Roman"/>
          <w:bCs/>
          <w:snapToGrid w:val="0"/>
          <w:color w:val="000000"/>
        </w:rPr>
        <w:t>1、《</w:t>
      </w:r>
      <w:r>
        <w:rPr>
          <w:rFonts w:hint="default" w:ascii="Times New Roman" w:hAnsi="Times New Roman" w:cs="Times New Roman"/>
          <w:bCs/>
          <w:snapToGrid w:val="0"/>
          <w:color w:val="000000"/>
          <w:lang w:eastAsia="zh-CN"/>
        </w:rPr>
        <w:t>公司</w:t>
      </w:r>
      <w:r>
        <w:rPr>
          <w:rFonts w:hint="default" w:ascii="Times New Roman" w:hAnsi="Times New Roman" w:cs="Times New Roman"/>
          <w:bCs/>
          <w:snapToGrid w:val="0"/>
          <w:color w:val="000000"/>
        </w:rPr>
        <w:t>章程》</w:t>
      </w:r>
      <w:r>
        <w:rPr>
          <w:rFonts w:hint="default" w:ascii="Times New Roman" w:hAnsi="Times New Roman" w:cs="Times New Roman"/>
          <w:bCs/>
          <w:snapToGrid w:val="0"/>
          <w:color w:val="000000"/>
          <w:lang w:eastAsia="zh-CN"/>
        </w:rPr>
        <w:t>（尚需股东大会审议）</w:t>
      </w:r>
      <w:r>
        <w:rPr>
          <w:rFonts w:hint="default" w:ascii="Times New Roman" w:hAnsi="Times New Roman" w:cs="Times New Roman"/>
          <w:bCs/>
          <w:snapToGrid w:val="0"/>
          <w:color w:val="000000"/>
        </w:rPr>
        <w:t>；</w:t>
      </w:r>
    </w:p>
    <w:p>
      <w:pPr>
        <w:pStyle w:val="2"/>
        <w:adjustRightInd w:val="0"/>
        <w:snapToGrid w:val="0"/>
        <w:spacing w:before="0" w:beforeAutospacing="0" w:after="0" w:afterAutospacing="0" w:line="360" w:lineRule="auto"/>
        <w:ind w:left="0" w:leftChars="0" w:firstLine="420" w:firstLineChars="175"/>
        <w:rPr>
          <w:rFonts w:hint="default" w:ascii="Times New Roman" w:hAnsi="Times New Roman" w:cs="Times New Roman"/>
          <w:bCs/>
          <w:snapToGrid w:val="0"/>
          <w:color w:val="000000"/>
          <w:lang w:eastAsia="zh-CN"/>
        </w:rPr>
      </w:pPr>
      <w:r>
        <w:rPr>
          <w:rFonts w:hint="default" w:ascii="Times New Roman" w:hAnsi="Times New Roman" w:cs="Times New Roman"/>
          <w:bCs/>
          <w:snapToGrid w:val="0"/>
          <w:color w:val="000000"/>
        </w:rPr>
        <w:t>2、公司第</w:t>
      </w:r>
      <w:r>
        <w:rPr>
          <w:rFonts w:hint="default" w:ascii="Times New Roman" w:hAnsi="Times New Roman" w:cs="Times New Roman"/>
          <w:bCs/>
          <w:snapToGrid w:val="0"/>
          <w:color w:val="000000"/>
          <w:lang w:eastAsia="zh-CN"/>
        </w:rPr>
        <w:t>七</w:t>
      </w:r>
      <w:r>
        <w:rPr>
          <w:rFonts w:hint="default" w:ascii="Times New Roman" w:hAnsi="Times New Roman" w:cs="Times New Roman"/>
          <w:bCs/>
          <w:snapToGrid w:val="0"/>
          <w:color w:val="000000"/>
        </w:rPr>
        <w:t>届董事会第</w:t>
      </w:r>
      <w:r>
        <w:rPr>
          <w:rFonts w:hint="default" w:ascii="Times New Roman" w:hAnsi="Times New Roman" w:cs="Times New Roman"/>
          <w:bCs/>
          <w:snapToGrid w:val="0"/>
          <w:color w:val="000000"/>
          <w:lang w:eastAsia="zh-CN"/>
        </w:rPr>
        <w:t>十</w:t>
      </w:r>
      <w:r>
        <w:rPr>
          <w:rFonts w:hint="default" w:ascii="Times New Roman" w:hAnsi="Times New Roman" w:cs="Times New Roman"/>
          <w:bCs/>
          <w:snapToGrid w:val="0"/>
          <w:color w:val="000000"/>
          <w:lang w:val="en-US" w:eastAsia="zh-CN"/>
        </w:rPr>
        <w:t>七</w:t>
      </w:r>
      <w:r>
        <w:rPr>
          <w:rFonts w:hint="default" w:ascii="Times New Roman" w:hAnsi="Times New Roman" w:cs="Times New Roman"/>
          <w:bCs/>
          <w:snapToGrid w:val="0"/>
          <w:color w:val="000000"/>
        </w:rPr>
        <w:t>次会议决议</w:t>
      </w:r>
      <w:r>
        <w:rPr>
          <w:rFonts w:hint="default" w:ascii="Times New Roman" w:hAnsi="Times New Roman" w:cs="Times New Roman"/>
          <w:bCs/>
          <w:snapToGrid w:val="0"/>
          <w:color w:val="000000"/>
          <w:lang w:eastAsia="zh-CN"/>
        </w:rPr>
        <w:t>；</w:t>
      </w:r>
    </w:p>
    <w:p>
      <w:pPr>
        <w:pStyle w:val="2"/>
        <w:adjustRightInd w:val="0"/>
        <w:snapToGrid w:val="0"/>
        <w:spacing w:before="0" w:beforeAutospacing="0" w:after="0" w:afterAutospacing="0" w:line="360" w:lineRule="auto"/>
        <w:ind w:left="0" w:leftChars="0" w:firstLine="420" w:firstLineChars="175"/>
        <w:rPr>
          <w:rFonts w:hint="default" w:ascii="Times New Roman" w:hAnsi="Times New Roman" w:cs="Times New Roman"/>
          <w:bCs/>
          <w:snapToGrid w:val="0"/>
          <w:color w:val="000000"/>
          <w:lang w:val="en-US" w:eastAsia="zh-CN"/>
        </w:rPr>
      </w:pPr>
      <w:r>
        <w:rPr>
          <w:rFonts w:hint="default" w:ascii="Times New Roman" w:hAnsi="Times New Roman" w:cs="Times New Roman"/>
          <w:bCs/>
          <w:snapToGrid w:val="0"/>
          <w:color w:val="000000"/>
          <w:lang w:val="en-US" w:eastAsia="zh-CN"/>
        </w:rPr>
        <w:t>3、公司第七届监事会第十三次会议决议。</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F7E61"/>
    <w:rsid w:val="03250DC9"/>
    <w:rsid w:val="07BE499F"/>
    <w:rsid w:val="1060695A"/>
    <w:rsid w:val="1A8803C9"/>
    <w:rsid w:val="1AF517D2"/>
    <w:rsid w:val="1F4F5B2C"/>
    <w:rsid w:val="225A35BF"/>
    <w:rsid w:val="271C1761"/>
    <w:rsid w:val="275B3F88"/>
    <w:rsid w:val="2BC136AF"/>
    <w:rsid w:val="30A433BE"/>
    <w:rsid w:val="31113881"/>
    <w:rsid w:val="33EF38F6"/>
    <w:rsid w:val="39A95D8A"/>
    <w:rsid w:val="3C2854A3"/>
    <w:rsid w:val="3CA73C68"/>
    <w:rsid w:val="3E2D2CC5"/>
    <w:rsid w:val="3FA73663"/>
    <w:rsid w:val="4394704E"/>
    <w:rsid w:val="477915AF"/>
    <w:rsid w:val="478C5CD4"/>
    <w:rsid w:val="48453637"/>
    <w:rsid w:val="4A237879"/>
    <w:rsid w:val="4A7F5E84"/>
    <w:rsid w:val="4D880E3D"/>
    <w:rsid w:val="54794BD7"/>
    <w:rsid w:val="54AB6545"/>
    <w:rsid w:val="55316EFF"/>
    <w:rsid w:val="55FC11EF"/>
    <w:rsid w:val="566E58E1"/>
    <w:rsid w:val="5847001C"/>
    <w:rsid w:val="58B50EDB"/>
    <w:rsid w:val="599357D9"/>
    <w:rsid w:val="609127BD"/>
    <w:rsid w:val="622722BE"/>
    <w:rsid w:val="6D2A1F48"/>
    <w:rsid w:val="70227D89"/>
    <w:rsid w:val="707556DE"/>
    <w:rsid w:val="776D075C"/>
    <w:rsid w:val="78A04EE8"/>
    <w:rsid w:val="7AD71C26"/>
    <w:rsid w:val="7E213986"/>
    <w:rsid w:val="7E3F7E61"/>
    <w:rsid w:val="7FF4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kern w:val="0"/>
      <w:sz w:val="24"/>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p0"/>
    <w:qFormat/>
    <w:uiPriority w:val="0"/>
    <w:pPr>
      <w:spacing w:line="595" w:lineRule="atLeast"/>
      <w:ind w:left="1"/>
      <w:jc w:val="both"/>
    </w:pPr>
    <w:rPr>
      <w:rFonts w:ascii="Times New Roman" w:hAnsi="Times New Roman" w:eastAsia="宋体" w:cs="Times New Roman"/>
      <w:color w:val="000000"/>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2020-06-29T02:22:00Z</dcterms:created>
  <dc:creator>易杯酒</dc:creator>
  <cp:lastModifiedBy>邹岩</cp:lastModifiedBy>
  <dcterms:modified xsi:type="dcterms:W3CDTF">2021-07-08T07:27:09Z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151EA2E6B50F4484BF527C6825F63D73</vt:lpwstr>
  </property>
</Properties>
</file>