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312" w:lineRule="auto"/>
        <w:jc w:val="both"/>
        <w:rPr>
          <w:kern w:val="2"/>
          <w:sz w:val="21"/>
          <w:szCs w:val="21"/>
        </w:rPr>
      </w:pPr>
      <w:r>
        <w:rPr>
          <w:rFonts w:hint="eastAsia"/>
          <w:kern w:val="2"/>
          <w:sz w:val="21"/>
          <w:szCs w:val="21"/>
        </w:rPr>
        <w:t>证券代码：</w:t>
      </w:r>
      <w:r>
        <w:rPr>
          <w:kern w:val="2"/>
          <w:sz w:val="21"/>
          <w:szCs w:val="21"/>
        </w:rPr>
        <w:t xml:space="preserve">603232               </w:t>
      </w:r>
      <w:r>
        <w:rPr>
          <w:rFonts w:hint="eastAsia"/>
          <w:kern w:val="2"/>
          <w:sz w:val="21"/>
          <w:szCs w:val="21"/>
        </w:rPr>
        <w:t>证券简称：格尔软件</w:t>
      </w:r>
      <w:r>
        <w:rPr>
          <w:kern w:val="2"/>
          <w:sz w:val="21"/>
          <w:szCs w:val="21"/>
        </w:rPr>
        <w:t xml:space="preserve">            </w:t>
      </w:r>
      <w:r>
        <w:rPr>
          <w:rFonts w:hint="eastAsia"/>
          <w:kern w:val="2"/>
          <w:sz w:val="21"/>
          <w:szCs w:val="21"/>
        </w:rPr>
        <w:t>公告编号：</w:t>
      </w:r>
      <w:r>
        <w:rPr>
          <w:kern w:val="2"/>
          <w:sz w:val="21"/>
          <w:szCs w:val="21"/>
        </w:rPr>
        <w:t>202</w:t>
      </w:r>
      <w:r>
        <w:rPr>
          <w:rFonts w:hint="eastAsia"/>
          <w:kern w:val="2"/>
          <w:sz w:val="21"/>
          <w:szCs w:val="21"/>
        </w:rPr>
        <w:t>3</w:t>
      </w:r>
      <w:r>
        <w:rPr>
          <w:kern w:val="2"/>
          <w:sz w:val="21"/>
          <w:szCs w:val="21"/>
        </w:rPr>
        <w:t>-0</w:t>
      </w:r>
      <w:r>
        <w:rPr>
          <w:rFonts w:hint="eastAsia"/>
          <w:kern w:val="2"/>
          <w:sz w:val="21"/>
          <w:szCs w:val="21"/>
        </w:rPr>
        <w:t>01</w:t>
      </w:r>
    </w:p>
    <w:p>
      <w:pPr>
        <w:widowControl w:val="0"/>
        <w:autoSpaceDE w:val="0"/>
        <w:autoSpaceDN w:val="0"/>
        <w:adjustRightInd w:val="0"/>
        <w:spacing w:line="360" w:lineRule="auto"/>
        <w:rPr>
          <w:color w:val="000000"/>
          <w:sz w:val="21"/>
          <w:szCs w:val="21"/>
        </w:rPr>
      </w:pP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格尔软件股份有限公司</w:t>
      </w: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关于</w:t>
      </w:r>
      <w:r>
        <w:rPr>
          <w:rFonts w:eastAsia="黑体"/>
          <w:b/>
          <w:color w:val="FF0000"/>
          <w:sz w:val="36"/>
          <w:szCs w:val="36"/>
        </w:rPr>
        <w:t>2021年股票期权激励计划</w:t>
      </w:r>
      <w:r>
        <w:rPr>
          <w:rFonts w:hint="eastAsia" w:eastAsia="黑体"/>
          <w:b/>
          <w:color w:val="FF0000"/>
          <w:sz w:val="36"/>
          <w:szCs w:val="36"/>
        </w:rPr>
        <w:t>首次授予部分2022年第四季度自主行权结果暨股份变动公告</w:t>
      </w:r>
    </w:p>
    <w:p>
      <w:pPr>
        <w:widowControl w:val="0"/>
        <w:autoSpaceDE w:val="0"/>
        <w:autoSpaceDN w:val="0"/>
        <w:adjustRightInd w:val="0"/>
        <w:spacing w:line="360" w:lineRule="auto"/>
        <w:jc w:val="center"/>
        <w:rPr>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pPr>
      <w: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b/>
          <w:color w:val="000000"/>
        </w:rPr>
      </w:pPr>
      <w:r>
        <w:rPr>
          <w:rFonts w:hint="eastAsia"/>
          <w:b/>
          <w:color w:val="000000"/>
        </w:rPr>
        <w:t>重要内容提示：</w:t>
      </w:r>
    </w:p>
    <w:p>
      <w:pPr>
        <w:pStyle w:val="16"/>
        <w:numPr>
          <w:ilvl w:val="0"/>
          <w:numId w:val="1"/>
        </w:numPr>
        <w:spacing w:line="360" w:lineRule="auto"/>
        <w:jc w:val="both"/>
        <w:rPr>
          <w:rFonts w:ascii="Times New Roman" w:eastAsia="宋体"/>
          <w:color w:val="auto"/>
        </w:rPr>
      </w:pPr>
      <w:r>
        <w:rPr>
          <w:rFonts w:ascii="Times New Roman" w:eastAsia="宋体"/>
        </w:rPr>
        <w:t>股票期权激励计划行权结果：格尔软件股份有限公司（以下简称</w:t>
      </w:r>
      <w:r>
        <w:rPr>
          <w:rFonts w:asciiTheme="minorEastAsia" w:hAnsiTheme="minorEastAsia" w:eastAsiaTheme="minorEastAsia"/>
        </w:rPr>
        <w:t>“公司”</w:t>
      </w:r>
      <w:r>
        <w:rPr>
          <w:rFonts w:ascii="Times New Roman" w:eastAsia="宋体"/>
        </w:rPr>
        <w:t>）2021年股票期权激励计划首次授予部分第一个行权期可行权股票期权数量为196.47万份，行权起止日为</w:t>
      </w:r>
      <w:r>
        <w:rPr>
          <w:rFonts w:ascii="Times New Roman" w:eastAsia="宋体"/>
          <w:shd w:val="clear" w:color="auto" w:fill="FFFFFF"/>
        </w:rPr>
        <w:t>2022年9月2日至2023年7月27日</w:t>
      </w:r>
      <w:r>
        <w:rPr>
          <w:rFonts w:ascii="Times New Roman" w:eastAsia="宋体"/>
        </w:rPr>
        <w:t>，行权方式为自主行权。2022年10月1日至2022年12月31日，累计行权且完成股份过户登记数量为</w:t>
      </w:r>
      <w:r>
        <w:rPr>
          <w:rFonts w:hint="eastAsia" w:ascii="Times New Roman" w:eastAsia="宋体"/>
        </w:rPr>
        <w:t>1</w:t>
      </w:r>
      <w:r>
        <w:rPr>
          <w:rFonts w:ascii="Times New Roman" w:eastAsia="宋体"/>
        </w:rPr>
        <w:t>,</w:t>
      </w:r>
      <w:r>
        <w:rPr>
          <w:rFonts w:hint="eastAsia" w:ascii="Times New Roman" w:eastAsia="宋体"/>
        </w:rPr>
        <w:t>068</w:t>
      </w:r>
      <w:r>
        <w:rPr>
          <w:rFonts w:ascii="Times New Roman" w:eastAsia="宋体"/>
        </w:rPr>
        <w:t>,</w:t>
      </w:r>
      <w:r>
        <w:rPr>
          <w:rFonts w:hint="eastAsia" w:ascii="Times New Roman" w:eastAsia="宋体"/>
        </w:rPr>
        <w:t>295</w:t>
      </w:r>
      <w:r>
        <w:rPr>
          <w:rFonts w:ascii="Times New Roman" w:eastAsia="宋体"/>
        </w:rPr>
        <w:t>股。</w:t>
      </w:r>
    </w:p>
    <w:p>
      <w:pPr>
        <w:pStyle w:val="16"/>
        <w:numPr>
          <w:ilvl w:val="0"/>
          <w:numId w:val="1"/>
        </w:numPr>
        <w:spacing w:line="360" w:lineRule="auto"/>
        <w:jc w:val="both"/>
        <w:rPr>
          <w:rFonts w:ascii="Times New Roman" w:eastAsia="宋体"/>
        </w:rPr>
      </w:pPr>
      <w:r>
        <w:rPr>
          <w:rFonts w:ascii="Times New Roman" w:eastAsia="宋体"/>
        </w:rPr>
        <w:t>截至2022年12月31日，公司2021年股票期权激励计划第一个行权期行权且完成过户登记的股份为</w:t>
      </w:r>
      <w:r>
        <w:rPr>
          <w:rFonts w:hint="eastAsia" w:ascii="Times New Roman" w:eastAsia="宋体"/>
        </w:rPr>
        <w:t>1</w:t>
      </w:r>
      <w:r>
        <w:rPr>
          <w:rFonts w:ascii="Times New Roman" w:eastAsia="宋体"/>
        </w:rPr>
        <w:t>,</w:t>
      </w:r>
      <w:r>
        <w:rPr>
          <w:rFonts w:hint="eastAsia" w:ascii="Times New Roman" w:eastAsia="宋体"/>
        </w:rPr>
        <w:t>068</w:t>
      </w:r>
      <w:r>
        <w:rPr>
          <w:rFonts w:ascii="Times New Roman" w:eastAsia="宋体"/>
        </w:rPr>
        <w:t>,</w:t>
      </w:r>
      <w:r>
        <w:rPr>
          <w:rFonts w:hint="eastAsia" w:ascii="Times New Roman" w:eastAsia="宋体"/>
        </w:rPr>
        <w:t>295股</w:t>
      </w:r>
      <w:r>
        <w:rPr>
          <w:rFonts w:ascii="Times New Roman" w:eastAsia="宋体"/>
        </w:rPr>
        <w:t>，约占首次授予第一个行权期可行权股票期权总量</w:t>
      </w:r>
      <w:r>
        <w:rPr>
          <w:rFonts w:hint="eastAsia" w:ascii="Times New Roman" w:eastAsia="宋体"/>
        </w:rPr>
        <w:t>54.37</w:t>
      </w:r>
      <w:r>
        <w:rPr>
          <w:rFonts w:ascii="Times New Roman" w:eastAsia="宋体"/>
        </w:rPr>
        <w:t>%</w:t>
      </w:r>
      <w:r>
        <w:rPr>
          <w:rFonts w:hint="eastAsia" w:ascii="Times New Roman" w:eastAsia="宋体"/>
        </w:rPr>
        <w:t>。</w:t>
      </w:r>
    </w:p>
    <w:p>
      <w:pPr>
        <w:pStyle w:val="16"/>
        <w:numPr>
          <w:ilvl w:val="0"/>
          <w:numId w:val="1"/>
        </w:numPr>
        <w:spacing w:line="360" w:lineRule="auto"/>
        <w:jc w:val="both"/>
      </w:pPr>
      <w:r>
        <w:rPr>
          <w:rFonts w:hint="eastAsia" w:ascii="Times New Roman" w:eastAsia="宋体"/>
        </w:rPr>
        <w:t>本次行权股票上市流通时间：公司2021年股票期权激励计划采用自主行权方式，行权所得股票可于行权日（T日）后的第二个交易日（T+2）日上市交易。</w:t>
      </w:r>
    </w:p>
    <w:p>
      <w:pPr>
        <w:widowControl w:val="0"/>
        <w:autoSpaceDE w:val="0"/>
        <w:autoSpaceDN w:val="0"/>
        <w:adjustRightInd w:val="0"/>
        <w:spacing w:line="360" w:lineRule="auto"/>
        <w:jc w:val="both"/>
        <w:rPr>
          <w:highlight w:val="yellow"/>
        </w:rPr>
      </w:pPr>
    </w:p>
    <w:p>
      <w:pPr>
        <w:numPr>
          <w:ilvl w:val="0"/>
          <w:numId w:val="2"/>
        </w:numPr>
        <w:snapToGrid w:val="0"/>
        <w:spacing w:line="360" w:lineRule="auto"/>
        <w:ind w:firstLine="463" w:firstLineChars="192"/>
        <w:jc w:val="both"/>
        <w:rPr>
          <w:rFonts w:eastAsiaTheme="minorEastAsia"/>
          <w:b/>
          <w:bCs/>
          <w:color w:val="000000"/>
        </w:rPr>
      </w:pPr>
      <w:r>
        <w:rPr>
          <w:rFonts w:hint="eastAsia" w:eastAsiaTheme="minorEastAsia"/>
          <w:b/>
          <w:bCs/>
          <w:color w:val="000000"/>
        </w:rPr>
        <w:t>2021年股票期权激励计划批准实施情况</w:t>
      </w:r>
    </w:p>
    <w:p>
      <w:pPr>
        <w:snapToGrid w:val="0"/>
        <w:spacing w:line="360" w:lineRule="auto"/>
        <w:jc w:val="both"/>
        <w:rPr>
          <w:rFonts w:eastAsiaTheme="minorEastAsia"/>
          <w:b/>
          <w:bCs/>
          <w:color w:val="000000"/>
        </w:rPr>
      </w:pPr>
      <w:r>
        <w:rPr>
          <w:rFonts w:hint="eastAsia" w:eastAsiaTheme="minorEastAsia"/>
          <w:b/>
          <w:bCs/>
          <w:color w:val="000000"/>
        </w:rPr>
        <w:t xml:space="preserve">  </w:t>
      </w:r>
      <w:r>
        <w:rPr>
          <w:rFonts w:hint="eastAsia" w:eastAsiaTheme="minorEastAsia"/>
          <w:color w:val="000000"/>
        </w:rPr>
        <w:t>（一）公司2021年股票期权激励计划已履行的程序</w:t>
      </w:r>
    </w:p>
    <w:p>
      <w:pPr>
        <w:widowControl w:val="0"/>
        <w:wordWrap w:val="0"/>
        <w:snapToGrid w:val="0"/>
        <w:spacing w:line="360" w:lineRule="auto"/>
        <w:ind w:firstLine="480" w:firstLineChars="200"/>
        <w:jc w:val="both"/>
      </w:pPr>
      <w:r>
        <w:t>1、公司于2021年7月9日召开第七届董事会第十七次会议、第七届监事会第十三次会议，审议通过了《关于&lt;格尔软件股份有限公司2021年股票期权激励计划（草案）&gt;及其摘要的议案》等本激励计划相关事项的议案，关联董事均回避表决，公司独立董事发表了同意意见。</w:t>
      </w:r>
      <w:r>
        <w:rPr>
          <w:rFonts w:hint="eastAsia"/>
        </w:rPr>
        <w:t>本激励计划涉及的激励对象共计</w:t>
      </w:r>
      <w:r>
        <w:t>163人，拟授予激励对象的股票期权数量为700万份，约占本激励计划草案公告日公司股本总额23,172.20万股的3.02%。</w:t>
      </w:r>
      <w:r>
        <w:rPr>
          <w:rFonts w:hint="eastAsia"/>
        </w:rPr>
        <w:t>具体内容请详见公司于</w:t>
      </w:r>
      <w:r>
        <w:t>2021年7月10日刊登于上海证券交易所网站（www.sse.com.cn）的《格尔软件股份有限公司2021年股票期权激励计划草案摘要公告》（</w:t>
      </w:r>
      <w:r>
        <w:rPr>
          <w:rFonts w:hint="eastAsia"/>
        </w:rPr>
        <w:t>公告编号：</w:t>
      </w:r>
      <w:r>
        <w:t>2021-03</w:t>
      </w:r>
      <w:r>
        <w:rPr>
          <w:rFonts w:hint="eastAsia"/>
        </w:rPr>
        <w:t>6）及《格尔软件股份有限公司</w:t>
      </w:r>
      <w:r>
        <w:t>2021年股票期权激励计划（草案）》</w:t>
      </w:r>
      <w:r>
        <w:rPr>
          <w:rFonts w:hint="eastAsia"/>
        </w:rPr>
        <w:t>（以下简称“《激励计划》”）。</w:t>
      </w:r>
    </w:p>
    <w:p>
      <w:pPr>
        <w:snapToGrid w:val="0"/>
        <w:spacing w:line="360" w:lineRule="auto"/>
        <w:ind w:firstLine="480" w:firstLineChars="200"/>
        <w:jc w:val="both"/>
      </w:pPr>
      <w:r>
        <w:t>2、2021年7月10日至2021年7月20日，公司通过公司官网将本次拟激励对象的名单及职务在公司内部予以公示，公示期满，公司监事会未收到任何对本次拟激励对象提出的异议。</w:t>
      </w:r>
    </w:p>
    <w:p>
      <w:pPr>
        <w:snapToGrid w:val="0"/>
        <w:spacing w:line="360" w:lineRule="auto"/>
        <w:ind w:firstLine="480" w:firstLineChars="200"/>
        <w:jc w:val="both"/>
      </w:pPr>
      <w:r>
        <w:t>3、公司于2021年7月20日召开公司第七届监事会第十四次会议，审议通过了《关于对格尔软件股份有限公司2021年股票期权激励计划激励对象名单的核查意见及公示情况说明的议案》。具体内容请详见公司于2021年7月21日刊登于上海证券交易所网站（www.sse.com.cn）的《格尔软件股份有限公司第七届监事会第十四次会议决议公告》（公告编号：2021-043）及《格尔软件股份有限公司监事会关于对公司2021年股票期权激励计划激励对象名单的核查意见及公示情况说明》。</w:t>
      </w:r>
    </w:p>
    <w:p>
      <w:pPr>
        <w:snapToGrid w:val="0"/>
        <w:spacing w:line="360" w:lineRule="auto"/>
        <w:ind w:firstLine="480" w:firstLineChars="200"/>
        <w:jc w:val="both"/>
      </w:pPr>
      <w:r>
        <w:t>4、公司于2021年7月26日召开公司2021年第一次临时股东大会，审议通过了《关于&lt;格尔软件股份有限公司2021年股票期权激励计划（草案）&gt;及其摘要的议案》、《关于&lt;格尔软件股份有限公司2021年股票期权激励计划实施考核管理办法&gt;的议案》</w:t>
      </w:r>
      <w:r>
        <w:rPr>
          <w:rFonts w:hint="eastAsia"/>
        </w:rPr>
        <w:t>等本激励计划相关事项的议案。具体内容请详见公司于</w:t>
      </w:r>
      <w:r>
        <w:t>2021年7月27日刊登于上海证券交易所网站（www.sse.com.cn）的《格尔软件股份有限公司2021年第一次临时股东大会决议公告》（公告编号：2021-046）。同时，公司就内幕信息知情人在本激励计划草案公开披露前6个月内买卖公司股票的情况进行了自查，未发现利用内幕信息进行股票交易的情形。</w:t>
      </w:r>
    </w:p>
    <w:p>
      <w:pPr>
        <w:snapToGrid w:val="0"/>
        <w:spacing w:line="360" w:lineRule="auto"/>
        <w:ind w:firstLine="480" w:firstLineChars="200"/>
        <w:jc w:val="both"/>
      </w:pPr>
      <w:r>
        <w:t>5、公司于2021年7月28日召开公司第七届董事会第十八次会议、第七届监事会第十五次会议，审议通过了《关于调整公司2021年股票期权激励计划激励对象名单的议案》、《关于向激励对象授予股票期权的议案》，公司独立董事发表了同意意见。</w:t>
      </w:r>
      <w:r>
        <w:rPr>
          <w:rFonts w:hint="eastAsia"/>
        </w:rPr>
        <w:t>本次激励计划的激励对象由</w:t>
      </w:r>
      <w:r>
        <w:t>163名调整为162名，激励对象放弃认购的股票期权由其他激励对象认购，本次激励计划授予的股票期权总数不变。</w:t>
      </w:r>
      <w:r>
        <w:rPr>
          <w:rFonts w:hint="eastAsia"/>
        </w:rPr>
        <w:t>具体内容请详见公司于</w:t>
      </w:r>
      <w:r>
        <w:t>2021年7月30日刊登于上海证券交易所网站（www.sse.com.cn）的《格尔软件股份有限公司第七届董事会第十八次会议决议公告》（公告编号：2021-048）。</w:t>
      </w:r>
    </w:p>
    <w:p>
      <w:pPr>
        <w:snapToGrid w:val="0"/>
        <w:spacing w:line="360" w:lineRule="auto"/>
        <w:ind w:firstLine="480" w:firstLineChars="200"/>
        <w:jc w:val="both"/>
      </w:pPr>
      <w:r>
        <w:t>6、公司于2021年9月2日在中国证券登记结算有限责任公司上海分公司完成了本次激励计划的授予登记工作，实际授予激励对象161人合计股票期权数量698.80万份</w:t>
      </w:r>
      <w:r>
        <w:rPr>
          <w:rFonts w:hint="eastAsia"/>
        </w:rPr>
        <w:t>，实际登记数量与授予数量存在差异系因在确定授予日后的股票期权登记过程中，有</w:t>
      </w:r>
      <w:r>
        <w:t>1名激励对象因个人原因自愿放弃授予其的全部权益，该部分股票期权为1.20万份，按激励计划的相关规定不予登记。</w:t>
      </w:r>
      <w:r>
        <w:rPr>
          <w:rFonts w:hint="eastAsia"/>
        </w:rPr>
        <w:t>具体内容请详见公司于</w:t>
      </w:r>
      <w:r>
        <w:t>2021年9月3日刊登于上海证券交易所网站（www.sse.com.cn）的《格尔软件股份有限公司关于2021年股票期权激励计划授予登记结果的公告》（公告编号：2021-061）。</w:t>
      </w:r>
    </w:p>
    <w:p>
      <w:pPr>
        <w:snapToGrid w:val="0"/>
        <w:spacing w:line="360" w:lineRule="auto"/>
        <w:ind w:firstLine="480" w:firstLineChars="200"/>
        <w:jc w:val="both"/>
      </w:pPr>
      <w:r>
        <w:t>7、公司于2021年12月3日召开第七届董事会第二十二次会议、第七届监事会第十九次会议，审议通过了《关于注销2021年股票期权激励计划授予的部分股票期权的议案》。</w:t>
      </w:r>
      <w:r>
        <w:rPr>
          <w:rFonts w:hint="eastAsia"/>
        </w:rPr>
        <w:t>关联董事均回避表决，公司独立董事发表了同意意见。本次注销完成后，公司激励计划已授予股票期权的激励对象由</w:t>
      </w:r>
      <w:r>
        <w:t>161人调整为160人，已授予但未行权的股票期权由698.80万份调整为696.40万份。</w:t>
      </w:r>
      <w:r>
        <w:rPr>
          <w:rFonts w:hint="eastAsia"/>
        </w:rPr>
        <w:t>具体内容请详见公司于2021年12月4日刊登于上海证券交易所网站（www.sse.com.cn）的《格尔软件股份有限公司关于注销2021年股票期权激励计划授予的部分股票期权的公告》（公告编号：2021-072）。经中国证券登记结算有限责任公司上海分公司审核确认，公司已于2021年12月10日完成了上述股票期权的注销业务，具体内容请详见公司于</w:t>
      </w:r>
      <w:r>
        <w:t>2021年12</w:t>
      </w:r>
      <w:r>
        <w:rPr>
          <w:rFonts w:hint="eastAsia"/>
        </w:rPr>
        <w:t>月</w:t>
      </w:r>
      <w:r>
        <w:t>11</w:t>
      </w:r>
      <w:r>
        <w:rPr>
          <w:rFonts w:hint="eastAsia"/>
        </w:rPr>
        <w:t>日刊登于上海证券交易所网站（</w:t>
      </w:r>
      <w:r>
        <w:t>www.sse.com.cn）的《格尔软件股份有限公司关于部分股票期权注销完成的公告》（公告编号：2021-074）。</w:t>
      </w:r>
    </w:p>
    <w:p>
      <w:pPr>
        <w:snapToGrid w:val="0"/>
        <w:spacing w:line="360" w:lineRule="auto"/>
        <w:ind w:firstLine="480" w:firstLineChars="200"/>
        <w:jc w:val="both"/>
      </w:pPr>
      <w:r>
        <w:t>8、公司于2022年7月15日召开第八届董事会第二次会议和第八届监事会第二会议</w:t>
      </w:r>
      <w:r>
        <w:rPr>
          <w:rFonts w:hint="eastAsia"/>
        </w:rPr>
        <w:t>，</w:t>
      </w:r>
      <w:r>
        <w:t>审议通过了《关于拟注销部分已获授但尚未行权股票期权的议案》《关于调整公司2021年股票期权激励计划股票期权行权价格的议案》《关于2021年股票期权激励计划</w:t>
      </w:r>
      <w:r>
        <w:rPr>
          <w:rFonts w:hint="eastAsia" w:eastAsiaTheme="minorEastAsia"/>
        </w:rPr>
        <w:t>首次授予股票期权</w:t>
      </w:r>
      <w:r>
        <w:rPr>
          <w:rFonts w:hint="eastAsia"/>
        </w:rPr>
        <w:t>第一个行权期行权条件达成的议案》，关联董事回避了相关议案的表决，独立董事对上述事项发表了独立意见。本次注销完成后，公司激励计划已授予股票期权的激励对象人数由</w:t>
      </w:r>
      <w:r>
        <w:t>160人调整为153</w:t>
      </w:r>
      <w:r>
        <w:rPr>
          <w:rFonts w:hint="eastAsia"/>
        </w:rPr>
        <w:t>人，已授予但尚未行权的股票期权数量由</w:t>
      </w:r>
      <w:r>
        <w:t>696.40</w:t>
      </w:r>
      <w:r>
        <w:rPr>
          <w:rFonts w:hint="eastAsia"/>
        </w:rPr>
        <w:t>万份调整为</w:t>
      </w:r>
      <w:r>
        <w:t>654.90</w:t>
      </w:r>
      <w:r>
        <w:rPr>
          <w:rFonts w:hint="eastAsia"/>
        </w:rPr>
        <w:t>万份。本次调整后，公司本次激励计划首次授予股票期权的行权价格由</w:t>
      </w:r>
      <w:r>
        <w:t>13.58元/股调整为13.45元/股。</w:t>
      </w:r>
      <w:r>
        <w:rPr>
          <w:rFonts w:hint="eastAsia"/>
        </w:rPr>
        <w:t>具体内容请详见公司同日刊登于上海证券交易所网站（</w:t>
      </w:r>
      <w:r>
        <w:t>www.sse.com.cn）的《格尔软件股份有限公司关于2021年股票期权激励计划首次授予股票期权第一个行权期行权条件达成的公告》（公告编号：2022-038</w:t>
      </w:r>
      <w:r>
        <w:rPr>
          <w:rFonts w:hint="eastAsia"/>
        </w:rPr>
        <w:t>）等公告。</w:t>
      </w:r>
    </w:p>
    <w:p>
      <w:pPr>
        <w:numPr>
          <w:ilvl w:val="0"/>
          <w:numId w:val="2"/>
        </w:numPr>
        <w:snapToGrid w:val="0"/>
        <w:spacing w:line="360" w:lineRule="auto"/>
        <w:ind w:firstLine="463" w:firstLineChars="192"/>
        <w:jc w:val="both"/>
        <w:rPr>
          <w:rFonts w:eastAsiaTheme="minorEastAsia"/>
          <w:b/>
          <w:bCs/>
          <w:color w:val="000000"/>
        </w:rPr>
      </w:pPr>
      <w:r>
        <w:rPr>
          <w:rFonts w:hint="eastAsia" w:eastAsiaTheme="minorEastAsia"/>
          <w:b/>
          <w:bCs/>
          <w:color w:val="000000"/>
        </w:rPr>
        <w:t>2021年股票期权激励计划行权的基本情况</w:t>
      </w:r>
    </w:p>
    <w:p>
      <w:pPr>
        <w:numPr>
          <w:ilvl w:val="0"/>
          <w:numId w:val="3"/>
        </w:numPr>
        <w:snapToGrid w:val="0"/>
        <w:spacing w:line="360" w:lineRule="auto"/>
        <w:ind w:left="0" w:firstLine="480" w:firstLineChars="200"/>
        <w:jc w:val="both"/>
        <w:rPr>
          <w:rFonts w:eastAsiaTheme="minorEastAsia"/>
          <w:color w:val="000000"/>
        </w:rPr>
      </w:pPr>
      <w:r>
        <w:rPr>
          <w:rFonts w:hint="eastAsia" w:eastAsiaTheme="minorEastAsia"/>
          <w:color w:val="000000"/>
        </w:rPr>
        <w:t>激励对象第一个行权期行权情况：</w:t>
      </w:r>
    </w:p>
    <w:tbl>
      <w:tblPr>
        <w:tblStyle w:val="10"/>
        <w:tblW w:w="60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7"/>
        <w:gridCol w:w="2044"/>
        <w:gridCol w:w="1724"/>
        <w:gridCol w:w="1724"/>
        <w:gridCol w:w="1724"/>
        <w:gridCol w:w="17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7" w:type="pct"/>
            <w:vAlign w:val="center"/>
          </w:tcPr>
          <w:p>
            <w:pPr>
              <w:jc w:val="center"/>
              <w:rPr>
                <w:b/>
                <w:szCs w:val="21"/>
              </w:rPr>
            </w:pPr>
            <w:r>
              <w:rPr>
                <w:b/>
                <w:szCs w:val="21"/>
              </w:rPr>
              <w:t>姓名</w:t>
            </w:r>
          </w:p>
        </w:tc>
        <w:tc>
          <w:tcPr>
            <w:tcW w:w="983" w:type="pct"/>
            <w:vAlign w:val="center"/>
          </w:tcPr>
          <w:p>
            <w:pPr>
              <w:jc w:val="center"/>
              <w:rPr>
                <w:b/>
                <w:szCs w:val="21"/>
              </w:rPr>
            </w:pPr>
            <w:r>
              <w:rPr>
                <w:b/>
                <w:szCs w:val="21"/>
              </w:rPr>
              <w:t>职务</w:t>
            </w:r>
          </w:p>
        </w:tc>
        <w:tc>
          <w:tcPr>
            <w:tcW w:w="830" w:type="pct"/>
            <w:vAlign w:val="center"/>
          </w:tcPr>
          <w:p>
            <w:pPr>
              <w:jc w:val="center"/>
              <w:rPr>
                <w:b/>
                <w:szCs w:val="21"/>
              </w:rPr>
            </w:pPr>
            <w:r>
              <w:rPr>
                <w:rFonts w:hint="eastAsia"/>
                <w:b/>
                <w:szCs w:val="21"/>
              </w:rPr>
              <w:t>可行权的股票期权数量</w:t>
            </w:r>
          </w:p>
          <w:p>
            <w:pPr>
              <w:jc w:val="center"/>
              <w:rPr>
                <w:b/>
                <w:szCs w:val="21"/>
              </w:rPr>
            </w:pPr>
            <w:r>
              <w:rPr>
                <w:rFonts w:hint="eastAsia"/>
                <w:b/>
                <w:szCs w:val="21"/>
              </w:rPr>
              <w:t>（万份）</w:t>
            </w:r>
          </w:p>
        </w:tc>
        <w:tc>
          <w:tcPr>
            <w:tcW w:w="830" w:type="pct"/>
            <w:vAlign w:val="center"/>
          </w:tcPr>
          <w:p>
            <w:pPr>
              <w:jc w:val="center"/>
              <w:rPr>
                <w:b/>
                <w:szCs w:val="21"/>
              </w:rPr>
            </w:pPr>
            <w:r>
              <w:rPr>
                <w:b/>
                <w:szCs w:val="21"/>
              </w:rPr>
              <w:t>2022年第四季度</w:t>
            </w:r>
            <w:r>
              <w:rPr>
                <w:rFonts w:hint="eastAsia"/>
                <w:b/>
                <w:szCs w:val="21"/>
              </w:rPr>
              <w:t>行权数量</w:t>
            </w:r>
          </w:p>
          <w:p>
            <w:pPr>
              <w:jc w:val="center"/>
              <w:rPr>
                <w:b/>
                <w:szCs w:val="21"/>
              </w:rPr>
            </w:pPr>
            <w:r>
              <w:rPr>
                <w:rFonts w:hint="eastAsia"/>
                <w:b/>
                <w:szCs w:val="21"/>
              </w:rPr>
              <w:t>（万份）</w:t>
            </w:r>
          </w:p>
        </w:tc>
        <w:tc>
          <w:tcPr>
            <w:tcW w:w="830" w:type="pct"/>
            <w:vAlign w:val="center"/>
          </w:tcPr>
          <w:p>
            <w:pPr>
              <w:jc w:val="center"/>
              <w:rPr>
                <w:b/>
                <w:szCs w:val="21"/>
              </w:rPr>
            </w:pPr>
            <w:r>
              <w:rPr>
                <w:rFonts w:hint="eastAsia"/>
                <w:b/>
                <w:szCs w:val="21"/>
              </w:rPr>
              <w:t>累计行权总量（万份）</w:t>
            </w:r>
          </w:p>
        </w:tc>
        <w:tc>
          <w:tcPr>
            <w:tcW w:w="830" w:type="pct"/>
            <w:vAlign w:val="center"/>
          </w:tcPr>
          <w:p>
            <w:pPr>
              <w:jc w:val="center"/>
              <w:rPr>
                <w:b/>
                <w:szCs w:val="21"/>
              </w:rPr>
            </w:pPr>
            <w:r>
              <w:rPr>
                <w:rFonts w:hint="eastAsia"/>
                <w:b/>
                <w:szCs w:val="21"/>
              </w:rPr>
              <w:t>累计行权总量占可行权总量的比例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7" w:type="pct"/>
            <w:vAlign w:val="center"/>
          </w:tcPr>
          <w:p>
            <w:pPr>
              <w:jc w:val="center"/>
              <w:rPr>
                <w:szCs w:val="21"/>
              </w:rPr>
            </w:pPr>
            <w:r>
              <w:rPr>
                <w:rFonts w:hint="eastAsia"/>
                <w:szCs w:val="21"/>
              </w:rPr>
              <w:t>叶枫</w:t>
            </w:r>
          </w:p>
        </w:tc>
        <w:tc>
          <w:tcPr>
            <w:tcW w:w="983" w:type="pct"/>
            <w:vAlign w:val="center"/>
          </w:tcPr>
          <w:p>
            <w:pPr>
              <w:jc w:val="center"/>
              <w:rPr>
                <w:szCs w:val="21"/>
              </w:rPr>
            </w:pPr>
            <w:r>
              <w:rPr>
                <w:rFonts w:hint="eastAsia"/>
                <w:szCs w:val="21"/>
              </w:rPr>
              <w:t>董事、总经理</w:t>
            </w:r>
          </w:p>
        </w:tc>
        <w:tc>
          <w:tcPr>
            <w:tcW w:w="830" w:type="pct"/>
            <w:vAlign w:val="center"/>
          </w:tcPr>
          <w:p>
            <w:pPr>
              <w:jc w:val="center"/>
              <w:rPr>
                <w:color w:val="000000"/>
                <w:szCs w:val="21"/>
                <w:lang w:bidi="ar"/>
              </w:rPr>
            </w:pPr>
            <w:r>
              <w:rPr>
                <w:rFonts w:hint="eastAsia"/>
                <w:szCs w:val="21"/>
              </w:rPr>
              <w:t>7.20</w:t>
            </w:r>
          </w:p>
        </w:tc>
        <w:tc>
          <w:tcPr>
            <w:tcW w:w="1724" w:type="dxa"/>
            <w:vAlign w:val="center"/>
          </w:tcPr>
          <w:p>
            <w:pPr>
              <w:jc w:val="center"/>
              <w:textAlignment w:val="center"/>
              <w:rPr>
                <w:szCs w:val="21"/>
              </w:rPr>
            </w:pPr>
            <w:r>
              <w:rPr>
                <w:rFonts w:hint="eastAsia"/>
                <w:szCs w:val="21"/>
              </w:rPr>
              <w:t>0</w:t>
            </w:r>
          </w:p>
        </w:tc>
        <w:tc>
          <w:tcPr>
            <w:tcW w:w="1724" w:type="dxa"/>
            <w:vAlign w:val="center"/>
          </w:tcPr>
          <w:p>
            <w:pPr>
              <w:jc w:val="center"/>
              <w:textAlignment w:val="center"/>
              <w:rPr>
                <w:szCs w:val="21"/>
              </w:rPr>
            </w:pPr>
            <w:r>
              <w:rPr>
                <w:rFonts w:hint="eastAsia"/>
                <w:szCs w:val="21"/>
              </w:rPr>
              <w:t>0</w:t>
            </w:r>
          </w:p>
        </w:tc>
        <w:tc>
          <w:tcPr>
            <w:tcW w:w="1722" w:type="dxa"/>
            <w:vAlign w:val="center"/>
          </w:tcPr>
          <w:p>
            <w:pPr>
              <w:jc w:val="center"/>
              <w:textAlignment w:val="center"/>
              <w:rPr>
                <w:szCs w:val="21"/>
              </w:rPr>
            </w:pPr>
            <w:r>
              <w:rPr>
                <w:rFonts w:hint="eastAsia"/>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7" w:type="pct"/>
            <w:vAlign w:val="center"/>
          </w:tcPr>
          <w:p>
            <w:pPr>
              <w:jc w:val="center"/>
              <w:rPr>
                <w:szCs w:val="21"/>
              </w:rPr>
            </w:pPr>
            <w:r>
              <w:rPr>
                <w:rFonts w:hint="eastAsia"/>
                <w:szCs w:val="21"/>
              </w:rPr>
              <w:t>朱斌</w:t>
            </w:r>
          </w:p>
        </w:tc>
        <w:tc>
          <w:tcPr>
            <w:tcW w:w="983" w:type="pct"/>
            <w:vAlign w:val="center"/>
          </w:tcPr>
          <w:p>
            <w:pPr>
              <w:jc w:val="center"/>
              <w:rPr>
                <w:szCs w:val="21"/>
              </w:rPr>
            </w:pPr>
            <w:r>
              <w:rPr>
                <w:rFonts w:hint="eastAsia"/>
                <w:szCs w:val="21"/>
              </w:rPr>
              <w:t>董事</w:t>
            </w:r>
          </w:p>
        </w:tc>
        <w:tc>
          <w:tcPr>
            <w:tcW w:w="830" w:type="pct"/>
            <w:vAlign w:val="center"/>
          </w:tcPr>
          <w:p>
            <w:pPr>
              <w:jc w:val="center"/>
              <w:rPr>
                <w:color w:val="000000"/>
                <w:szCs w:val="21"/>
                <w:lang w:bidi="ar"/>
              </w:rPr>
            </w:pPr>
            <w:r>
              <w:rPr>
                <w:rFonts w:hint="eastAsia"/>
                <w:szCs w:val="21"/>
              </w:rPr>
              <w:t>9.00</w:t>
            </w:r>
          </w:p>
        </w:tc>
        <w:tc>
          <w:tcPr>
            <w:tcW w:w="1724" w:type="dxa"/>
            <w:vAlign w:val="center"/>
          </w:tcPr>
          <w:p>
            <w:pPr>
              <w:jc w:val="center"/>
              <w:textAlignment w:val="center"/>
              <w:rPr>
                <w:szCs w:val="21"/>
              </w:rPr>
            </w:pPr>
            <w:r>
              <w:rPr>
                <w:rFonts w:hint="eastAsia"/>
                <w:szCs w:val="21"/>
              </w:rPr>
              <w:t>0</w:t>
            </w:r>
          </w:p>
        </w:tc>
        <w:tc>
          <w:tcPr>
            <w:tcW w:w="1724" w:type="dxa"/>
            <w:vAlign w:val="center"/>
          </w:tcPr>
          <w:p>
            <w:pPr>
              <w:jc w:val="center"/>
              <w:textAlignment w:val="center"/>
              <w:rPr>
                <w:szCs w:val="21"/>
              </w:rPr>
            </w:pPr>
            <w:r>
              <w:rPr>
                <w:rFonts w:hint="eastAsia"/>
                <w:szCs w:val="21"/>
              </w:rPr>
              <w:t>0</w:t>
            </w:r>
          </w:p>
        </w:tc>
        <w:tc>
          <w:tcPr>
            <w:tcW w:w="1722" w:type="dxa"/>
            <w:vAlign w:val="center"/>
          </w:tcPr>
          <w:p>
            <w:pPr>
              <w:jc w:val="center"/>
              <w:textAlignment w:val="center"/>
              <w:rPr>
                <w:szCs w:val="21"/>
              </w:rPr>
            </w:pPr>
            <w:r>
              <w:rPr>
                <w:rFonts w:hint="eastAsia"/>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7" w:type="pct"/>
            <w:vAlign w:val="center"/>
          </w:tcPr>
          <w:p>
            <w:pPr>
              <w:jc w:val="center"/>
              <w:rPr>
                <w:szCs w:val="21"/>
              </w:rPr>
            </w:pPr>
            <w:r>
              <w:rPr>
                <w:rFonts w:hint="eastAsia"/>
                <w:szCs w:val="21"/>
              </w:rPr>
              <w:t>朱立通</w:t>
            </w:r>
          </w:p>
        </w:tc>
        <w:tc>
          <w:tcPr>
            <w:tcW w:w="983" w:type="pct"/>
            <w:vAlign w:val="center"/>
          </w:tcPr>
          <w:p>
            <w:pPr>
              <w:jc w:val="center"/>
              <w:rPr>
                <w:szCs w:val="21"/>
              </w:rPr>
            </w:pPr>
            <w:r>
              <w:rPr>
                <w:rFonts w:hint="eastAsia"/>
                <w:szCs w:val="21"/>
              </w:rPr>
              <w:t>董事、副总经理</w:t>
            </w:r>
          </w:p>
        </w:tc>
        <w:tc>
          <w:tcPr>
            <w:tcW w:w="830" w:type="pct"/>
            <w:vAlign w:val="center"/>
          </w:tcPr>
          <w:p>
            <w:pPr>
              <w:jc w:val="center"/>
              <w:rPr>
                <w:color w:val="000000"/>
                <w:szCs w:val="21"/>
                <w:lang w:bidi="ar"/>
              </w:rPr>
            </w:pPr>
            <w:r>
              <w:rPr>
                <w:rFonts w:hint="eastAsia"/>
                <w:szCs w:val="21"/>
              </w:rPr>
              <w:t>9.00</w:t>
            </w:r>
          </w:p>
        </w:tc>
        <w:tc>
          <w:tcPr>
            <w:tcW w:w="1724" w:type="dxa"/>
            <w:vAlign w:val="center"/>
          </w:tcPr>
          <w:p>
            <w:pPr>
              <w:jc w:val="center"/>
              <w:textAlignment w:val="center"/>
              <w:rPr>
                <w:szCs w:val="21"/>
              </w:rPr>
            </w:pPr>
            <w:r>
              <w:rPr>
                <w:rFonts w:hint="eastAsia"/>
                <w:szCs w:val="21"/>
              </w:rPr>
              <w:t>0</w:t>
            </w:r>
          </w:p>
        </w:tc>
        <w:tc>
          <w:tcPr>
            <w:tcW w:w="1724" w:type="dxa"/>
            <w:vAlign w:val="center"/>
          </w:tcPr>
          <w:p>
            <w:pPr>
              <w:jc w:val="center"/>
              <w:textAlignment w:val="center"/>
              <w:rPr>
                <w:szCs w:val="21"/>
              </w:rPr>
            </w:pPr>
            <w:r>
              <w:rPr>
                <w:rFonts w:hint="eastAsia"/>
                <w:szCs w:val="21"/>
              </w:rPr>
              <w:t>0</w:t>
            </w:r>
          </w:p>
        </w:tc>
        <w:tc>
          <w:tcPr>
            <w:tcW w:w="1722" w:type="dxa"/>
            <w:vAlign w:val="center"/>
          </w:tcPr>
          <w:p>
            <w:pPr>
              <w:jc w:val="center"/>
              <w:textAlignment w:val="center"/>
              <w:rPr>
                <w:szCs w:val="21"/>
              </w:rPr>
            </w:pPr>
            <w:r>
              <w:rPr>
                <w:rFonts w:hint="eastAsia"/>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7" w:type="pct"/>
            <w:vAlign w:val="center"/>
          </w:tcPr>
          <w:p>
            <w:pPr>
              <w:jc w:val="center"/>
              <w:rPr>
                <w:szCs w:val="21"/>
              </w:rPr>
            </w:pPr>
            <w:r>
              <w:rPr>
                <w:rFonts w:hint="eastAsia"/>
                <w:szCs w:val="21"/>
              </w:rPr>
              <w:t>李祥明</w:t>
            </w:r>
          </w:p>
        </w:tc>
        <w:tc>
          <w:tcPr>
            <w:tcW w:w="983" w:type="pct"/>
            <w:vAlign w:val="center"/>
          </w:tcPr>
          <w:p>
            <w:pPr>
              <w:jc w:val="center"/>
              <w:rPr>
                <w:szCs w:val="21"/>
              </w:rPr>
            </w:pPr>
            <w:r>
              <w:rPr>
                <w:rFonts w:hint="eastAsia"/>
                <w:szCs w:val="21"/>
              </w:rPr>
              <w:t>副总经理</w:t>
            </w:r>
          </w:p>
        </w:tc>
        <w:tc>
          <w:tcPr>
            <w:tcW w:w="830" w:type="pct"/>
            <w:vAlign w:val="center"/>
          </w:tcPr>
          <w:p>
            <w:pPr>
              <w:jc w:val="center"/>
              <w:rPr>
                <w:color w:val="000000"/>
                <w:szCs w:val="21"/>
                <w:lang w:bidi="ar"/>
              </w:rPr>
            </w:pPr>
            <w:r>
              <w:rPr>
                <w:rFonts w:hint="eastAsia"/>
                <w:szCs w:val="21"/>
              </w:rPr>
              <w:t>4.14</w:t>
            </w:r>
          </w:p>
        </w:tc>
        <w:tc>
          <w:tcPr>
            <w:tcW w:w="1724" w:type="dxa"/>
            <w:vAlign w:val="center"/>
          </w:tcPr>
          <w:p>
            <w:pPr>
              <w:jc w:val="center"/>
              <w:textAlignment w:val="center"/>
              <w:rPr>
                <w:szCs w:val="21"/>
              </w:rPr>
            </w:pPr>
            <w:r>
              <w:rPr>
                <w:rFonts w:hint="eastAsia"/>
                <w:szCs w:val="21"/>
              </w:rPr>
              <w:t>0</w:t>
            </w:r>
          </w:p>
        </w:tc>
        <w:tc>
          <w:tcPr>
            <w:tcW w:w="1724" w:type="dxa"/>
            <w:vAlign w:val="center"/>
          </w:tcPr>
          <w:p>
            <w:pPr>
              <w:jc w:val="center"/>
              <w:textAlignment w:val="center"/>
              <w:rPr>
                <w:szCs w:val="21"/>
              </w:rPr>
            </w:pPr>
            <w:r>
              <w:rPr>
                <w:rFonts w:hint="eastAsia"/>
                <w:szCs w:val="21"/>
              </w:rPr>
              <w:t>0</w:t>
            </w:r>
          </w:p>
        </w:tc>
        <w:tc>
          <w:tcPr>
            <w:tcW w:w="1722" w:type="dxa"/>
            <w:vAlign w:val="center"/>
          </w:tcPr>
          <w:p>
            <w:pPr>
              <w:jc w:val="center"/>
              <w:textAlignment w:val="center"/>
              <w:rPr>
                <w:szCs w:val="21"/>
              </w:rPr>
            </w:pPr>
            <w:r>
              <w:rPr>
                <w:rFonts w:hint="eastAsia"/>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7" w:type="pct"/>
            <w:vAlign w:val="center"/>
          </w:tcPr>
          <w:p>
            <w:pPr>
              <w:jc w:val="center"/>
              <w:rPr>
                <w:szCs w:val="21"/>
              </w:rPr>
            </w:pPr>
            <w:r>
              <w:rPr>
                <w:rFonts w:hint="eastAsia"/>
                <w:szCs w:val="21"/>
              </w:rPr>
              <w:t>范峰</w:t>
            </w:r>
          </w:p>
        </w:tc>
        <w:tc>
          <w:tcPr>
            <w:tcW w:w="983" w:type="pct"/>
            <w:vAlign w:val="center"/>
          </w:tcPr>
          <w:p>
            <w:pPr>
              <w:jc w:val="center"/>
              <w:rPr>
                <w:szCs w:val="21"/>
              </w:rPr>
            </w:pPr>
            <w:r>
              <w:rPr>
                <w:rFonts w:hint="eastAsia"/>
                <w:szCs w:val="21"/>
              </w:rPr>
              <w:t>副总经理</w:t>
            </w:r>
          </w:p>
        </w:tc>
        <w:tc>
          <w:tcPr>
            <w:tcW w:w="830" w:type="pct"/>
            <w:vAlign w:val="center"/>
          </w:tcPr>
          <w:p>
            <w:pPr>
              <w:jc w:val="center"/>
              <w:rPr>
                <w:color w:val="000000"/>
                <w:szCs w:val="21"/>
                <w:lang w:bidi="ar"/>
              </w:rPr>
            </w:pPr>
            <w:r>
              <w:rPr>
                <w:rFonts w:hint="eastAsia"/>
                <w:szCs w:val="21"/>
              </w:rPr>
              <w:t>2.52</w:t>
            </w:r>
          </w:p>
        </w:tc>
        <w:tc>
          <w:tcPr>
            <w:tcW w:w="1724" w:type="dxa"/>
            <w:vAlign w:val="center"/>
          </w:tcPr>
          <w:p>
            <w:pPr>
              <w:jc w:val="center"/>
              <w:textAlignment w:val="center"/>
              <w:rPr>
                <w:szCs w:val="21"/>
              </w:rPr>
            </w:pPr>
            <w:r>
              <w:rPr>
                <w:rFonts w:hint="eastAsia"/>
                <w:szCs w:val="21"/>
              </w:rPr>
              <w:t>0</w:t>
            </w:r>
          </w:p>
        </w:tc>
        <w:tc>
          <w:tcPr>
            <w:tcW w:w="1724" w:type="dxa"/>
            <w:vAlign w:val="center"/>
          </w:tcPr>
          <w:p>
            <w:pPr>
              <w:jc w:val="center"/>
              <w:textAlignment w:val="center"/>
              <w:rPr>
                <w:szCs w:val="21"/>
              </w:rPr>
            </w:pPr>
            <w:r>
              <w:rPr>
                <w:rFonts w:hint="eastAsia"/>
                <w:szCs w:val="21"/>
              </w:rPr>
              <w:t>0</w:t>
            </w:r>
          </w:p>
        </w:tc>
        <w:tc>
          <w:tcPr>
            <w:tcW w:w="1722" w:type="dxa"/>
            <w:vAlign w:val="center"/>
          </w:tcPr>
          <w:p>
            <w:pPr>
              <w:jc w:val="center"/>
              <w:textAlignment w:val="center"/>
              <w:rPr>
                <w:szCs w:val="21"/>
              </w:rPr>
            </w:pPr>
            <w:r>
              <w:rPr>
                <w:rFonts w:hint="eastAsia"/>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697" w:type="pct"/>
            <w:vAlign w:val="center"/>
          </w:tcPr>
          <w:p>
            <w:pPr>
              <w:jc w:val="center"/>
              <w:rPr>
                <w:szCs w:val="21"/>
              </w:rPr>
            </w:pPr>
            <w:r>
              <w:rPr>
                <w:rFonts w:hint="eastAsia"/>
                <w:szCs w:val="21"/>
              </w:rPr>
              <w:t>卫杰</w:t>
            </w:r>
          </w:p>
        </w:tc>
        <w:tc>
          <w:tcPr>
            <w:tcW w:w="983" w:type="pct"/>
            <w:vAlign w:val="center"/>
          </w:tcPr>
          <w:p>
            <w:pPr>
              <w:jc w:val="center"/>
              <w:rPr>
                <w:szCs w:val="21"/>
              </w:rPr>
            </w:pPr>
            <w:r>
              <w:rPr>
                <w:rFonts w:hint="eastAsia"/>
                <w:szCs w:val="21"/>
              </w:rPr>
              <w:t>副总经理</w:t>
            </w:r>
          </w:p>
        </w:tc>
        <w:tc>
          <w:tcPr>
            <w:tcW w:w="830" w:type="pct"/>
            <w:vAlign w:val="center"/>
          </w:tcPr>
          <w:p>
            <w:pPr>
              <w:jc w:val="center"/>
              <w:rPr>
                <w:color w:val="000000"/>
                <w:szCs w:val="21"/>
                <w:lang w:bidi="ar"/>
              </w:rPr>
            </w:pPr>
            <w:r>
              <w:rPr>
                <w:rFonts w:hint="eastAsia"/>
                <w:szCs w:val="21"/>
              </w:rPr>
              <w:t>2.16</w:t>
            </w:r>
          </w:p>
        </w:tc>
        <w:tc>
          <w:tcPr>
            <w:tcW w:w="1724" w:type="dxa"/>
            <w:vAlign w:val="center"/>
          </w:tcPr>
          <w:p>
            <w:pPr>
              <w:jc w:val="center"/>
              <w:textAlignment w:val="center"/>
              <w:rPr>
                <w:szCs w:val="21"/>
              </w:rPr>
            </w:pPr>
            <w:r>
              <w:rPr>
                <w:rFonts w:hint="eastAsia"/>
                <w:szCs w:val="21"/>
              </w:rPr>
              <w:t>0</w:t>
            </w:r>
          </w:p>
        </w:tc>
        <w:tc>
          <w:tcPr>
            <w:tcW w:w="1724" w:type="dxa"/>
            <w:vAlign w:val="center"/>
          </w:tcPr>
          <w:p>
            <w:pPr>
              <w:jc w:val="center"/>
              <w:textAlignment w:val="center"/>
              <w:rPr>
                <w:szCs w:val="21"/>
              </w:rPr>
            </w:pPr>
            <w:r>
              <w:rPr>
                <w:rFonts w:hint="eastAsia"/>
                <w:szCs w:val="21"/>
              </w:rPr>
              <w:t>0</w:t>
            </w:r>
          </w:p>
        </w:tc>
        <w:tc>
          <w:tcPr>
            <w:tcW w:w="1722" w:type="dxa"/>
            <w:vAlign w:val="center"/>
          </w:tcPr>
          <w:p>
            <w:pPr>
              <w:jc w:val="center"/>
              <w:textAlignment w:val="center"/>
              <w:rPr>
                <w:szCs w:val="21"/>
              </w:rPr>
            </w:pPr>
            <w:r>
              <w:rPr>
                <w:rFonts w:hint="eastAsia"/>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681" w:type="pct"/>
            <w:gridSpan w:val="2"/>
            <w:vAlign w:val="center"/>
          </w:tcPr>
          <w:p>
            <w:pPr>
              <w:jc w:val="center"/>
              <w:rPr>
                <w:szCs w:val="21"/>
              </w:rPr>
            </w:pPr>
            <w:r>
              <w:rPr>
                <w:rFonts w:hint="eastAsia"/>
                <w:szCs w:val="21"/>
              </w:rPr>
              <w:t>核心业务（技术）人员</w:t>
            </w:r>
            <w:r>
              <w:rPr>
                <w:szCs w:val="21"/>
              </w:rPr>
              <w:t>/</w:t>
            </w:r>
            <w:r>
              <w:rPr>
                <w:rFonts w:hint="eastAsia"/>
                <w:szCs w:val="21"/>
              </w:rPr>
              <w:t>管理人员（</w:t>
            </w:r>
            <w:r>
              <w:rPr>
                <w:szCs w:val="21"/>
              </w:rPr>
              <w:t>1</w:t>
            </w:r>
            <w:r>
              <w:rPr>
                <w:rFonts w:hint="eastAsia"/>
                <w:szCs w:val="21"/>
              </w:rPr>
              <w:t>47人）</w:t>
            </w:r>
          </w:p>
        </w:tc>
        <w:tc>
          <w:tcPr>
            <w:tcW w:w="830" w:type="pct"/>
            <w:vAlign w:val="center"/>
          </w:tcPr>
          <w:p>
            <w:pPr>
              <w:jc w:val="center"/>
              <w:textAlignment w:val="center"/>
              <w:rPr>
                <w:color w:val="000000"/>
                <w:szCs w:val="21"/>
                <w:highlight w:val="yellow"/>
                <w:lang w:bidi="ar"/>
              </w:rPr>
            </w:pPr>
            <w:r>
              <w:rPr>
                <w:rFonts w:hint="eastAsia"/>
                <w:color w:val="000000"/>
                <w:szCs w:val="21"/>
                <w:lang w:bidi="ar"/>
              </w:rPr>
              <w:t>162.45</w:t>
            </w:r>
          </w:p>
        </w:tc>
        <w:tc>
          <w:tcPr>
            <w:tcW w:w="830" w:type="pct"/>
            <w:vAlign w:val="center"/>
          </w:tcPr>
          <w:p>
            <w:pPr>
              <w:jc w:val="center"/>
              <w:textAlignment w:val="center"/>
              <w:rPr>
                <w:szCs w:val="21"/>
              </w:rPr>
            </w:pPr>
            <w:r>
              <w:rPr>
                <w:rFonts w:hint="eastAsia"/>
                <w:szCs w:val="21"/>
              </w:rPr>
              <w:t>106.83</w:t>
            </w:r>
          </w:p>
        </w:tc>
        <w:tc>
          <w:tcPr>
            <w:tcW w:w="830" w:type="pct"/>
            <w:vAlign w:val="center"/>
          </w:tcPr>
          <w:p>
            <w:pPr>
              <w:jc w:val="center"/>
              <w:textAlignment w:val="center"/>
              <w:rPr>
                <w:color w:val="000000"/>
                <w:szCs w:val="21"/>
              </w:rPr>
            </w:pPr>
            <w:r>
              <w:rPr>
                <w:rFonts w:hint="eastAsia"/>
                <w:szCs w:val="21"/>
              </w:rPr>
              <w:t>106.83</w:t>
            </w:r>
          </w:p>
        </w:tc>
        <w:tc>
          <w:tcPr>
            <w:tcW w:w="830" w:type="pct"/>
            <w:vAlign w:val="center"/>
          </w:tcPr>
          <w:p>
            <w:pPr>
              <w:jc w:val="center"/>
              <w:textAlignment w:val="center"/>
              <w:rPr>
                <w:color w:val="000000"/>
                <w:szCs w:val="21"/>
              </w:rPr>
            </w:pPr>
            <w:r>
              <w:rPr>
                <w:color w:val="000000"/>
                <w:szCs w:val="21"/>
              </w:rPr>
              <w:t>65.76%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1681" w:type="pct"/>
            <w:gridSpan w:val="2"/>
            <w:vAlign w:val="center"/>
          </w:tcPr>
          <w:p>
            <w:pPr>
              <w:jc w:val="center"/>
              <w:rPr>
                <w:b/>
                <w:szCs w:val="21"/>
              </w:rPr>
            </w:pPr>
            <w:r>
              <w:rPr>
                <w:rFonts w:hint="eastAsia"/>
                <w:b/>
                <w:szCs w:val="21"/>
              </w:rPr>
              <w:t>合计</w:t>
            </w:r>
          </w:p>
        </w:tc>
        <w:tc>
          <w:tcPr>
            <w:tcW w:w="830" w:type="pct"/>
            <w:vAlign w:val="center"/>
          </w:tcPr>
          <w:p>
            <w:pPr>
              <w:jc w:val="center"/>
              <w:rPr>
                <w:b/>
                <w:szCs w:val="21"/>
                <w:highlight w:val="yellow"/>
              </w:rPr>
            </w:pPr>
            <w:r>
              <w:rPr>
                <w:rFonts w:hint="eastAsia"/>
                <w:b/>
                <w:szCs w:val="21"/>
              </w:rPr>
              <w:t>196.47</w:t>
            </w:r>
          </w:p>
        </w:tc>
        <w:tc>
          <w:tcPr>
            <w:tcW w:w="830" w:type="pct"/>
            <w:vAlign w:val="center"/>
          </w:tcPr>
          <w:p>
            <w:pPr>
              <w:jc w:val="center"/>
              <w:textAlignment w:val="center"/>
              <w:rPr>
                <w:b/>
                <w:bCs/>
                <w:szCs w:val="21"/>
              </w:rPr>
            </w:pPr>
            <w:r>
              <w:rPr>
                <w:rFonts w:hint="eastAsia"/>
                <w:b/>
                <w:bCs/>
                <w:szCs w:val="21"/>
              </w:rPr>
              <w:t>106.83</w:t>
            </w:r>
          </w:p>
        </w:tc>
        <w:tc>
          <w:tcPr>
            <w:tcW w:w="830" w:type="pct"/>
            <w:vAlign w:val="center"/>
          </w:tcPr>
          <w:p>
            <w:pPr>
              <w:jc w:val="center"/>
              <w:textAlignment w:val="center"/>
              <w:rPr>
                <w:b/>
                <w:bCs/>
                <w:color w:val="000000"/>
                <w:szCs w:val="21"/>
              </w:rPr>
            </w:pPr>
            <w:r>
              <w:rPr>
                <w:rFonts w:hint="eastAsia"/>
                <w:b/>
                <w:bCs/>
                <w:color w:val="000000"/>
                <w:szCs w:val="21"/>
              </w:rPr>
              <w:t>106.83</w:t>
            </w:r>
          </w:p>
        </w:tc>
        <w:tc>
          <w:tcPr>
            <w:tcW w:w="830" w:type="pct"/>
            <w:vAlign w:val="center"/>
          </w:tcPr>
          <w:p>
            <w:pPr>
              <w:jc w:val="center"/>
              <w:textAlignment w:val="center"/>
              <w:rPr>
                <w:b/>
                <w:bCs/>
                <w:color w:val="000000"/>
                <w:szCs w:val="21"/>
              </w:rPr>
            </w:pPr>
            <w:r>
              <w:rPr>
                <w:rFonts w:hint="eastAsia"/>
                <w:b/>
                <w:bCs/>
                <w:color w:val="000000"/>
                <w:szCs w:val="21"/>
              </w:rPr>
              <w:t>54.37%</w:t>
            </w:r>
          </w:p>
        </w:tc>
      </w:tr>
    </w:tbl>
    <w:p>
      <w:pPr>
        <w:adjustRightInd w:val="0"/>
        <w:snapToGrid w:val="0"/>
        <w:spacing w:line="360" w:lineRule="auto"/>
        <w:ind w:firstLine="420" w:firstLineChars="200"/>
        <w:jc w:val="both"/>
        <w:rPr>
          <w:rFonts w:eastAsiaTheme="minorEastAsia"/>
        </w:rPr>
      </w:pPr>
      <w:r>
        <w:rPr>
          <w:rFonts w:hint="eastAsia"/>
          <w:color w:val="000000"/>
          <w:sz w:val="21"/>
          <w:szCs w:val="21"/>
        </w:rPr>
        <w:t>注：由于自主行权方式，行权所得股票需在行权日（</w:t>
      </w:r>
      <w:r>
        <w:rPr>
          <w:color w:val="000000"/>
          <w:sz w:val="21"/>
          <w:szCs w:val="21"/>
        </w:rPr>
        <w:t>T</w:t>
      </w:r>
      <w:r>
        <w:rPr>
          <w:rFonts w:hint="eastAsia"/>
          <w:color w:val="000000"/>
          <w:sz w:val="21"/>
          <w:szCs w:val="21"/>
        </w:rPr>
        <w:t>日）后的第二个交易日（</w:t>
      </w:r>
      <w:r>
        <w:rPr>
          <w:color w:val="000000"/>
          <w:sz w:val="21"/>
          <w:szCs w:val="21"/>
        </w:rPr>
        <w:t>T+2</w:t>
      </w:r>
      <w:r>
        <w:rPr>
          <w:rFonts w:hint="eastAsia"/>
          <w:color w:val="000000"/>
          <w:sz w:val="21"/>
          <w:szCs w:val="21"/>
        </w:rPr>
        <w:t>日）上市交易，以上行权数据为截止</w:t>
      </w:r>
      <w:r>
        <w:rPr>
          <w:color w:val="000000"/>
          <w:sz w:val="21"/>
          <w:szCs w:val="21"/>
        </w:rPr>
        <w:t>2022</w:t>
      </w:r>
      <w:r>
        <w:rPr>
          <w:rFonts w:hint="eastAsia"/>
          <w:color w:val="000000"/>
          <w:sz w:val="21"/>
          <w:szCs w:val="21"/>
        </w:rPr>
        <w:t>年</w:t>
      </w:r>
      <w:r>
        <w:rPr>
          <w:color w:val="000000"/>
          <w:sz w:val="21"/>
          <w:szCs w:val="21"/>
        </w:rPr>
        <w:t>12</w:t>
      </w:r>
      <w:r>
        <w:rPr>
          <w:rFonts w:hint="eastAsia"/>
          <w:color w:val="000000"/>
          <w:sz w:val="21"/>
          <w:szCs w:val="21"/>
        </w:rPr>
        <w:t>月</w:t>
      </w:r>
      <w:r>
        <w:rPr>
          <w:color w:val="000000"/>
          <w:sz w:val="21"/>
          <w:szCs w:val="21"/>
        </w:rPr>
        <w:t>31</w:t>
      </w:r>
      <w:r>
        <w:rPr>
          <w:rFonts w:hint="eastAsia"/>
          <w:color w:val="000000"/>
          <w:sz w:val="21"/>
          <w:szCs w:val="21"/>
        </w:rPr>
        <w:t>日已在中国证券登记结算有限公司上海分公司登记的数据。</w:t>
      </w:r>
    </w:p>
    <w:p>
      <w:pPr>
        <w:numPr>
          <w:ilvl w:val="0"/>
          <w:numId w:val="3"/>
        </w:numPr>
        <w:snapToGrid w:val="0"/>
        <w:spacing w:line="360" w:lineRule="auto"/>
        <w:ind w:left="0" w:firstLine="480" w:firstLineChars="200"/>
        <w:jc w:val="both"/>
        <w:rPr>
          <w:color w:val="000000"/>
        </w:rPr>
      </w:pPr>
      <w:r>
        <w:rPr>
          <w:rFonts w:hint="eastAsia" w:eastAsiaTheme="minorEastAsia"/>
          <w:color w:val="000000"/>
        </w:rPr>
        <w:t>本次行权股票来源情况：</w:t>
      </w:r>
      <w:r>
        <w:rPr>
          <w:color w:val="000000"/>
        </w:rPr>
        <w:t>公司向激励对象定向发行的本公司人民币A</w:t>
      </w:r>
      <w:r>
        <w:rPr>
          <w:rFonts w:hint="eastAsia"/>
          <w:color w:val="000000"/>
        </w:rPr>
        <w:t>股普通股股票。</w:t>
      </w:r>
    </w:p>
    <w:p>
      <w:pPr>
        <w:numPr>
          <w:ilvl w:val="0"/>
          <w:numId w:val="3"/>
        </w:numPr>
        <w:snapToGrid w:val="0"/>
        <w:spacing w:line="360" w:lineRule="auto"/>
        <w:ind w:left="0" w:firstLine="480" w:firstLineChars="200"/>
        <w:jc w:val="both"/>
        <w:rPr>
          <w:rFonts w:eastAsiaTheme="minorEastAsia"/>
        </w:rPr>
      </w:pPr>
      <w:r>
        <w:rPr>
          <w:rFonts w:hint="eastAsia" w:eastAsiaTheme="minorEastAsia"/>
          <w:color w:val="000000"/>
        </w:rPr>
        <w:t>行权人数：第一个行权期</w:t>
      </w:r>
      <w:r>
        <w:rPr>
          <w:rFonts w:hint="eastAsia" w:eastAsiaTheme="minorEastAsia"/>
        </w:rPr>
        <w:t>共有</w:t>
      </w:r>
      <w:r>
        <w:rPr>
          <w:rFonts w:eastAsiaTheme="minorEastAsia"/>
        </w:rPr>
        <w:t>153</w:t>
      </w:r>
      <w:r>
        <w:rPr>
          <w:rFonts w:hint="eastAsia" w:eastAsiaTheme="minorEastAsia"/>
        </w:rPr>
        <w:t>名激励对象符合行权条件，2</w:t>
      </w:r>
      <w:r>
        <w:rPr>
          <w:rFonts w:eastAsiaTheme="minorEastAsia"/>
        </w:rPr>
        <w:t>022</w:t>
      </w:r>
      <w:r>
        <w:rPr>
          <w:rFonts w:hint="eastAsia" w:eastAsiaTheme="minorEastAsia"/>
        </w:rPr>
        <w:t>年第四季度，公司共83名激励对象参与行权。</w:t>
      </w:r>
    </w:p>
    <w:p>
      <w:pPr>
        <w:numPr>
          <w:ilvl w:val="0"/>
          <w:numId w:val="3"/>
        </w:numPr>
        <w:snapToGrid w:val="0"/>
        <w:spacing w:line="360" w:lineRule="auto"/>
        <w:ind w:left="0" w:firstLine="480" w:firstLineChars="200"/>
        <w:jc w:val="both"/>
        <w:rPr>
          <w:rFonts w:eastAsiaTheme="minorEastAsia"/>
          <w:color w:val="000000"/>
        </w:rPr>
      </w:pPr>
      <w:r>
        <w:rPr>
          <w:rFonts w:hint="eastAsia" w:eastAsiaTheme="minorEastAsia"/>
          <w:color w:val="000000"/>
        </w:rPr>
        <w:t>行权价格：13.45元/股。</w:t>
      </w:r>
    </w:p>
    <w:p>
      <w:pPr>
        <w:autoSpaceDE w:val="0"/>
        <w:autoSpaceDN w:val="0"/>
        <w:adjustRightInd w:val="0"/>
        <w:snapToGrid w:val="0"/>
        <w:spacing w:line="360" w:lineRule="auto"/>
        <w:ind w:firstLine="504" w:firstLineChars="210"/>
        <w:jc w:val="both"/>
        <w:rPr>
          <w:rFonts w:eastAsiaTheme="minorEastAsia"/>
        </w:rPr>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三、2021年股票期权激励计划行权股票的上市流通安排及股本结构变动情况</w:t>
      </w:r>
    </w:p>
    <w:p>
      <w:pPr>
        <w:numPr>
          <w:ilvl w:val="0"/>
          <w:numId w:val="4"/>
        </w:numPr>
        <w:tabs>
          <w:tab w:val="left" w:pos="1260"/>
        </w:tabs>
        <w:adjustRightInd w:val="0"/>
        <w:snapToGrid w:val="0"/>
        <w:spacing w:line="360" w:lineRule="auto"/>
        <w:ind w:firstLine="480" w:firstLineChars="200"/>
        <w:jc w:val="both"/>
        <w:outlineLvl w:val="0"/>
        <w:rPr>
          <w:rFonts w:eastAsiaTheme="minorEastAsia"/>
          <w:bCs/>
        </w:rPr>
      </w:pPr>
      <w:r>
        <w:rPr>
          <w:rFonts w:hint="eastAsia" w:eastAsiaTheme="minorEastAsia"/>
          <w:bCs/>
        </w:rPr>
        <w:t>本次行权股票的上市流通日</w:t>
      </w:r>
    </w:p>
    <w:p>
      <w:pPr>
        <w:tabs>
          <w:tab w:val="left" w:pos="1260"/>
        </w:tabs>
        <w:adjustRightInd w:val="0"/>
        <w:snapToGrid w:val="0"/>
        <w:spacing w:line="360" w:lineRule="auto"/>
        <w:ind w:firstLine="480" w:firstLineChars="200"/>
        <w:jc w:val="both"/>
        <w:outlineLvl w:val="0"/>
        <w:rPr>
          <w:rFonts w:eastAsiaTheme="minorEastAsia"/>
          <w:bCs/>
        </w:rPr>
      </w:pPr>
      <w:r>
        <w:rPr>
          <w:rFonts w:hint="eastAsia" w:eastAsiaTheme="minorEastAsia"/>
          <w:bCs/>
        </w:rPr>
        <w:t>公司股票期权激励计划首次授予期权第一个行权期采用自主行权模式行权，激励对象行权所得股票于行权日（T日）后的第二个交易日（T+2）日上市交易。</w:t>
      </w:r>
    </w:p>
    <w:p>
      <w:pPr>
        <w:numPr>
          <w:ilvl w:val="0"/>
          <w:numId w:val="4"/>
        </w:numPr>
        <w:tabs>
          <w:tab w:val="left" w:pos="1260"/>
        </w:tabs>
        <w:adjustRightInd w:val="0"/>
        <w:snapToGrid w:val="0"/>
        <w:spacing w:line="360" w:lineRule="auto"/>
        <w:ind w:firstLine="480" w:firstLineChars="200"/>
        <w:jc w:val="both"/>
        <w:outlineLvl w:val="0"/>
        <w:rPr>
          <w:rFonts w:eastAsiaTheme="minorEastAsia"/>
          <w:bCs/>
        </w:rPr>
      </w:pPr>
      <w:r>
        <w:rPr>
          <w:rFonts w:hint="eastAsia" w:eastAsiaTheme="minorEastAsia"/>
          <w:bCs/>
        </w:rPr>
        <w:t>本次行权股票的上市流通数量</w:t>
      </w:r>
    </w:p>
    <w:p>
      <w:pPr>
        <w:tabs>
          <w:tab w:val="left" w:pos="1260"/>
        </w:tabs>
        <w:adjustRightInd w:val="0"/>
        <w:snapToGrid w:val="0"/>
        <w:spacing w:line="360" w:lineRule="auto"/>
        <w:ind w:firstLine="480" w:firstLineChars="200"/>
        <w:jc w:val="both"/>
        <w:outlineLvl w:val="0"/>
        <w:rPr>
          <w:rFonts w:eastAsiaTheme="minorEastAsia"/>
          <w:bCs/>
        </w:rPr>
      </w:pPr>
      <w:bookmarkStart w:id="0" w:name="_Hlk122611849"/>
      <w:r>
        <w:rPr>
          <w:rFonts w:hint="eastAsia" w:eastAsiaTheme="minorEastAsia"/>
          <w:bCs/>
        </w:rPr>
        <w:t>2022年10</w:t>
      </w:r>
      <w:r>
        <w:rPr>
          <w:rFonts w:eastAsiaTheme="minorEastAsia"/>
          <w:bCs/>
        </w:rPr>
        <w:t>月</w:t>
      </w:r>
      <w:r>
        <w:rPr>
          <w:rFonts w:hint="eastAsia" w:eastAsiaTheme="minorEastAsia"/>
          <w:bCs/>
        </w:rPr>
        <w:t>1日至2022年12月31日</w:t>
      </w:r>
      <w:bookmarkEnd w:id="0"/>
      <w:r>
        <w:rPr>
          <w:rFonts w:hint="eastAsia" w:eastAsiaTheme="minorEastAsia"/>
          <w:bCs/>
        </w:rPr>
        <w:t>，新增行权股票的上市流通数量为1,068,295股，本次行权新增股份均为无限售条件流通股。</w:t>
      </w:r>
    </w:p>
    <w:p>
      <w:pPr>
        <w:numPr>
          <w:ilvl w:val="0"/>
          <w:numId w:val="4"/>
        </w:numPr>
        <w:tabs>
          <w:tab w:val="left" w:pos="1260"/>
        </w:tabs>
        <w:adjustRightInd w:val="0"/>
        <w:snapToGrid w:val="0"/>
        <w:spacing w:line="360" w:lineRule="auto"/>
        <w:ind w:firstLine="480" w:firstLineChars="200"/>
        <w:jc w:val="both"/>
        <w:outlineLvl w:val="0"/>
        <w:rPr>
          <w:rFonts w:eastAsiaTheme="minorEastAsia"/>
          <w:bCs/>
        </w:rPr>
      </w:pPr>
      <w:r>
        <w:rPr>
          <w:rFonts w:hint="eastAsia" w:eastAsiaTheme="minorEastAsia"/>
          <w:bCs/>
        </w:rPr>
        <w:t>董事、高级管理人员行权新增股份转让限制情况</w:t>
      </w:r>
    </w:p>
    <w:p>
      <w:pPr>
        <w:autoSpaceDE w:val="0"/>
        <w:autoSpaceDN w:val="0"/>
        <w:adjustRightInd w:val="0"/>
        <w:snapToGrid w:val="0"/>
        <w:spacing w:line="360" w:lineRule="auto"/>
        <w:ind w:firstLine="480" w:firstLineChars="200"/>
        <w:jc w:val="both"/>
        <w:rPr>
          <w:rFonts w:eastAsiaTheme="minorEastAsia"/>
          <w:bCs/>
        </w:rPr>
      </w:pPr>
      <w:r>
        <w:rPr>
          <w:rFonts w:hint="eastAsia" w:eastAsiaTheme="minorEastAsia"/>
          <w:bCs/>
        </w:rPr>
        <w:t>激励对象为公司董事、高级管理人员的，行权股票的锁定和转让限制应遵守《中华人民共和国公司法》《中华人民共和国证券法》及中国证券监督管理委员会、上海证券交易所关于上市公司董事、高级管理人员持有本公司股份及其变动管理的相关规定。截至2022年12月31日，公司2021年股票期权激励计划首次授予部分票期权第一个行权期暂无董事、高级管理人员参与行权。</w:t>
      </w:r>
    </w:p>
    <w:p>
      <w:pPr>
        <w:numPr>
          <w:ilvl w:val="0"/>
          <w:numId w:val="4"/>
        </w:numPr>
        <w:tabs>
          <w:tab w:val="left" w:pos="1260"/>
        </w:tabs>
        <w:adjustRightInd w:val="0"/>
        <w:snapToGrid w:val="0"/>
        <w:spacing w:line="360" w:lineRule="auto"/>
        <w:ind w:firstLine="480" w:firstLineChars="200"/>
        <w:jc w:val="both"/>
        <w:outlineLvl w:val="0"/>
        <w:rPr>
          <w:rFonts w:eastAsiaTheme="minorEastAsia"/>
          <w:bCs/>
        </w:rPr>
      </w:pPr>
      <w:r>
        <w:rPr>
          <w:rFonts w:hint="eastAsia" w:eastAsiaTheme="minorEastAsia"/>
          <w:bCs/>
        </w:rPr>
        <w:t>本次股本结构变动情况</w:t>
      </w:r>
    </w:p>
    <w:p>
      <w:pPr>
        <w:tabs>
          <w:tab w:val="left" w:pos="1260"/>
        </w:tabs>
        <w:adjustRightInd w:val="0"/>
        <w:snapToGrid w:val="0"/>
        <w:spacing w:line="360" w:lineRule="auto"/>
        <w:ind w:left="480"/>
        <w:jc w:val="right"/>
        <w:outlineLvl w:val="0"/>
        <w:rPr>
          <w:rFonts w:eastAsiaTheme="minorEastAsia"/>
          <w:bCs/>
        </w:rPr>
      </w:pPr>
      <w:r>
        <w:rPr>
          <w:rFonts w:hint="eastAsia" w:eastAsiaTheme="minorEastAsia"/>
          <w:bCs/>
        </w:rPr>
        <w:t>单位：股</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8"/>
        <w:gridCol w:w="1963"/>
        <w:gridCol w:w="1964"/>
        <w:gridCol w:w="19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542" w:type="pct"/>
            <w:vAlign w:val="center"/>
          </w:tcPr>
          <w:p>
            <w:pPr>
              <w:widowControl w:val="0"/>
              <w:autoSpaceDE w:val="0"/>
              <w:autoSpaceDN w:val="0"/>
              <w:adjustRightInd w:val="0"/>
              <w:snapToGrid w:val="0"/>
              <w:spacing w:line="360" w:lineRule="auto"/>
              <w:jc w:val="center"/>
              <w:rPr>
                <w:b/>
                <w:bCs/>
              </w:rPr>
            </w:pPr>
            <w:r>
              <w:rPr>
                <w:rFonts w:hint="eastAsia"/>
                <w:b/>
                <w:bCs/>
              </w:rPr>
              <w:t>类别</w:t>
            </w:r>
          </w:p>
        </w:tc>
        <w:tc>
          <w:tcPr>
            <w:tcW w:w="1152" w:type="pct"/>
            <w:vAlign w:val="center"/>
          </w:tcPr>
          <w:p>
            <w:pPr>
              <w:widowControl w:val="0"/>
              <w:autoSpaceDE w:val="0"/>
              <w:autoSpaceDN w:val="0"/>
              <w:adjustRightInd w:val="0"/>
              <w:snapToGrid w:val="0"/>
              <w:spacing w:line="360" w:lineRule="auto"/>
              <w:jc w:val="center"/>
              <w:rPr>
                <w:b/>
                <w:bCs/>
              </w:rPr>
            </w:pPr>
            <w:r>
              <w:rPr>
                <w:rFonts w:ascii="sans-serif" w:hAnsi="sans-serif" w:eastAsia="sans-serif" w:cs="sans-serif"/>
                <w:b/>
                <w:bCs/>
                <w:sz w:val="26"/>
                <w:szCs w:val="26"/>
                <w:shd w:val="clear" w:color="auto" w:fill="FFFFFF"/>
              </w:rPr>
              <w:t>本次变动前</w:t>
            </w:r>
          </w:p>
        </w:tc>
        <w:tc>
          <w:tcPr>
            <w:tcW w:w="1152" w:type="pct"/>
            <w:vAlign w:val="center"/>
          </w:tcPr>
          <w:p>
            <w:pPr>
              <w:widowControl w:val="0"/>
              <w:autoSpaceDE w:val="0"/>
              <w:autoSpaceDN w:val="0"/>
              <w:adjustRightInd w:val="0"/>
              <w:snapToGrid w:val="0"/>
              <w:spacing w:line="360" w:lineRule="auto"/>
              <w:jc w:val="center"/>
              <w:rPr>
                <w:b/>
                <w:bCs/>
              </w:rPr>
            </w:pPr>
            <w:r>
              <w:rPr>
                <w:rFonts w:ascii="sans-serif" w:hAnsi="sans-serif" w:eastAsia="sans-serif" w:cs="sans-serif"/>
                <w:b/>
                <w:bCs/>
                <w:sz w:val="26"/>
                <w:szCs w:val="26"/>
                <w:shd w:val="clear" w:color="auto" w:fill="FFFFFF"/>
              </w:rPr>
              <w:t>本次变动数</w:t>
            </w:r>
          </w:p>
        </w:tc>
        <w:tc>
          <w:tcPr>
            <w:tcW w:w="1152" w:type="pct"/>
            <w:vAlign w:val="center"/>
          </w:tcPr>
          <w:p>
            <w:pPr>
              <w:widowControl w:val="0"/>
              <w:autoSpaceDE w:val="0"/>
              <w:autoSpaceDN w:val="0"/>
              <w:adjustRightInd w:val="0"/>
              <w:snapToGrid w:val="0"/>
              <w:spacing w:line="360" w:lineRule="auto"/>
              <w:jc w:val="center"/>
              <w:rPr>
                <w:b/>
                <w:bCs/>
              </w:rPr>
            </w:pPr>
            <w:r>
              <w:rPr>
                <w:rFonts w:ascii="sans-serif" w:hAnsi="sans-serif" w:eastAsia="sans-serif" w:cs="sans-serif"/>
                <w:b/>
                <w:bCs/>
                <w:sz w:val="26"/>
                <w:szCs w:val="26"/>
                <w:shd w:val="clear" w:color="auto" w:fill="FFFFFF"/>
              </w:rPr>
              <w:t>本次变动后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542" w:type="pct"/>
            <w:vAlign w:val="bottom"/>
          </w:tcPr>
          <w:p>
            <w:pPr>
              <w:widowControl w:val="0"/>
              <w:autoSpaceDE w:val="0"/>
              <w:autoSpaceDN w:val="0"/>
              <w:adjustRightInd w:val="0"/>
              <w:snapToGrid w:val="0"/>
              <w:spacing w:line="360" w:lineRule="auto"/>
              <w:jc w:val="center"/>
            </w:pPr>
            <w:r>
              <w:rPr>
                <w:rFonts w:ascii="sans-serif" w:hAnsi="sans-serif" w:eastAsia="sans-serif" w:cs="sans-serif"/>
                <w:sz w:val="26"/>
                <w:szCs w:val="26"/>
                <w:shd w:val="clear" w:color="auto" w:fill="FFFFFF"/>
              </w:rPr>
              <w:t>有限售条件股份</w:t>
            </w:r>
          </w:p>
        </w:tc>
        <w:tc>
          <w:tcPr>
            <w:tcW w:w="1152" w:type="pct"/>
            <w:vAlign w:val="bottom"/>
          </w:tcPr>
          <w:p>
            <w:pPr>
              <w:widowControl w:val="0"/>
              <w:autoSpaceDE w:val="0"/>
              <w:autoSpaceDN w:val="0"/>
              <w:adjustRightInd w:val="0"/>
              <w:snapToGrid w:val="0"/>
              <w:spacing w:line="360" w:lineRule="auto"/>
              <w:jc w:val="center"/>
            </w:pPr>
            <w:r>
              <w:rPr>
                <w:rFonts w:hint="eastAsia"/>
              </w:rPr>
              <w:t>0</w:t>
            </w:r>
          </w:p>
        </w:tc>
        <w:tc>
          <w:tcPr>
            <w:tcW w:w="1152" w:type="pct"/>
            <w:vAlign w:val="bottom"/>
          </w:tcPr>
          <w:p>
            <w:pPr>
              <w:widowControl w:val="0"/>
              <w:autoSpaceDE w:val="0"/>
              <w:autoSpaceDN w:val="0"/>
              <w:adjustRightInd w:val="0"/>
              <w:snapToGrid w:val="0"/>
              <w:spacing w:line="360" w:lineRule="auto"/>
              <w:jc w:val="center"/>
            </w:pPr>
            <w:r>
              <w:rPr>
                <w:rFonts w:hint="eastAsia"/>
              </w:rPr>
              <w:t>0</w:t>
            </w:r>
          </w:p>
        </w:tc>
        <w:tc>
          <w:tcPr>
            <w:tcW w:w="1152" w:type="pct"/>
            <w:vAlign w:val="bottom"/>
          </w:tcPr>
          <w:p>
            <w:pPr>
              <w:widowControl w:val="0"/>
              <w:autoSpaceDE w:val="0"/>
              <w:autoSpaceDN w:val="0"/>
              <w:adjustRightInd w:val="0"/>
              <w:snapToGrid w:val="0"/>
              <w:spacing w:line="360" w:lineRule="auto"/>
              <w:jc w:val="center"/>
            </w:pPr>
            <w:r>
              <w:rPr>
                <w:rFonts w:hint="eastAsia"/>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542" w:type="pct"/>
            <w:vAlign w:val="bottom"/>
          </w:tcPr>
          <w:p>
            <w:pPr>
              <w:widowControl w:val="0"/>
              <w:autoSpaceDE w:val="0"/>
              <w:autoSpaceDN w:val="0"/>
              <w:adjustRightInd w:val="0"/>
              <w:snapToGrid w:val="0"/>
              <w:spacing w:line="360" w:lineRule="auto"/>
              <w:jc w:val="center"/>
            </w:pPr>
            <w:r>
              <w:rPr>
                <w:rFonts w:ascii="sans-serif" w:hAnsi="sans-serif" w:eastAsia="sans-serif" w:cs="sans-serif"/>
                <w:sz w:val="26"/>
                <w:szCs w:val="26"/>
                <w:shd w:val="clear" w:color="auto" w:fill="FFFFFF"/>
              </w:rPr>
              <w:t>无限售条件股份</w:t>
            </w:r>
          </w:p>
        </w:tc>
        <w:tc>
          <w:tcPr>
            <w:tcW w:w="1911" w:type="dxa"/>
            <w:vAlign w:val="bottom"/>
          </w:tcPr>
          <w:p>
            <w:pPr>
              <w:widowControl w:val="0"/>
              <w:autoSpaceDE w:val="0"/>
              <w:autoSpaceDN w:val="0"/>
              <w:adjustRightInd w:val="0"/>
              <w:snapToGrid w:val="0"/>
              <w:spacing w:line="360" w:lineRule="auto"/>
              <w:jc w:val="center"/>
            </w:pPr>
            <w:r>
              <w:rPr>
                <w:rFonts w:hint="eastAsia"/>
              </w:rPr>
              <w:t>231,722,033</w:t>
            </w:r>
          </w:p>
        </w:tc>
        <w:tc>
          <w:tcPr>
            <w:tcW w:w="1911" w:type="dxa"/>
            <w:vAlign w:val="bottom"/>
          </w:tcPr>
          <w:p>
            <w:pPr>
              <w:widowControl w:val="0"/>
              <w:autoSpaceDE w:val="0"/>
              <w:autoSpaceDN w:val="0"/>
              <w:adjustRightInd w:val="0"/>
              <w:snapToGrid w:val="0"/>
              <w:spacing w:line="360" w:lineRule="auto"/>
              <w:jc w:val="center"/>
            </w:pPr>
            <w:r>
              <w:rPr>
                <w:rFonts w:hint="eastAsia"/>
              </w:rPr>
              <w:t>1,068,295</w:t>
            </w:r>
          </w:p>
        </w:tc>
        <w:tc>
          <w:tcPr>
            <w:tcW w:w="1911" w:type="dxa"/>
            <w:vAlign w:val="bottom"/>
          </w:tcPr>
          <w:p>
            <w:pPr>
              <w:widowControl w:val="0"/>
              <w:autoSpaceDE w:val="0"/>
              <w:autoSpaceDN w:val="0"/>
              <w:adjustRightInd w:val="0"/>
              <w:snapToGrid w:val="0"/>
              <w:spacing w:line="360" w:lineRule="auto"/>
              <w:jc w:val="center"/>
            </w:pPr>
            <w:r>
              <w:rPr>
                <w:rFonts w:hint="eastAsia"/>
              </w:rPr>
              <w:t>232,790,328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542" w:type="pct"/>
            <w:vAlign w:val="bottom"/>
          </w:tcPr>
          <w:p>
            <w:pPr>
              <w:widowControl w:val="0"/>
              <w:autoSpaceDE w:val="0"/>
              <w:autoSpaceDN w:val="0"/>
              <w:adjustRightInd w:val="0"/>
              <w:snapToGrid w:val="0"/>
              <w:spacing w:line="360" w:lineRule="auto"/>
              <w:jc w:val="center"/>
            </w:pPr>
            <w:r>
              <w:rPr>
                <w:rFonts w:hint="eastAsia"/>
              </w:rPr>
              <w:t>总计</w:t>
            </w:r>
          </w:p>
        </w:tc>
        <w:tc>
          <w:tcPr>
            <w:tcW w:w="1911" w:type="dxa"/>
            <w:vAlign w:val="bottom"/>
          </w:tcPr>
          <w:p>
            <w:pPr>
              <w:widowControl w:val="0"/>
              <w:autoSpaceDE w:val="0"/>
              <w:autoSpaceDN w:val="0"/>
              <w:adjustRightInd w:val="0"/>
              <w:snapToGrid w:val="0"/>
              <w:spacing w:line="360" w:lineRule="auto"/>
              <w:jc w:val="center"/>
            </w:pPr>
            <w:r>
              <w:rPr>
                <w:rFonts w:hint="eastAsia"/>
              </w:rPr>
              <w:t>231,722,033</w:t>
            </w:r>
          </w:p>
        </w:tc>
        <w:tc>
          <w:tcPr>
            <w:tcW w:w="1911" w:type="dxa"/>
            <w:vAlign w:val="bottom"/>
          </w:tcPr>
          <w:p>
            <w:pPr>
              <w:widowControl w:val="0"/>
              <w:autoSpaceDE w:val="0"/>
              <w:autoSpaceDN w:val="0"/>
              <w:adjustRightInd w:val="0"/>
              <w:snapToGrid w:val="0"/>
              <w:spacing w:line="360" w:lineRule="auto"/>
              <w:jc w:val="center"/>
            </w:pPr>
            <w:r>
              <w:rPr>
                <w:rFonts w:hint="eastAsia"/>
              </w:rPr>
              <w:t>1,068,295</w:t>
            </w:r>
          </w:p>
        </w:tc>
        <w:tc>
          <w:tcPr>
            <w:tcW w:w="1911" w:type="dxa"/>
            <w:vAlign w:val="bottom"/>
          </w:tcPr>
          <w:p>
            <w:pPr>
              <w:widowControl w:val="0"/>
              <w:autoSpaceDE w:val="0"/>
              <w:autoSpaceDN w:val="0"/>
              <w:adjustRightInd w:val="0"/>
              <w:snapToGrid w:val="0"/>
              <w:spacing w:line="360" w:lineRule="auto"/>
              <w:jc w:val="center"/>
            </w:pPr>
            <w:r>
              <w:rPr>
                <w:rFonts w:hint="eastAsia"/>
              </w:rPr>
              <w:t>232,790,328</w:t>
            </w:r>
          </w:p>
        </w:tc>
      </w:tr>
    </w:tbl>
    <w:p>
      <w:pPr>
        <w:autoSpaceDE w:val="0"/>
        <w:autoSpaceDN w:val="0"/>
        <w:adjustRightInd w:val="0"/>
        <w:snapToGrid w:val="0"/>
        <w:spacing w:line="360" w:lineRule="auto"/>
        <w:ind w:firstLine="480" w:firstLineChars="200"/>
        <w:jc w:val="both"/>
      </w:pPr>
      <w:r>
        <w:rPr>
          <w:rFonts w:hint="eastAsia"/>
        </w:rPr>
        <w:t>本次股份变动后，公司实际控制人未发生变化。</w:t>
      </w: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四、行权股份登记及募集资金使用计划情况</w:t>
      </w:r>
    </w:p>
    <w:p>
      <w:pPr>
        <w:autoSpaceDE w:val="0"/>
        <w:autoSpaceDN w:val="0"/>
        <w:adjustRightInd w:val="0"/>
        <w:snapToGrid w:val="0"/>
        <w:spacing w:line="360" w:lineRule="auto"/>
        <w:ind w:firstLine="480" w:firstLineChars="200"/>
        <w:jc w:val="both"/>
        <w:rPr>
          <w:rFonts w:eastAsiaTheme="minorEastAsia"/>
          <w:color w:val="000000"/>
        </w:rPr>
      </w:pPr>
      <w:r>
        <w:rPr>
          <w:rFonts w:hint="eastAsia" w:eastAsiaTheme="minorEastAsia"/>
          <w:color w:val="000000"/>
        </w:rPr>
        <w:t>公司2021年股票期权激励计划首次授予部分股票期权第一个行权期采用自主行权方式，截至2022年12月31日</w:t>
      </w:r>
      <w:r>
        <w:rPr>
          <w:rFonts w:eastAsiaTheme="minorEastAsia"/>
          <w:color w:val="000000"/>
        </w:rPr>
        <w:t>已</w:t>
      </w:r>
      <w:r>
        <w:rPr>
          <w:rFonts w:hint="eastAsia" w:eastAsiaTheme="minorEastAsia"/>
          <w:color w:val="000000"/>
        </w:rPr>
        <w:t>在中国证券登记结算有限责任公司上海分公司完成过户登记的行权股份数量为1,068,295股，共募集资金14,368,567.75元。该项募集资金将用于补充公司流动资金。</w:t>
      </w:r>
    </w:p>
    <w:p>
      <w:pPr>
        <w:autoSpaceDE w:val="0"/>
        <w:autoSpaceDN w:val="0"/>
        <w:adjustRightInd w:val="0"/>
        <w:snapToGrid w:val="0"/>
        <w:spacing w:line="360" w:lineRule="auto"/>
        <w:ind w:firstLine="504" w:firstLineChars="210"/>
        <w:jc w:val="both"/>
        <w:rPr>
          <w:rFonts w:eastAsiaTheme="minorEastAsia"/>
          <w:color w:val="000000"/>
        </w:rPr>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五、本次行权后股份变动对最近一期财务报告的影响</w:t>
      </w:r>
    </w:p>
    <w:p>
      <w:pPr>
        <w:snapToGrid w:val="0"/>
        <w:spacing w:line="360" w:lineRule="auto"/>
        <w:ind w:firstLine="480" w:firstLineChars="200"/>
        <w:jc w:val="both"/>
        <w:rPr>
          <w:szCs w:val="32"/>
        </w:rPr>
      </w:pPr>
      <w:bookmarkStart w:id="1" w:name="_Hlk108584450"/>
      <w:r>
        <w:rPr>
          <w:rFonts w:hint="eastAsia" w:eastAsiaTheme="minorEastAsia"/>
          <w:color w:val="000000"/>
        </w:rPr>
        <w:t>本次行权后公司总股本变更为232,790,328股，本次行权对公司财务状况和经营成果均不构成重大影响。</w:t>
      </w:r>
      <w:bookmarkEnd w:id="1"/>
    </w:p>
    <w:p>
      <w:pPr>
        <w:snapToGrid w:val="0"/>
        <w:spacing w:line="360" w:lineRule="auto"/>
        <w:ind w:firstLine="480" w:firstLineChars="200"/>
        <w:jc w:val="both"/>
        <w:rPr>
          <w:szCs w:val="32"/>
        </w:rPr>
      </w:pPr>
    </w:p>
    <w:p>
      <w:pPr>
        <w:snapToGrid w:val="0"/>
        <w:spacing w:line="360" w:lineRule="auto"/>
        <w:ind w:firstLine="480" w:firstLineChars="200"/>
        <w:jc w:val="both"/>
        <w:rPr>
          <w:rFonts w:eastAsiaTheme="minorEastAsia"/>
          <w:color w:val="000000"/>
        </w:rPr>
      </w:pPr>
      <w:r>
        <w:rPr>
          <w:rFonts w:eastAsiaTheme="minorEastAsia"/>
          <w:color w:val="000000"/>
        </w:rPr>
        <w:t>特此公告。</w:t>
      </w:r>
    </w:p>
    <w:p>
      <w:pPr>
        <w:snapToGrid w:val="0"/>
        <w:spacing w:line="360" w:lineRule="auto"/>
        <w:ind w:firstLine="460" w:firstLineChars="192"/>
        <w:jc w:val="right"/>
        <w:rPr>
          <w:rFonts w:eastAsiaTheme="minorEastAsia"/>
          <w:color w:val="000000"/>
        </w:rPr>
      </w:pPr>
      <w:r>
        <w:rPr>
          <w:rFonts w:eastAsiaTheme="minorEastAsia"/>
          <w:color w:val="000000"/>
        </w:rPr>
        <w:t>格尔软件股份有限公司</w:t>
      </w:r>
      <w:r>
        <w:rPr>
          <w:rFonts w:hint="eastAsia" w:eastAsiaTheme="minorEastAsia"/>
          <w:color w:val="000000"/>
        </w:rPr>
        <w:t>董事会</w:t>
      </w:r>
    </w:p>
    <w:p>
      <w:pPr>
        <w:snapToGrid w:val="0"/>
        <w:spacing w:line="360" w:lineRule="auto"/>
        <w:ind w:firstLine="480" w:firstLineChars="200"/>
        <w:jc w:val="right"/>
        <w:rPr>
          <w:rFonts w:eastAsiaTheme="minorEastAsia"/>
        </w:rPr>
      </w:pPr>
      <w:r>
        <w:rPr>
          <w:rFonts w:eastAsiaTheme="minorEastAsia"/>
        </w:rPr>
        <w:t>202</w:t>
      </w:r>
      <w:r>
        <w:rPr>
          <w:rFonts w:hint="eastAsia" w:eastAsiaTheme="minorEastAsia"/>
        </w:rPr>
        <w:t>3</w:t>
      </w:r>
      <w:r>
        <w:rPr>
          <w:rFonts w:eastAsiaTheme="minorEastAsia"/>
        </w:rPr>
        <w:t>年</w:t>
      </w:r>
      <w:r>
        <w:rPr>
          <w:rFonts w:hint="eastAsia" w:eastAsiaTheme="minorEastAsia"/>
        </w:rPr>
        <w:t>1</w:t>
      </w:r>
      <w:r>
        <w:rPr>
          <w:rFonts w:eastAsiaTheme="minorEastAsia"/>
        </w:rPr>
        <w:t>月</w:t>
      </w:r>
      <w:r>
        <w:rPr>
          <w:rFonts w:hint="eastAsia" w:eastAsiaTheme="minorEastAsia"/>
        </w:rPr>
        <w:t>4</w:t>
      </w:r>
      <w:r>
        <w:rPr>
          <w:rFonts w:eastAsiaTheme="minorEastAsia"/>
        </w:rPr>
        <w:t>日</w:t>
      </w:r>
    </w:p>
    <w:p>
      <w:pPr>
        <w:spacing w:line="360" w:lineRule="auto"/>
        <w:ind w:firstLine="420"/>
        <w:jc w:val="both"/>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2EE221"/>
    <w:multiLevelType w:val="singleLevel"/>
    <w:tmpl w:val="EA2EE221"/>
    <w:lvl w:ilvl="0" w:tentative="0">
      <w:start w:val="1"/>
      <w:numFmt w:val="chineseCounting"/>
      <w:suff w:val="nothing"/>
      <w:lvlText w:val="%1、"/>
      <w:lvlJc w:val="left"/>
      <w:rPr>
        <w:rFonts w:hint="eastAsia"/>
      </w:rPr>
    </w:lvl>
  </w:abstractNum>
  <w:abstractNum w:abstractNumId="1">
    <w:nsid w:val="2D074E96"/>
    <w:multiLevelType w:val="singleLevel"/>
    <w:tmpl w:val="2D074E96"/>
    <w:lvl w:ilvl="0" w:tentative="0">
      <w:start w:val="1"/>
      <w:numFmt w:val="chineseCounting"/>
      <w:suff w:val="nothing"/>
      <w:lvlText w:val="（%1）"/>
      <w:lvlJc w:val="left"/>
      <w:pPr>
        <w:ind w:left="2268" w:firstLine="0"/>
      </w:pPr>
      <w:rPr>
        <w:rFonts w:hint="eastAsia"/>
      </w:rPr>
    </w:lvl>
  </w:abstractNum>
  <w:abstractNum w:abstractNumId="2">
    <w:nsid w:val="6030DDB6"/>
    <w:multiLevelType w:val="singleLevel"/>
    <w:tmpl w:val="6030DDB6"/>
    <w:lvl w:ilvl="0" w:tentative="0">
      <w:start w:val="1"/>
      <w:numFmt w:val="chineseCounting"/>
      <w:suff w:val="nothing"/>
      <w:lvlText w:val="（%1）"/>
      <w:lvlJc w:val="left"/>
      <w:rPr>
        <w:rFonts w:hint="eastAsia"/>
      </w:rPr>
    </w:lvl>
  </w:abstractNum>
  <w:abstractNum w:abstractNumId="3">
    <w:nsid w:val="7F2B5A89"/>
    <w:multiLevelType w:val="multilevel"/>
    <w:tmpl w:val="7F2B5A89"/>
    <w:lvl w:ilvl="0" w:tentative="0">
      <w:start w:val="1"/>
      <w:numFmt w:val="bullet"/>
      <w:lvlText w:val=""/>
      <w:lvlJc w:val="center"/>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VhNzY4OTUyNTg4NjNmYjFmNTU1MDJjM2Q5ODM1YzAifQ=="/>
    <w:docVar w:name="KSO_WPS_MARK_KEY" w:val="d660d827-f891-485a-ac50-cd345c102694"/>
  </w:docVars>
  <w:rsids>
    <w:rsidRoot w:val="009C6E42"/>
    <w:rsid w:val="00014736"/>
    <w:rsid w:val="0001518A"/>
    <w:rsid w:val="00034C18"/>
    <w:rsid w:val="000363DA"/>
    <w:rsid w:val="0006001C"/>
    <w:rsid w:val="00062682"/>
    <w:rsid w:val="00072850"/>
    <w:rsid w:val="00076ABF"/>
    <w:rsid w:val="000805F0"/>
    <w:rsid w:val="00081DB7"/>
    <w:rsid w:val="000A1AED"/>
    <w:rsid w:val="000B2247"/>
    <w:rsid w:val="000B6613"/>
    <w:rsid w:val="000D6DC1"/>
    <w:rsid w:val="000E2099"/>
    <w:rsid w:val="000E6472"/>
    <w:rsid w:val="000F28C0"/>
    <w:rsid w:val="00102872"/>
    <w:rsid w:val="00110697"/>
    <w:rsid w:val="00126977"/>
    <w:rsid w:val="0012771B"/>
    <w:rsid w:val="00131460"/>
    <w:rsid w:val="00133A94"/>
    <w:rsid w:val="001356CB"/>
    <w:rsid w:val="00146F1C"/>
    <w:rsid w:val="00152CB1"/>
    <w:rsid w:val="00163A3C"/>
    <w:rsid w:val="0017115E"/>
    <w:rsid w:val="00173872"/>
    <w:rsid w:val="0018593C"/>
    <w:rsid w:val="00191EB6"/>
    <w:rsid w:val="001A13FD"/>
    <w:rsid w:val="001B313D"/>
    <w:rsid w:val="001B4F8A"/>
    <w:rsid w:val="001E14A7"/>
    <w:rsid w:val="001E52E5"/>
    <w:rsid w:val="001E7424"/>
    <w:rsid w:val="001F1231"/>
    <w:rsid w:val="001F31B2"/>
    <w:rsid w:val="00201867"/>
    <w:rsid w:val="002115E2"/>
    <w:rsid w:val="00213E54"/>
    <w:rsid w:val="00214D08"/>
    <w:rsid w:val="00220129"/>
    <w:rsid w:val="00233B53"/>
    <w:rsid w:val="002447E5"/>
    <w:rsid w:val="002576A2"/>
    <w:rsid w:val="00261677"/>
    <w:rsid w:val="00265B35"/>
    <w:rsid w:val="002750E8"/>
    <w:rsid w:val="00277F2C"/>
    <w:rsid w:val="002835A5"/>
    <w:rsid w:val="00284D3B"/>
    <w:rsid w:val="00290949"/>
    <w:rsid w:val="002A5849"/>
    <w:rsid w:val="002B0AEB"/>
    <w:rsid w:val="002C7394"/>
    <w:rsid w:val="002D411F"/>
    <w:rsid w:val="002E0BC0"/>
    <w:rsid w:val="002E4B99"/>
    <w:rsid w:val="002F1D31"/>
    <w:rsid w:val="002F20A4"/>
    <w:rsid w:val="0030246F"/>
    <w:rsid w:val="003039E0"/>
    <w:rsid w:val="0030403E"/>
    <w:rsid w:val="003064A7"/>
    <w:rsid w:val="003168B3"/>
    <w:rsid w:val="00323A9D"/>
    <w:rsid w:val="00325A33"/>
    <w:rsid w:val="003349D8"/>
    <w:rsid w:val="00335674"/>
    <w:rsid w:val="003434F6"/>
    <w:rsid w:val="00345B9F"/>
    <w:rsid w:val="003521A1"/>
    <w:rsid w:val="0037562B"/>
    <w:rsid w:val="003A3B07"/>
    <w:rsid w:val="003A3B59"/>
    <w:rsid w:val="003B334F"/>
    <w:rsid w:val="003E2EC3"/>
    <w:rsid w:val="003F4838"/>
    <w:rsid w:val="0043128F"/>
    <w:rsid w:val="00432278"/>
    <w:rsid w:val="00434C93"/>
    <w:rsid w:val="00441DB1"/>
    <w:rsid w:val="004442F9"/>
    <w:rsid w:val="00456B3F"/>
    <w:rsid w:val="00462E44"/>
    <w:rsid w:val="00475719"/>
    <w:rsid w:val="00482B62"/>
    <w:rsid w:val="0049036B"/>
    <w:rsid w:val="004A2F1B"/>
    <w:rsid w:val="004A51E2"/>
    <w:rsid w:val="004F5440"/>
    <w:rsid w:val="00512621"/>
    <w:rsid w:val="005138A1"/>
    <w:rsid w:val="005143EC"/>
    <w:rsid w:val="005224C8"/>
    <w:rsid w:val="00536953"/>
    <w:rsid w:val="005411D1"/>
    <w:rsid w:val="00541CB7"/>
    <w:rsid w:val="0056507B"/>
    <w:rsid w:val="0057109C"/>
    <w:rsid w:val="00581AA0"/>
    <w:rsid w:val="00582E21"/>
    <w:rsid w:val="005843C8"/>
    <w:rsid w:val="0059046A"/>
    <w:rsid w:val="005A018F"/>
    <w:rsid w:val="005B2138"/>
    <w:rsid w:val="005C37FF"/>
    <w:rsid w:val="005C6518"/>
    <w:rsid w:val="005E59E4"/>
    <w:rsid w:val="00607864"/>
    <w:rsid w:val="00616A3F"/>
    <w:rsid w:val="006317E4"/>
    <w:rsid w:val="00636F00"/>
    <w:rsid w:val="00643100"/>
    <w:rsid w:val="0064491F"/>
    <w:rsid w:val="0067142C"/>
    <w:rsid w:val="00674272"/>
    <w:rsid w:val="006919FF"/>
    <w:rsid w:val="006A269B"/>
    <w:rsid w:val="006A2CC9"/>
    <w:rsid w:val="006B1EBD"/>
    <w:rsid w:val="006B7E8E"/>
    <w:rsid w:val="006C6417"/>
    <w:rsid w:val="006C6B4D"/>
    <w:rsid w:val="006E72E7"/>
    <w:rsid w:val="006F2FA9"/>
    <w:rsid w:val="006F6042"/>
    <w:rsid w:val="00703D83"/>
    <w:rsid w:val="0071120E"/>
    <w:rsid w:val="007134CE"/>
    <w:rsid w:val="0072682B"/>
    <w:rsid w:val="00732C0F"/>
    <w:rsid w:val="0075001C"/>
    <w:rsid w:val="0075122B"/>
    <w:rsid w:val="00755D25"/>
    <w:rsid w:val="00770707"/>
    <w:rsid w:val="007707B7"/>
    <w:rsid w:val="00781184"/>
    <w:rsid w:val="00782594"/>
    <w:rsid w:val="00791B8D"/>
    <w:rsid w:val="00792CAD"/>
    <w:rsid w:val="007A743C"/>
    <w:rsid w:val="007A7A1E"/>
    <w:rsid w:val="007D3A51"/>
    <w:rsid w:val="007E1209"/>
    <w:rsid w:val="007E26DA"/>
    <w:rsid w:val="007F4B01"/>
    <w:rsid w:val="007F69D0"/>
    <w:rsid w:val="008075EF"/>
    <w:rsid w:val="008470CC"/>
    <w:rsid w:val="00856D39"/>
    <w:rsid w:val="00861A8E"/>
    <w:rsid w:val="008709AC"/>
    <w:rsid w:val="008716AE"/>
    <w:rsid w:val="00891777"/>
    <w:rsid w:val="008A1D84"/>
    <w:rsid w:val="008A22D0"/>
    <w:rsid w:val="008A4360"/>
    <w:rsid w:val="008B09DA"/>
    <w:rsid w:val="008C1580"/>
    <w:rsid w:val="008C42D1"/>
    <w:rsid w:val="008C72F9"/>
    <w:rsid w:val="008D3158"/>
    <w:rsid w:val="008D7D5F"/>
    <w:rsid w:val="008E1AC1"/>
    <w:rsid w:val="008E2E5B"/>
    <w:rsid w:val="008E450B"/>
    <w:rsid w:val="008E4B02"/>
    <w:rsid w:val="008F24AD"/>
    <w:rsid w:val="008F4B5B"/>
    <w:rsid w:val="00911289"/>
    <w:rsid w:val="00923A69"/>
    <w:rsid w:val="009245F6"/>
    <w:rsid w:val="00940A25"/>
    <w:rsid w:val="00944F62"/>
    <w:rsid w:val="0096024D"/>
    <w:rsid w:val="00961C0E"/>
    <w:rsid w:val="0096659B"/>
    <w:rsid w:val="00970B7D"/>
    <w:rsid w:val="009716E5"/>
    <w:rsid w:val="009A6108"/>
    <w:rsid w:val="009B3919"/>
    <w:rsid w:val="009C211E"/>
    <w:rsid w:val="009C6E42"/>
    <w:rsid w:val="009D490D"/>
    <w:rsid w:val="009F743A"/>
    <w:rsid w:val="00A047DF"/>
    <w:rsid w:val="00A1415E"/>
    <w:rsid w:val="00A24495"/>
    <w:rsid w:val="00A33F01"/>
    <w:rsid w:val="00A41FFE"/>
    <w:rsid w:val="00A57C22"/>
    <w:rsid w:val="00A61048"/>
    <w:rsid w:val="00A61F00"/>
    <w:rsid w:val="00A62962"/>
    <w:rsid w:val="00A70BBC"/>
    <w:rsid w:val="00A71C97"/>
    <w:rsid w:val="00A72368"/>
    <w:rsid w:val="00A9390F"/>
    <w:rsid w:val="00A96597"/>
    <w:rsid w:val="00AC4A33"/>
    <w:rsid w:val="00AD7B8B"/>
    <w:rsid w:val="00B02BC2"/>
    <w:rsid w:val="00B153C5"/>
    <w:rsid w:val="00B22C1A"/>
    <w:rsid w:val="00B27DBC"/>
    <w:rsid w:val="00B4719E"/>
    <w:rsid w:val="00B54C55"/>
    <w:rsid w:val="00B7550A"/>
    <w:rsid w:val="00B77B90"/>
    <w:rsid w:val="00B82191"/>
    <w:rsid w:val="00B8509F"/>
    <w:rsid w:val="00B90A28"/>
    <w:rsid w:val="00B91097"/>
    <w:rsid w:val="00B9474F"/>
    <w:rsid w:val="00B94DF3"/>
    <w:rsid w:val="00B95149"/>
    <w:rsid w:val="00BC13B0"/>
    <w:rsid w:val="00BD2941"/>
    <w:rsid w:val="00BE1987"/>
    <w:rsid w:val="00BE539C"/>
    <w:rsid w:val="00BF62EF"/>
    <w:rsid w:val="00C00B3E"/>
    <w:rsid w:val="00C158A6"/>
    <w:rsid w:val="00C27565"/>
    <w:rsid w:val="00C34C2F"/>
    <w:rsid w:val="00C41CEC"/>
    <w:rsid w:val="00C55A63"/>
    <w:rsid w:val="00C569F2"/>
    <w:rsid w:val="00C65383"/>
    <w:rsid w:val="00C85161"/>
    <w:rsid w:val="00C90D3C"/>
    <w:rsid w:val="00C970BB"/>
    <w:rsid w:val="00CA0083"/>
    <w:rsid w:val="00CD0FBD"/>
    <w:rsid w:val="00CD17CF"/>
    <w:rsid w:val="00CE13E7"/>
    <w:rsid w:val="00CE6216"/>
    <w:rsid w:val="00CE7E62"/>
    <w:rsid w:val="00D07CD5"/>
    <w:rsid w:val="00D07DCA"/>
    <w:rsid w:val="00D07F0F"/>
    <w:rsid w:val="00D207A5"/>
    <w:rsid w:val="00D23697"/>
    <w:rsid w:val="00D27792"/>
    <w:rsid w:val="00D30C51"/>
    <w:rsid w:val="00D312BC"/>
    <w:rsid w:val="00D370E0"/>
    <w:rsid w:val="00D45446"/>
    <w:rsid w:val="00D64105"/>
    <w:rsid w:val="00D657AB"/>
    <w:rsid w:val="00D65A33"/>
    <w:rsid w:val="00D67752"/>
    <w:rsid w:val="00D75BDF"/>
    <w:rsid w:val="00D810EE"/>
    <w:rsid w:val="00D902AD"/>
    <w:rsid w:val="00D92124"/>
    <w:rsid w:val="00D93DDC"/>
    <w:rsid w:val="00DA06E2"/>
    <w:rsid w:val="00DB096A"/>
    <w:rsid w:val="00DB75CF"/>
    <w:rsid w:val="00DC2022"/>
    <w:rsid w:val="00DC4E73"/>
    <w:rsid w:val="00DC6AA1"/>
    <w:rsid w:val="00DC6D3B"/>
    <w:rsid w:val="00DD1473"/>
    <w:rsid w:val="00DE0AAA"/>
    <w:rsid w:val="00DE1453"/>
    <w:rsid w:val="00DE17CF"/>
    <w:rsid w:val="00DE3EDD"/>
    <w:rsid w:val="00DF018C"/>
    <w:rsid w:val="00DF206E"/>
    <w:rsid w:val="00E1611E"/>
    <w:rsid w:val="00E21F93"/>
    <w:rsid w:val="00E33166"/>
    <w:rsid w:val="00E36290"/>
    <w:rsid w:val="00E44B3A"/>
    <w:rsid w:val="00E50670"/>
    <w:rsid w:val="00E638CE"/>
    <w:rsid w:val="00E72793"/>
    <w:rsid w:val="00E75561"/>
    <w:rsid w:val="00E7688E"/>
    <w:rsid w:val="00E82A9E"/>
    <w:rsid w:val="00EA31D3"/>
    <w:rsid w:val="00EA657E"/>
    <w:rsid w:val="00EA7340"/>
    <w:rsid w:val="00EB25E7"/>
    <w:rsid w:val="00ED47D1"/>
    <w:rsid w:val="00ED7676"/>
    <w:rsid w:val="00EF053F"/>
    <w:rsid w:val="00F0408C"/>
    <w:rsid w:val="00F10FE9"/>
    <w:rsid w:val="00F22ADD"/>
    <w:rsid w:val="00F23D33"/>
    <w:rsid w:val="00F36C6A"/>
    <w:rsid w:val="00F43499"/>
    <w:rsid w:val="00F6147F"/>
    <w:rsid w:val="00F65091"/>
    <w:rsid w:val="00F66396"/>
    <w:rsid w:val="00F92FAA"/>
    <w:rsid w:val="00FB2AC6"/>
    <w:rsid w:val="00FB4734"/>
    <w:rsid w:val="00FB6F73"/>
    <w:rsid w:val="00FC0663"/>
    <w:rsid w:val="00FD1530"/>
    <w:rsid w:val="00FD3001"/>
    <w:rsid w:val="00FE47EA"/>
    <w:rsid w:val="00FE621C"/>
    <w:rsid w:val="00FF2439"/>
    <w:rsid w:val="00FF49AD"/>
    <w:rsid w:val="01E3316A"/>
    <w:rsid w:val="02214FC3"/>
    <w:rsid w:val="026E0116"/>
    <w:rsid w:val="02B95212"/>
    <w:rsid w:val="035D6C69"/>
    <w:rsid w:val="04383D88"/>
    <w:rsid w:val="04EE71B3"/>
    <w:rsid w:val="04FA70C5"/>
    <w:rsid w:val="061B5421"/>
    <w:rsid w:val="06C44988"/>
    <w:rsid w:val="073D3EE8"/>
    <w:rsid w:val="080F2686"/>
    <w:rsid w:val="092822A5"/>
    <w:rsid w:val="0AC67B39"/>
    <w:rsid w:val="0B100CAC"/>
    <w:rsid w:val="0C1D2426"/>
    <w:rsid w:val="0C490DA4"/>
    <w:rsid w:val="0CA3523B"/>
    <w:rsid w:val="0DC21D96"/>
    <w:rsid w:val="0E41082D"/>
    <w:rsid w:val="0ED830F1"/>
    <w:rsid w:val="0F851FF3"/>
    <w:rsid w:val="10597E57"/>
    <w:rsid w:val="107D4ECE"/>
    <w:rsid w:val="117F52E5"/>
    <w:rsid w:val="13143F34"/>
    <w:rsid w:val="136830AA"/>
    <w:rsid w:val="13935F21"/>
    <w:rsid w:val="161324F4"/>
    <w:rsid w:val="18D64D8F"/>
    <w:rsid w:val="1937221F"/>
    <w:rsid w:val="1B037CDD"/>
    <w:rsid w:val="1BD972EE"/>
    <w:rsid w:val="1D093BE7"/>
    <w:rsid w:val="1D5A568D"/>
    <w:rsid w:val="1FB66CDF"/>
    <w:rsid w:val="1FF83AA7"/>
    <w:rsid w:val="202101A4"/>
    <w:rsid w:val="2031307C"/>
    <w:rsid w:val="21597A58"/>
    <w:rsid w:val="216A1B8D"/>
    <w:rsid w:val="21ED770F"/>
    <w:rsid w:val="224462EA"/>
    <w:rsid w:val="22FE2970"/>
    <w:rsid w:val="232D64B7"/>
    <w:rsid w:val="234447AB"/>
    <w:rsid w:val="23CF0795"/>
    <w:rsid w:val="24482F95"/>
    <w:rsid w:val="24727B53"/>
    <w:rsid w:val="24C108AD"/>
    <w:rsid w:val="25483E3A"/>
    <w:rsid w:val="27E27C5A"/>
    <w:rsid w:val="2859184C"/>
    <w:rsid w:val="28A90D4C"/>
    <w:rsid w:val="2A1022F5"/>
    <w:rsid w:val="2BEA0F44"/>
    <w:rsid w:val="2C4F2AD7"/>
    <w:rsid w:val="2C992DA1"/>
    <w:rsid w:val="2CC8097D"/>
    <w:rsid w:val="2E227416"/>
    <w:rsid w:val="2EF01BE2"/>
    <w:rsid w:val="2F2E7374"/>
    <w:rsid w:val="2F8751FB"/>
    <w:rsid w:val="2FD327D9"/>
    <w:rsid w:val="2FD94771"/>
    <w:rsid w:val="30272BE8"/>
    <w:rsid w:val="32654859"/>
    <w:rsid w:val="32BA5BD3"/>
    <w:rsid w:val="331A4B9F"/>
    <w:rsid w:val="33375DBF"/>
    <w:rsid w:val="33E653E8"/>
    <w:rsid w:val="3691627C"/>
    <w:rsid w:val="37092B3E"/>
    <w:rsid w:val="38D26630"/>
    <w:rsid w:val="3AB75A28"/>
    <w:rsid w:val="3AE77A75"/>
    <w:rsid w:val="3B277FFC"/>
    <w:rsid w:val="3E920F0F"/>
    <w:rsid w:val="3FB222DC"/>
    <w:rsid w:val="404C3A7C"/>
    <w:rsid w:val="407E0AA8"/>
    <w:rsid w:val="416C38DF"/>
    <w:rsid w:val="436B7FDA"/>
    <w:rsid w:val="44064FCD"/>
    <w:rsid w:val="44C7795C"/>
    <w:rsid w:val="451629C4"/>
    <w:rsid w:val="45B253A3"/>
    <w:rsid w:val="46092479"/>
    <w:rsid w:val="467C66C9"/>
    <w:rsid w:val="47FE7124"/>
    <w:rsid w:val="490876A7"/>
    <w:rsid w:val="496A4CD3"/>
    <w:rsid w:val="49B86908"/>
    <w:rsid w:val="49E12C87"/>
    <w:rsid w:val="4AFD4C6E"/>
    <w:rsid w:val="4B3D59C8"/>
    <w:rsid w:val="4BF70D33"/>
    <w:rsid w:val="4DA62092"/>
    <w:rsid w:val="4EF4496D"/>
    <w:rsid w:val="4F486310"/>
    <w:rsid w:val="507024A0"/>
    <w:rsid w:val="52451A0A"/>
    <w:rsid w:val="557030FD"/>
    <w:rsid w:val="56E22B76"/>
    <w:rsid w:val="56EF4352"/>
    <w:rsid w:val="580D5B53"/>
    <w:rsid w:val="58556BFC"/>
    <w:rsid w:val="593270CE"/>
    <w:rsid w:val="5A070C42"/>
    <w:rsid w:val="5A150BDD"/>
    <w:rsid w:val="5A7E1718"/>
    <w:rsid w:val="5AF87FEB"/>
    <w:rsid w:val="5B4F7984"/>
    <w:rsid w:val="5C332A84"/>
    <w:rsid w:val="5CFC0A5F"/>
    <w:rsid w:val="5E785667"/>
    <w:rsid w:val="5E8F65BA"/>
    <w:rsid w:val="5F313E05"/>
    <w:rsid w:val="60756874"/>
    <w:rsid w:val="607E7678"/>
    <w:rsid w:val="662034EA"/>
    <w:rsid w:val="663049B1"/>
    <w:rsid w:val="66720B4E"/>
    <w:rsid w:val="67596B94"/>
    <w:rsid w:val="68346E68"/>
    <w:rsid w:val="684E0A93"/>
    <w:rsid w:val="69411A88"/>
    <w:rsid w:val="6A0D0B87"/>
    <w:rsid w:val="6AB54AA0"/>
    <w:rsid w:val="6B6433C5"/>
    <w:rsid w:val="6EAC4C03"/>
    <w:rsid w:val="6FE1269F"/>
    <w:rsid w:val="70285E66"/>
    <w:rsid w:val="70765533"/>
    <w:rsid w:val="713B55CA"/>
    <w:rsid w:val="722B71FD"/>
    <w:rsid w:val="73B86637"/>
    <w:rsid w:val="75D352C7"/>
    <w:rsid w:val="773430B1"/>
    <w:rsid w:val="7742482B"/>
    <w:rsid w:val="77781FC6"/>
    <w:rsid w:val="7EFE095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22"/>
    <w:semiHidden/>
    <w:unhideWhenUsed/>
    <w:qFormat/>
    <w:uiPriority w:val="99"/>
    <w:rPr>
      <w:rFonts w:ascii="宋体"/>
      <w:sz w:val="18"/>
      <w:szCs w:val="18"/>
    </w:rPr>
  </w:style>
  <w:style w:type="paragraph" w:styleId="3">
    <w:name w:val="annotation text"/>
    <w:basedOn w:val="1"/>
    <w:link w:val="24"/>
    <w:semiHidden/>
    <w:unhideWhenUsed/>
    <w:qFormat/>
    <w:uiPriority w:val="99"/>
  </w:style>
  <w:style w:type="paragraph" w:styleId="4">
    <w:name w:val="Date"/>
    <w:basedOn w:val="1"/>
    <w:next w:val="1"/>
    <w:link w:val="19"/>
    <w:semiHidden/>
    <w:unhideWhenUsed/>
    <w:qFormat/>
    <w:uiPriority w:val="99"/>
    <w:pPr>
      <w:ind w:left="100" w:leftChars="2500"/>
    </w:pPr>
  </w:style>
  <w:style w:type="paragraph" w:styleId="5">
    <w:name w:val="Balloon Text"/>
    <w:basedOn w:val="1"/>
    <w:link w:val="28"/>
    <w:semiHidden/>
    <w:unhideWhenUsed/>
    <w:qFormat/>
    <w:uiPriority w:val="99"/>
    <w:rPr>
      <w:sz w:val="18"/>
      <w:szCs w:val="18"/>
    </w:rPr>
  </w:style>
  <w:style w:type="paragraph" w:styleId="6">
    <w:name w:val="footer"/>
    <w:basedOn w:val="1"/>
    <w:link w:val="21"/>
    <w:unhideWhenUsed/>
    <w:qFormat/>
    <w:uiPriority w:val="99"/>
    <w:pPr>
      <w:tabs>
        <w:tab w:val="center" w:pos="4153"/>
        <w:tab w:val="right" w:pos="8306"/>
      </w:tabs>
      <w:snapToGrid w:val="0"/>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pPr>
  </w:style>
  <w:style w:type="paragraph" w:styleId="9">
    <w:name w:val="annotation subject"/>
    <w:basedOn w:val="3"/>
    <w:next w:val="3"/>
    <w:link w:val="25"/>
    <w:semiHidden/>
    <w:unhideWhenUsed/>
    <w:qFormat/>
    <w:uiPriority w:val="99"/>
    <w:rPr>
      <w:b/>
      <w:bCs/>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qFormat/>
    <w:uiPriority w:val="0"/>
    <w:rPr>
      <w:color w:val="0000FF"/>
      <w:u w:val="single"/>
    </w:rPr>
  </w:style>
  <w:style w:type="character" w:styleId="15">
    <w:name w:val="annotation reference"/>
    <w:basedOn w:val="12"/>
    <w:semiHidden/>
    <w:unhideWhenUsed/>
    <w:qFormat/>
    <w:uiPriority w:val="99"/>
    <w:rPr>
      <w:sz w:val="21"/>
      <w:szCs w:val="21"/>
    </w:rPr>
  </w:style>
  <w:style w:type="paragraph" w:customStyle="1" w:styleId="16">
    <w:name w:val="Default"/>
    <w:link w:val="17"/>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17">
    <w:name w:val="Default Char"/>
    <w:link w:val="16"/>
    <w:qFormat/>
    <w:uiPriority w:val="0"/>
    <w:rPr>
      <w:rFonts w:ascii="楷体_GB2312" w:hAnsi="Times New Roman" w:eastAsia="楷体_GB2312" w:cs="Times New Roman"/>
      <w:color w:val="000000"/>
      <w:kern w:val="0"/>
      <w:sz w:val="24"/>
      <w:szCs w:val="24"/>
    </w:rPr>
  </w:style>
  <w:style w:type="paragraph" w:styleId="18">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19">
    <w:name w:val="日期 Char"/>
    <w:basedOn w:val="12"/>
    <w:link w:val="4"/>
    <w:semiHidden/>
    <w:qFormat/>
    <w:uiPriority w:val="99"/>
    <w:rPr>
      <w:rFonts w:ascii="Times New Roman" w:hAnsi="Times New Roman" w:eastAsia="宋体" w:cs="Times New Roman"/>
      <w:kern w:val="0"/>
      <w:sz w:val="24"/>
      <w:szCs w:val="24"/>
    </w:rPr>
  </w:style>
  <w:style w:type="character" w:customStyle="1" w:styleId="20">
    <w:name w:val="页眉 Char"/>
    <w:basedOn w:val="12"/>
    <w:link w:val="7"/>
    <w:qFormat/>
    <w:uiPriority w:val="99"/>
    <w:rPr>
      <w:rFonts w:ascii="Times New Roman" w:hAnsi="Times New Roman" w:eastAsia="宋体" w:cs="Times New Roman"/>
      <w:kern w:val="0"/>
      <w:sz w:val="18"/>
      <w:szCs w:val="18"/>
    </w:rPr>
  </w:style>
  <w:style w:type="character" w:customStyle="1" w:styleId="21">
    <w:name w:val="页脚 Char"/>
    <w:basedOn w:val="12"/>
    <w:link w:val="6"/>
    <w:qFormat/>
    <w:uiPriority w:val="99"/>
    <w:rPr>
      <w:rFonts w:ascii="Times New Roman" w:hAnsi="Times New Roman" w:eastAsia="宋体" w:cs="Times New Roman"/>
      <w:kern w:val="0"/>
      <w:sz w:val="18"/>
      <w:szCs w:val="18"/>
    </w:rPr>
  </w:style>
  <w:style w:type="character" w:customStyle="1" w:styleId="22">
    <w:name w:val="文档结构图 Char"/>
    <w:basedOn w:val="12"/>
    <w:link w:val="2"/>
    <w:semiHidden/>
    <w:qFormat/>
    <w:uiPriority w:val="99"/>
    <w:rPr>
      <w:rFonts w:ascii="宋体" w:hAnsi="Times New Roman" w:eastAsia="宋体" w:cs="Times New Roman"/>
      <w:kern w:val="0"/>
      <w:sz w:val="18"/>
      <w:szCs w:val="18"/>
    </w:rPr>
  </w:style>
  <w:style w:type="paragraph" w:customStyle="1" w:styleId="23">
    <w:name w:val="修订1"/>
    <w:hidden/>
    <w:semiHidden/>
    <w:qFormat/>
    <w:uiPriority w:val="99"/>
    <w:rPr>
      <w:rFonts w:ascii="Times New Roman" w:hAnsi="Times New Roman" w:eastAsia="宋体" w:cs="Times New Roman"/>
      <w:sz w:val="24"/>
      <w:szCs w:val="24"/>
      <w:lang w:val="en-US" w:eastAsia="zh-CN" w:bidi="ar-SA"/>
    </w:rPr>
  </w:style>
  <w:style w:type="character" w:customStyle="1" w:styleId="24">
    <w:name w:val="批注文字 Char"/>
    <w:basedOn w:val="12"/>
    <w:link w:val="3"/>
    <w:semiHidden/>
    <w:qFormat/>
    <w:uiPriority w:val="99"/>
    <w:rPr>
      <w:rFonts w:ascii="Times New Roman" w:hAnsi="Times New Roman" w:eastAsia="宋体" w:cs="Times New Roman"/>
      <w:sz w:val="24"/>
      <w:szCs w:val="24"/>
    </w:rPr>
  </w:style>
  <w:style w:type="character" w:customStyle="1" w:styleId="25">
    <w:name w:val="批注主题 Char"/>
    <w:basedOn w:val="24"/>
    <w:link w:val="9"/>
    <w:semiHidden/>
    <w:qFormat/>
    <w:uiPriority w:val="99"/>
    <w:rPr>
      <w:rFonts w:ascii="Times New Roman" w:hAnsi="Times New Roman" w:eastAsia="宋体" w:cs="Times New Roman"/>
      <w:b/>
      <w:bCs/>
      <w:sz w:val="24"/>
      <w:szCs w:val="24"/>
    </w:rPr>
  </w:style>
  <w:style w:type="paragraph" w:customStyle="1" w:styleId="26">
    <w:name w:val="修订2"/>
    <w:hidden/>
    <w:semiHidden/>
    <w:qFormat/>
    <w:uiPriority w:val="99"/>
    <w:rPr>
      <w:rFonts w:ascii="Times New Roman" w:hAnsi="Times New Roman" w:eastAsia="宋体" w:cs="Times New Roman"/>
      <w:sz w:val="24"/>
      <w:szCs w:val="24"/>
      <w:lang w:val="en-US" w:eastAsia="zh-CN" w:bidi="ar-SA"/>
    </w:rPr>
  </w:style>
  <w:style w:type="paragraph" w:customStyle="1" w:styleId="27">
    <w:name w:val="修订3"/>
    <w:hidden/>
    <w:semiHidden/>
    <w:qFormat/>
    <w:uiPriority w:val="99"/>
    <w:rPr>
      <w:rFonts w:ascii="Times New Roman" w:hAnsi="Times New Roman" w:eastAsia="宋体" w:cs="Times New Roman"/>
      <w:sz w:val="24"/>
      <w:szCs w:val="24"/>
      <w:lang w:val="en-US" w:eastAsia="zh-CN" w:bidi="ar-SA"/>
    </w:rPr>
  </w:style>
  <w:style w:type="character" w:customStyle="1" w:styleId="28">
    <w:name w:val="批注框文本 Char"/>
    <w:basedOn w:val="12"/>
    <w:link w:val="5"/>
    <w:semiHidden/>
    <w:qFormat/>
    <w:uiPriority w:val="99"/>
    <w:rPr>
      <w:sz w:val="18"/>
      <w:szCs w:val="18"/>
    </w:rPr>
  </w:style>
  <w:style w:type="paragraph" w:customStyle="1" w:styleId="29">
    <w:name w:val="修订4"/>
    <w:hidden/>
    <w:semiHidden/>
    <w:qFormat/>
    <w:uiPriority w:val="99"/>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7F418-DFDB-4E41-A2D7-1C119E35AFC1}">
  <ds:schemaRefs/>
</ds:datastoreItem>
</file>

<file path=docProps/app.xml><?xml version="1.0" encoding="utf-8"?>
<Properties xmlns="http://schemas.openxmlformats.org/officeDocument/2006/extended-properties" xmlns:vt="http://schemas.openxmlformats.org/officeDocument/2006/docPropsVTypes">
  <Template>Normal.dotm</Template>
  <Pages>5</Pages>
  <Words>3422</Words>
  <Characters>4055</Characters>
  <Lines>29</Lines>
  <Paragraphs>8</Paragraphs>
  <TotalTime>173</TotalTime>
  <ScaleCrop>false</ScaleCrop>
  <LinksUpToDate>false</LinksUpToDate>
  <CharactersWithSpaces>4090</CharactersWithSpaces>
  <Application>WPS Office_11.1.0.12651_F1E327BC-269C-435d-A152-05C5408002CA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2022-12-21T10:14:00Z</dcterms:created>
  <dc:creator>admin</dc:creator>
  <cp:lastModifiedBy>杨易</cp:lastModifiedBy>
  <cp:lastPrinted>2019-06-12T08:48:00Z</cp:lastPrinted>
  <dcterms:modified xsi:type="dcterms:W3CDTF">2023-01-03T07:50:37Z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924025FEEF1E41B3A36A48FCAE16FDAB</vt:lpwstr>
  </property>
</Properties>
</file>