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7" w:lineRule="exact"/>
        <w:rPr>
          <w:rFonts w:ascii="Times New Roman" w:hAnsi="Times New Roman" w:eastAsia="Times New Roman"/>
          <w:sz w:val="24"/>
        </w:rPr>
      </w:pPr>
      <w:bookmarkStart w:id="0" w:name="page1"/>
      <w:bookmarkEnd w:id="0"/>
    </w:p>
    <w:p>
      <w:pPr>
        <w:spacing w:line="312" w:lineRule="auto"/>
        <w:jc w:val="center"/>
        <w:rPr>
          <w:rFonts w:hint="default" w:ascii="Times New Roman" w:hAnsi="Times New Roman" w:eastAsia="宋体" w:cs="Times New Roman"/>
          <w:szCs w:val="21"/>
          <w:lang w:val="en-US" w:eastAsia="zh-CN"/>
        </w:rPr>
      </w:pPr>
      <w:r>
        <w:rPr>
          <w:rFonts w:ascii="Times New Roman" w:hAnsi="Times New Roman" w:eastAsia="宋体" w:cs="Times New Roman"/>
          <w:szCs w:val="21"/>
        </w:rPr>
        <w:t xml:space="preserve">证券代码：603232              证券简称：格尔软件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公告编号：202</w:t>
      </w:r>
      <w:r>
        <w:rPr>
          <w:rFonts w:hint="eastAsia" w:ascii="Times New Roman" w:hAnsi="Times New Roman" w:eastAsia="宋体" w:cs="Times New Roman"/>
          <w:szCs w:val="21"/>
        </w:rPr>
        <w:t>2</w:t>
      </w:r>
      <w:r>
        <w:rPr>
          <w:rFonts w:ascii="Times New Roman" w:hAnsi="Times New Roman" w:eastAsia="宋体" w:cs="Times New Roman"/>
          <w:szCs w:val="21"/>
        </w:rPr>
        <w:t>-</w:t>
      </w:r>
      <w:r>
        <w:rPr>
          <w:rFonts w:hint="eastAsia" w:ascii="Times New Roman" w:hAnsi="Times New Roman" w:eastAsia="宋体" w:cs="Times New Roman"/>
          <w:szCs w:val="21"/>
          <w:lang w:val="en-US" w:eastAsia="zh-CN"/>
        </w:rPr>
        <w:t>020</w:t>
      </w:r>
    </w:p>
    <w:p>
      <w:pPr>
        <w:autoSpaceDE w:val="0"/>
        <w:autoSpaceDN w:val="0"/>
        <w:adjustRightInd w:val="0"/>
        <w:jc w:val="left"/>
        <w:rPr>
          <w:rFonts w:ascii="黑体" w:hAnsi="黑体" w:eastAsia="宋体" w:cs="黑体"/>
          <w:color w:val="000000"/>
          <w:kern w:val="0"/>
          <w:sz w:val="24"/>
        </w:rPr>
      </w:pPr>
    </w:p>
    <w:p>
      <w:pPr>
        <w:adjustRightInd w:val="0"/>
        <w:snapToGrid w:val="0"/>
        <w:spacing w:line="324" w:lineRule="auto"/>
        <w:jc w:val="center"/>
        <w:rPr>
          <w:rFonts w:ascii="黑体" w:hAnsi="黑体" w:eastAsia="黑体" w:cs="黑体"/>
          <w:b/>
          <w:bCs/>
          <w:color w:val="FF0000"/>
          <w:kern w:val="0"/>
          <w:sz w:val="36"/>
          <w:szCs w:val="36"/>
        </w:rPr>
      </w:pPr>
      <w:r>
        <w:rPr>
          <w:rFonts w:hint="eastAsia" w:ascii="黑体" w:hAnsi="黑体" w:eastAsia="黑体" w:cs="黑体"/>
          <w:b/>
          <w:bCs/>
          <w:color w:val="FF0000"/>
          <w:kern w:val="0"/>
          <w:sz w:val="36"/>
          <w:szCs w:val="36"/>
        </w:rPr>
        <w:t>格尔软件</w:t>
      </w:r>
      <w:r>
        <w:rPr>
          <w:rFonts w:ascii="黑体" w:hAnsi="黑体" w:eastAsia="黑体" w:cs="黑体"/>
          <w:b/>
          <w:bCs/>
          <w:color w:val="FF0000"/>
          <w:kern w:val="0"/>
          <w:sz w:val="36"/>
          <w:szCs w:val="36"/>
        </w:rPr>
        <w:t>股份有限公司</w:t>
      </w:r>
    </w:p>
    <w:p>
      <w:pPr>
        <w:adjustRightInd w:val="0"/>
        <w:snapToGrid w:val="0"/>
        <w:spacing w:line="324" w:lineRule="auto"/>
        <w:jc w:val="center"/>
        <w:rPr>
          <w:rFonts w:ascii="黑体" w:hAnsi="黑体" w:eastAsia="黑体" w:cs="黑体"/>
          <w:b/>
          <w:bCs/>
          <w:color w:val="FF0000"/>
          <w:kern w:val="0"/>
          <w:sz w:val="32"/>
          <w:szCs w:val="32"/>
        </w:rPr>
      </w:pPr>
      <w:r>
        <w:rPr>
          <w:rFonts w:hint="eastAsia" w:ascii="黑体" w:hAnsi="黑体" w:eastAsia="黑体" w:cs="黑体"/>
          <w:b/>
          <w:bCs/>
          <w:color w:val="FF0000"/>
          <w:kern w:val="0"/>
          <w:sz w:val="36"/>
          <w:szCs w:val="36"/>
        </w:rPr>
        <w:t>关于疫情防控期间参加2021年年度股东大会相关注意事项的提示性公告</w:t>
      </w:r>
    </w:p>
    <w:p>
      <w:pPr>
        <w:pBdr>
          <w:top w:val="single" w:color="auto" w:sz="4" w:space="1"/>
          <w:left w:val="single" w:color="auto" w:sz="4" w:space="4"/>
          <w:bottom w:val="single" w:color="auto" w:sz="4" w:space="1"/>
          <w:right w:val="single" w:color="auto" w:sz="4" w:space="4"/>
        </w:pBdr>
        <w:adjustRightInd w:val="0"/>
        <w:snapToGrid w:val="0"/>
        <w:spacing w:line="360" w:lineRule="auto"/>
        <w:jc w:val="left"/>
        <w:rPr>
          <w:rFonts w:ascii="宋体" w:hAnsi="宋体"/>
          <w:sz w:val="22"/>
          <w:szCs w:val="18"/>
        </w:rPr>
      </w:pPr>
      <w:r>
        <w:rPr>
          <w:rFonts w:hint="eastAsia" w:ascii="宋体" w:hAnsi="宋体"/>
          <w:sz w:val="24"/>
        </w:rPr>
        <w:t xml:space="preserve">   </w:t>
      </w:r>
      <w:r>
        <w:rPr>
          <w:rFonts w:hint="eastAsia" w:ascii="宋体" w:hAnsi="宋体"/>
          <w:sz w:val="22"/>
          <w:szCs w:val="18"/>
        </w:rPr>
        <w:t xml:space="preserve"> 本公司董事会及全体董事保证本公告内容不存在任何虚假记载、误导性陈述或者重大遗漏，并对其内容的真实性、准确性和完整性承担个别及连带责任。</w:t>
      </w:r>
    </w:p>
    <w:p>
      <w:pPr>
        <w:jc w:val="left"/>
        <w:rPr>
          <w:rFonts w:ascii="宋体" w:hAnsi="宋体" w:eastAsia="宋体"/>
          <w:color w:val="000000"/>
          <w:sz w:val="24"/>
        </w:rPr>
      </w:pPr>
    </w:p>
    <w:p>
      <w:pPr>
        <w:spacing w:line="360" w:lineRule="auto"/>
        <w:ind w:firstLine="400"/>
        <w:rPr>
          <w:rFonts w:ascii="Times New Roman" w:hAnsi="Times New Roman" w:eastAsia="宋体" w:cs="Times New Roman"/>
          <w:color w:val="000000"/>
          <w:sz w:val="24"/>
        </w:rPr>
      </w:pPr>
      <w:r>
        <w:rPr>
          <w:rFonts w:hint="eastAsia" w:ascii="Times New Roman" w:hAnsi="Times New Roman" w:eastAsia="宋体" w:cs="Times New Roman"/>
          <w:color w:val="000000"/>
          <w:sz w:val="24"/>
        </w:rPr>
        <w:t>格尔软件</w:t>
      </w:r>
      <w:r>
        <w:rPr>
          <w:rFonts w:ascii="Times New Roman" w:hAnsi="Times New Roman" w:eastAsia="宋体" w:cs="Times New Roman"/>
          <w:color w:val="000000"/>
          <w:sz w:val="24"/>
        </w:rPr>
        <w:t>股份有限公司（以下</w:t>
      </w:r>
      <w:r>
        <w:rPr>
          <w:rFonts w:hint="eastAsia" w:ascii="宋体" w:hAnsi="宋体" w:eastAsia="宋体" w:cs="宋体"/>
          <w:color w:val="000000"/>
          <w:sz w:val="24"/>
        </w:rPr>
        <w:t>简称“公司”</w:t>
      </w:r>
      <w:r>
        <w:rPr>
          <w:rFonts w:ascii="Times New Roman" w:hAnsi="Times New Roman" w:eastAsia="宋体" w:cs="Times New Roman"/>
          <w:color w:val="000000"/>
          <w:sz w:val="24"/>
        </w:rPr>
        <w:t>）于2022年</w:t>
      </w:r>
      <w:r>
        <w:rPr>
          <w:rFonts w:hint="eastAsia" w:ascii="Times New Roman" w:hAnsi="Times New Roman" w:eastAsia="宋体" w:cs="Times New Roman"/>
          <w:color w:val="000000"/>
          <w:sz w:val="24"/>
        </w:rPr>
        <w:t>4</w:t>
      </w:r>
      <w:r>
        <w:rPr>
          <w:rFonts w:ascii="Times New Roman" w:hAnsi="Times New Roman" w:eastAsia="宋体" w:cs="Times New Roman"/>
          <w:color w:val="000000"/>
          <w:sz w:val="24"/>
        </w:rPr>
        <w:t>月</w:t>
      </w:r>
      <w:r>
        <w:rPr>
          <w:rFonts w:hint="eastAsia" w:ascii="Times New Roman" w:hAnsi="Times New Roman" w:eastAsia="宋体" w:cs="Times New Roman"/>
          <w:color w:val="000000"/>
          <w:sz w:val="24"/>
        </w:rPr>
        <w:t>26</w:t>
      </w:r>
      <w:r>
        <w:rPr>
          <w:rFonts w:ascii="Times New Roman" w:hAnsi="Times New Roman" w:eastAsia="宋体" w:cs="Times New Roman"/>
          <w:color w:val="000000"/>
          <w:sz w:val="24"/>
        </w:rPr>
        <w:t>日在上海证券交易所网站（</w:t>
      </w:r>
      <w:r>
        <w:rPr>
          <w:rFonts w:hint="eastAsia" w:ascii="Times New Roman" w:hAnsi="Times New Roman" w:eastAsia="宋体" w:cs="Times New Roman"/>
          <w:color w:val="000000"/>
          <w:sz w:val="24"/>
        </w:rPr>
        <w:t>www.</w:t>
      </w:r>
      <w:r>
        <w:rPr>
          <w:rFonts w:ascii="Times New Roman" w:hAnsi="Times New Roman" w:eastAsia="宋体" w:cs="Times New Roman"/>
          <w:color w:val="000000"/>
          <w:sz w:val="24"/>
        </w:rPr>
        <w:t>sse.com.cn）及相关指定信息披露媒体披露了《</w:t>
      </w:r>
      <w:r>
        <w:rPr>
          <w:rFonts w:hint="eastAsia" w:ascii="Times New Roman" w:hAnsi="Times New Roman" w:eastAsia="宋体" w:cs="Times New Roman"/>
          <w:color w:val="000000"/>
          <w:sz w:val="24"/>
        </w:rPr>
        <w:t>公司</w:t>
      </w:r>
      <w:r>
        <w:rPr>
          <w:rFonts w:ascii="Times New Roman" w:hAnsi="Times New Roman" w:eastAsia="宋体" w:cs="Times New Roman"/>
          <w:color w:val="000000"/>
          <w:sz w:val="24"/>
        </w:rPr>
        <w:t>关于召开2021年年度股东大会的通知》</w:t>
      </w:r>
      <w:r>
        <w:rPr>
          <w:rFonts w:hint="eastAsia" w:ascii="Times New Roman" w:hAnsi="Times New Roman" w:eastAsia="宋体" w:cs="Times New Roman"/>
          <w:color w:val="000000"/>
          <w:sz w:val="24"/>
        </w:rPr>
        <w:t>（公告编号：2022-018）</w:t>
      </w:r>
      <w:r>
        <w:rPr>
          <w:rFonts w:ascii="Times New Roman" w:hAnsi="Times New Roman" w:eastAsia="宋体" w:cs="Times New Roman"/>
          <w:color w:val="000000"/>
          <w:sz w:val="24"/>
        </w:rPr>
        <w:t>，本次股东大会</w:t>
      </w:r>
      <w:r>
        <w:rPr>
          <w:rFonts w:hint="eastAsia" w:ascii="Times New Roman" w:hAnsi="Times New Roman" w:eastAsia="宋体" w:cs="Times New Roman"/>
          <w:color w:val="000000"/>
          <w:sz w:val="24"/>
        </w:rPr>
        <w:t>定于2022年5月30日下午14:00</w:t>
      </w:r>
      <w:r>
        <w:rPr>
          <w:rFonts w:hint="eastAsia" w:ascii="Times New Roman" w:hAnsi="Times New Roman" w:eastAsia="宋体" w:cs="Times New Roman"/>
          <w:color w:val="000000"/>
          <w:sz w:val="24"/>
          <w:lang w:val="en-US" w:eastAsia="zh-CN"/>
        </w:rPr>
        <w:t>在上海市静安区江场西路299弄5号中铁中环时代广场4号楼6楼一号会议室</w:t>
      </w:r>
      <w:r>
        <w:rPr>
          <w:rFonts w:hint="eastAsia" w:ascii="Times New Roman" w:hAnsi="Times New Roman" w:eastAsia="宋体" w:cs="Times New Roman"/>
          <w:color w:val="000000"/>
          <w:sz w:val="24"/>
        </w:rPr>
        <w:t>召开，并</w:t>
      </w:r>
      <w:r>
        <w:rPr>
          <w:rFonts w:ascii="Times New Roman" w:hAnsi="Times New Roman" w:eastAsia="宋体" w:cs="Times New Roman"/>
          <w:color w:val="000000"/>
          <w:sz w:val="24"/>
        </w:rPr>
        <w:t>采取现场投票</w:t>
      </w:r>
      <w:r>
        <w:rPr>
          <w:rFonts w:hint="eastAsia" w:ascii="Times New Roman" w:hAnsi="Times New Roman" w:eastAsia="宋体" w:cs="Times New Roman"/>
          <w:color w:val="000000"/>
          <w:sz w:val="24"/>
        </w:rPr>
        <w:t>与</w:t>
      </w:r>
      <w:r>
        <w:rPr>
          <w:rFonts w:ascii="Times New Roman" w:hAnsi="Times New Roman" w:eastAsia="宋体" w:cs="Times New Roman"/>
          <w:color w:val="000000"/>
          <w:sz w:val="24"/>
        </w:rPr>
        <w:t>网络投票</w:t>
      </w:r>
      <w:r>
        <w:rPr>
          <w:rFonts w:hint="eastAsia" w:ascii="Times New Roman" w:hAnsi="Times New Roman" w:eastAsia="宋体" w:cs="Times New Roman"/>
          <w:color w:val="000000"/>
          <w:sz w:val="24"/>
        </w:rPr>
        <w:t>相结合</w:t>
      </w:r>
      <w:r>
        <w:rPr>
          <w:rFonts w:ascii="Times New Roman" w:hAnsi="Times New Roman" w:eastAsia="宋体" w:cs="Times New Roman"/>
          <w:color w:val="000000"/>
          <w:sz w:val="24"/>
        </w:rPr>
        <w:t>的方式。</w:t>
      </w:r>
    </w:p>
    <w:p>
      <w:pPr>
        <w:spacing w:line="360" w:lineRule="auto"/>
        <w:ind w:firstLine="400"/>
        <w:rPr>
          <w:rFonts w:ascii="Times New Roman" w:hAnsi="Times New Roman" w:eastAsia="宋体" w:cs="Times New Roman"/>
          <w:color w:val="000000"/>
          <w:sz w:val="24"/>
        </w:rPr>
      </w:pPr>
      <w:r>
        <w:rPr>
          <w:rFonts w:ascii="Times New Roman" w:hAnsi="Times New Roman" w:eastAsia="宋体" w:cs="Times New Roman"/>
          <w:color w:val="000000"/>
          <w:sz w:val="24"/>
        </w:rPr>
        <w:t>鉴于当前</w:t>
      </w:r>
      <w:r>
        <w:rPr>
          <w:rFonts w:hint="eastAsia" w:ascii="Times New Roman" w:hAnsi="Times New Roman" w:eastAsia="宋体" w:cs="Times New Roman"/>
          <w:color w:val="000000"/>
          <w:sz w:val="24"/>
        </w:rPr>
        <w:t>上海</w:t>
      </w:r>
      <w:r>
        <w:rPr>
          <w:rFonts w:ascii="Times New Roman" w:hAnsi="Times New Roman" w:eastAsia="宋体" w:cs="Times New Roman"/>
          <w:color w:val="000000"/>
          <w:sz w:val="24"/>
        </w:rPr>
        <w:t>疫情防控仍处于关键时期</w:t>
      </w:r>
      <w:r>
        <w:rPr>
          <w:rFonts w:hint="eastAsia" w:ascii="Times New Roman" w:hAnsi="Times New Roman" w:eastAsia="宋体" w:cs="Times New Roman"/>
          <w:color w:val="000000"/>
          <w:sz w:val="24"/>
          <w:lang w:eastAsia="zh-CN"/>
        </w:rPr>
        <w:t>，</w:t>
      </w:r>
      <w:r>
        <w:rPr>
          <w:rFonts w:hint="eastAsia" w:ascii="Times New Roman" w:hAnsi="Times New Roman" w:eastAsia="宋体" w:cs="Times New Roman"/>
          <w:color w:val="000000"/>
          <w:sz w:val="24"/>
        </w:rPr>
        <w:t>为严格落实疫情防控要求，最大程度</w:t>
      </w:r>
      <w:bookmarkStart w:id="1" w:name="_GoBack"/>
      <w:bookmarkEnd w:id="1"/>
      <w:r>
        <w:rPr>
          <w:rFonts w:hint="eastAsia" w:ascii="Times New Roman" w:hAnsi="Times New Roman" w:eastAsia="宋体" w:cs="Times New Roman"/>
          <w:color w:val="000000"/>
          <w:sz w:val="24"/>
        </w:rPr>
        <w:t>保护</w:t>
      </w:r>
      <w:r>
        <w:rPr>
          <w:rFonts w:ascii="Times New Roman" w:hAnsi="Times New Roman" w:eastAsia="宋体" w:cs="Times New Roman"/>
          <w:color w:val="000000"/>
          <w:sz w:val="24"/>
        </w:rPr>
        <w:t>股东、股东代理人和其他参会人员的健康安全，</w:t>
      </w:r>
      <w:r>
        <w:rPr>
          <w:rFonts w:hint="eastAsia" w:ascii="Times New Roman" w:hAnsi="Times New Roman" w:eastAsia="宋体" w:cs="Times New Roman"/>
          <w:color w:val="000000"/>
          <w:sz w:val="24"/>
          <w:lang w:val="en-US" w:eastAsia="zh-CN"/>
        </w:rPr>
        <w:t>同时依法保障股东合法权益，</w:t>
      </w:r>
      <w:r>
        <w:rPr>
          <w:rFonts w:ascii="Times New Roman" w:hAnsi="Times New Roman" w:eastAsia="宋体" w:cs="Times New Roman"/>
          <w:color w:val="000000"/>
          <w:sz w:val="24"/>
        </w:rPr>
        <w:t>公司对疫情防控期间参加本次股东大会的相关事项进行了调整，现特别提示如下：</w:t>
      </w:r>
    </w:p>
    <w:p>
      <w:pPr>
        <w:numPr>
          <w:ilvl w:val="0"/>
          <w:numId w:val="1"/>
        </w:numPr>
        <w:spacing w:line="360" w:lineRule="auto"/>
        <w:ind w:firstLine="400"/>
        <w:rPr>
          <w:rFonts w:ascii="Times New Roman" w:hAnsi="Times New Roman" w:eastAsia="宋体" w:cs="Times New Roman"/>
          <w:b/>
          <w:bCs/>
          <w:color w:val="000000"/>
          <w:sz w:val="24"/>
        </w:rPr>
      </w:pPr>
      <w:r>
        <w:rPr>
          <w:rFonts w:hint="eastAsia" w:ascii="Times New Roman" w:hAnsi="Times New Roman" w:eastAsia="宋体" w:cs="Times New Roman"/>
          <w:b/>
          <w:bCs/>
          <w:color w:val="000000"/>
          <w:sz w:val="24"/>
        </w:rPr>
        <w:t>建议股东优先选择网络投票方式参会</w:t>
      </w:r>
    </w:p>
    <w:p>
      <w:pPr>
        <w:spacing w:line="360" w:lineRule="auto"/>
        <w:ind w:firstLine="420" w:firstLineChars="175"/>
        <w:rPr>
          <w:rFonts w:ascii="Times New Roman" w:hAnsi="Times New Roman" w:eastAsia="宋体" w:cs="Times New Roman"/>
          <w:color w:val="000000"/>
          <w:sz w:val="24"/>
        </w:rPr>
      </w:pPr>
      <w:r>
        <w:rPr>
          <w:rFonts w:hint="eastAsia" w:ascii="Times New Roman" w:hAnsi="Times New Roman" w:eastAsia="宋体" w:cs="Times New Roman"/>
          <w:color w:val="000000"/>
          <w:sz w:val="24"/>
        </w:rPr>
        <w:t>为配合疫情防控要求，建议股东优先选择通过网络投票方式参加本次股东大会。</w:t>
      </w:r>
    </w:p>
    <w:p>
      <w:pPr>
        <w:numPr>
          <w:ilvl w:val="0"/>
          <w:numId w:val="1"/>
        </w:numPr>
        <w:spacing w:line="360" w:lineRule="auto"/>
        <w:ind w:firstLine="400"/>
        <w:rPr>
          <w:rFonts w:ascii="Times New Roman" w:hAnsi="Times New Roman" w:eastAsia="宋体" w:cs="Times New Roman"/>
          <w:b/>
          <w:bCs/>
          <w:color w:val="000000"/>
          <w:sz w:val="24"/>
        </w:rPr>
      </w:pPr>
      <w:r>
        <w:rPr>
          <w:rFonts w:hint="eastAsia" w:ascii="Times New Roman" w:hAnsi="Times New Roman" w:eastAsia="宋体" w:cs="Times New Roman"/>
          <w:b/>
          <w:bCs/>
          <w:color w:val="000000"/>
          <w:sz w:val="24"/>
        </w:rPr>
        <w:t>调整现场会议召开方式为视频通讯方式</w:t>
      </w:r>
    </w:p>
    <w:p>
      <w:pPr>
        <w:spacing w:line="360" w:lineRule="auto"/>
        <w:ind w:firstLine="420"/>
        <w:rPr>
          <w:rFonts w:ascii="Times New Roman" w:hAnsi="Times New Roman" w:eastAsia="宋体" w:cs="Times New Roman"/>
          <w:color w:val="000000"/>
          <w:sz w:val="24"/>
        </w:rPr>
      </w:pPr>
      <w:r>
        <w:rPr>
          <w:rFonts w:hint="eastAsia" w:ascii="Times New Roman" w:hAnsi="Times New Roman" w:eastAsia="宋体" w:cs="Times New Roman"/>
          <w:color w:val="000000"/>
          <w:sz w:val="24"/>
        </w:rPr>
        <w:t>基于疫情防控要求，本次股东大会现场会议召开方式调整为以视频通讯方式召开。本次股东大会的股权登记日为2022年5月23日，截至本次股东大会股权登记日登记在册的全体股东均可选择视频通讯方式参会。公司取消本次股东大会现场登记，拟通过视频通讯方式参与会议的股东，须在原定会议登记时间（2022年5月26日上午9:00—11:30；下午13:00—16:00）扫描下方二维码进行登记。</w:t>
      </w:r>
    </w:p>
    <w:p>
      <w:pPr>
        <w:spacing w:line="360" w:lineRule="auto"/>
        <w:jc w:val="center"/>
        <w:rPr>
          <w:rFonts w:ascii="Times New Roman" w:hAnsi="Times New Roman" w:eastAsia="宋体" w:cs="Times New Roman"/>
          <w:color w:val="000000"/>
          <w:sz w:val="24"/>
        </w:rPr>
      </w:pPr>
      <w:r>
        <w:rPr>
          <w:rFonts w:hint="eastAsia" w:ascii="Times New Roman" w:hAnsi="Times New Roman" w:eastAsia="宋体" w:cs="Times New Roman"/>
          <w:color w:val="000000"/>
          <w:sz w:val="24"/>
        </w:rPr>
        <w:drawing>
          <wp:inline distT="0" distB="0" distL="114300" distR="114300">
            <wp:extent cx="2101215" cy="2101215"/>
            <wp:effectExtent l="0" t="0" r="3810" b="3810"/>
            <wp:docPr id="1" name="图片 1" descr="fcd6a00fae1597b9d586fd1d8be6b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cd6a00fae1597b9d586fd1d8be6b12"/>
                    <pic:cNvPicPr>
                      <a:picLocks noChangeAspect="1"/>
                    </pic:cNvPicPr>
                  </pic:nvPicPr>
                  <pic:blipFill>
                    <a:blip r:embed="rId4" cstate="print"/>
                    <a:stretch>
                      <a:fillRect/>
                    </a:stretch>
                  </pic:blipFill>
                  <pic:spPr>
                    <a:xfrm>
                      <a:off x="0" y="0"/>
                      <a:ext cx="2101215" cy="2101215"/>
                    </a:xfrm>
                    <a:prstGeom prst="rect">
                      <a:avLst/>
                    </a:prstGeom>
                  </pic:spPr>
                </pic:pic>
              </a:graphicData>
            </a:graphic>
          </wp:inline>
        </w:drawing>
      </w:r>
    </w:p>
    <w:p>
      <w:pPr>
        <w:spacing w:line="360" w:lineRule="auto"/>
        <w:ind w:firstLine="420"/>
        <w:rPr>
          <w:rFonts w:ascii="Times New Roman" w:hAnsi="Times New Roman" w:eastAsia="宋体" w:cs="Times New Roman"/>
          <w:color w:val="000000"/>
          <w:sz w:val="24"/>
        </w:rPr>
      </w:pPr>
      <w:r>
        <w:rPr>
          <w:rFonts w:hint="eastAsia" w:ascii="Times New Roman" w:hAnsi="Times New Roman" w:eastAsia="宋体" w:cs="Times New Roman"/>
          <w:color w:val="000000"/>
          <w:sz w:val="24"/>
        </w:rPr>
        <w:t>登记参加视频通讯会议的股东须提供与现场会议登记要求一致的文件。完成登记和身份验证的股东将于2022年5月28日下午15时之前收到“关于如何参加公司2021年年度股东大会视频会议的指引”的邮件或短信。请获得</w:t>
      </w:r>
      <w:r>
        <w:rPr>
          <w:rFonts w:hint="eastAsia" w:ascii="Times New Roman" w:hAnsi="Times New Roman" w:eastAsia="宋体" w:cs="Times New Roman"/>
          <w:color w:val="000000"/>
          <w:sz w:val="24"/>
          <w:lang w:val="en-US" w:eastAsia="zh-CN"/>
        </w:rPr>
        <w:t>会议接入方式</w:t>
      </w:r>
      <w:r>
        <w:rPr>
          <w:rFonts w:hint="eastAsia" w:ascii="Times New Roman" w:hAnsi="Times New Roman" w:eastAsia="宋体" w:cs="Times New Roman"/>
          <w:color w:val="000000"/>
          <w:sz w:val="24"/>
        </w:rPr>
        <w:t>的股东做好保密工作，</w:t>
      </w:r>
      <w:r>
        <w:rPr>
          <w:rFonts w:hint="eastAsia" w:ascii="Times New Roman" w:hAnsi="Times New Roman" w:eastAsia="宋体" w:cs="Times New Roman"/>
          <w:color w:val="000000"/>
          <w:sz w:val="24"/>
          <w:lang w:val="en-US" w:eastAsia="zh-CN"/>
        </w:rPr>
        <w:t>切勿</w:t>
      </w:r>
      <w:r>
        <w:rPr>
          <w:rFonts w:hint="eastAsia" w:ascii="Times New Roman" w:hAnsi="Times New Roman" w:eastAsia="宋体" w:cs="Times New Roman"/>
          <w:color w:val="000000"/>
          <w:sz w:val="24"/>
        </w:rPr>
        <w:t>向他人分享该信息。</w:t>
      </w:r>
    </w:p>
    <w:p>
      <w:pPr>
        <w:spacing w:line="360" w:lineRule="auto"/>
        <w:ind w:firstLine="420"/>
        <w:rPr>
          <w:rFonts w:ascii="Times New Roman" w:hAnsi="Times New Roman" w:eastAsia="宋体" w:cs="Times New Roman"/>
          <w:color w:val="000000"/>
          <w:sz w:val="24"/>
        </w:rPr>
      </w:pPr>
      <w:r>
        <w:rPr>
          <w:rFonts w:hint="eastAsia" w:ascii="Times New Roman" w:hAnsi="Times New Roman" w:eastAsia="宋体" w:cs="Times New Roman"/>
          <w:color w:val="000000"/>
          <w:sz w:val="24"/>
        </w:rPr>
        <w:t>未在登记时间完成参会登记的股东及股东代理人将无法接入本次股东大会，但仍可通过网络投票的方式行使投票权利。</w:t>
      </w:r>
    </w:p>
    <w:p>
      <w:pPr>
        <w:spacing w:line="360" w:lineRule="auto"/>
        <w:ind w:firstLine="420"/>
        <w:rPr>
          <w:rFonts w:ascii="Times New Roman" w:hAnsi="Times New Roman" w:eastAsia="宋体" w:cs="Times New Roman"/>
          <w:color w:val="000000"/>
          <w:sz w:val="24"/>
        </w:rPr>
      </w:pPr>
      <w:r>
        <w:rPr>
          <w:rFonts w:hint="eastAsia" w:ascii="Times New Roman" w:hAnsi="Times New Roman" w:eastAsia="宋体" w:cs="Times New Roman"/>
          <w:color w:val="000000"/>
          <w:sz w:val="24"/>
        </w:rPr>
        <w:t>除上述内容外，公司于2022年4月26日披露的《公司关于召开2021年年度股东大会的通知》（公告编号：2022-018）列明的其他事项不变。</w:t>
      </w:r>
    </w:p>
    <w:p>
      <w:pPr>
        <w:spacing w:line="360" w:lineRule="auto"/>
        <w:ind w:left="420"/>
        <w:rPr>
          <w:rFonts w:ascii="Times New Roman" w:hAnsi="Times New Roman" w:eastAsia="宋体" w:cs="Times New Roman"/>
          <w:sz w:val="24"/>
        </w:rPr>
      </w:pPr>
      <w:r>
        <w:rPr>
          <w:rFonts w:ascii="Times New Roman" w:hAnsi="Times New Roman" w:eastAsia="宋体" w:cs="Times New Roman"/>
          <w:sz w:val="24"/>
        </w:rPr>
        <w:t>特此公告。</w:t>
      </w:r>
    </w:p>
    <w:p>
      <w:pPr>
        <w:spacing w:line="360" w:lineRule="auto"/>
        <w:ind w:left="420"/>
        <w:rPr>
          <w:rFonts w:ascii="Times New Roman" w:hAnsi="Times New Roman" w:eastAsia="宋体" w:cs="Times New Roman"/>
          <w:sz w:val="24"/>
        </w:rPr>
      </w:pPr>
    </w:p>
    <w:p>
      <w:pPr>
        <w:spacing w:line="360" w:lineRule="auto"/>
        <w:jc w:val="right"/>
        <w:rPr>
          <w:rFonts w:ascii="Times New Roman" w:hAnsi="Times New Roman" w:eastAsia="Times New Roman" w:cs="Times New Roman"/>
        </w:rPr>
      </w:pPr>
      <w:r>
        <w:rPr>
          <w:rFonts w:ascii="Times New Roman" w:hAnsi="Times New Roman" w:eastAsia="宋体" w:cs="Times New Roman"/>
          <w:sz w:val="24"/>
        </w:rPr>
        <w:t>格尔软件股份有限公司董事会</w:t>
      </w:r>
    </w:p>
    <w:p>
      <w:pPr>
        <w:spacing w:line="360" w:lineRule="auto"/>
        <w:jc w:val="right"/>
        <w:rPr>
          <w:rFonts w:eastAsia="宋体"/>
        </w:rPr>
      </w:pPr>
      <w:r>
        <w:rPr>
          <w:rFonts w:ascii="Times New Roman" w:hAnsi="Times New Roman" w:eastAsia="宋体" w:cs="Times New Roman"/>
          <w:sz w:val="24"/>
        </w:rPr>
        <w:t>202</w:t>
      </w:r>
      <w:r>
        <w:rPr>
          <w:rFonts w:hint="eastAsia" w:ascii="Times New Roman" w:hAnsi="Times New Roman" w:eastAsia="宋体" w:cs="Times New Roman"/>
          <w:sz w:val="24"/>
        </w:rPr>
        <w:t>2</w:t>
      </w:r>
      <w:r>
        <w:rPr>
          <w:rFonts w:ascii="Times New Roman" w:hAnsi="Times New Roman" w:eastAsia="Times New Roman" w:cs="Times New Roman"/>
          <w:sz w:val="24"/>
        </w:rPr>
        <w:t>年</w:t>
      </w:r>
      <w:r>
        <w:rPr>
          <w:rFonts w:hint="eastAsia" w:ascii="Times New Roman" w:hAnsi="Times New Roman" w:eastAsia="Times New Roman" w:cs="Times New Roman"/>
          <w:sz w:val="24"/>
        </w:rPr>
        <w:t>5</w:t>
      </w:r>
      <w:r>
        <w:rPr>
          <w:rFonts w:ascii="Times New Roman" w:hAnsi="Times New Roman" w:eastAsia="Times New Roman" w:cs="Times New Roman"/>
          <w:sz w:val="24"/>
        </w:rPr>
        <w:t>月</w:t>
      </w:r>
      <w:r>
        <w:rPr>
          <w:rFonts w:hint="eastAsia" w:ascii="Times New Roman" w:hAnsi="Times New Roman" w:eastAsia="宋体" w:cs="Times New Roman"/>
          <w:sz w:val="24"/>
          <w:highlight w:val="none"/>
          <w:lang w:val="en-US" w:eastAsia="zh-CN"/>
        </w:rPr>
        <w:t>23</w:t>
      </w:r>
      <w:r>
        <w:rPr>
          <w:rFonts w:ascii="Times New Roman" w:hAnsi="Times New Roman" w:eastAsia="Times New Roman" w:cs="Times New Roman"/>
          <w:sz w:val="24"/>
        </w:rPr>
        <w:t>日</w:t>
      </w:r>
    </w:p>
    <w:p/>
    <w:sectPr>
      <w:pgSz w:w="11900" w:h="16838"/>
      <w:pgMar w:top="1440" w:right="1780" w:bottom="1440" w:left="1800" w:header="0" w:footer="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5F9830"/>
    <w:multiLevelType w:val="singleLevel"/>
    <w:tmpl w:val="F85F9830"/>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3Y2JlNzkyMmU2MDNmNmE5NDEyZDZjNWU0NmZkZmQifQ=="/>
  </w:docVars>
  <w:rsids>
    <w:rsidRoot w:val="5A17372D"/>
    <w:rsid w:val="0010361B"/>
    <w:rsid w:val="003042B6"/>
    <w:rsid w:val="003464BF"/>
    <w:rsid w:val="003523BB"/>
    <w:rsid w:val="00491A48"/>
    <w:rsid w:val="00721846"/>
    <w:rsid w:val="009B250C"/>
    <w:rsid w:val="009C1AC6"/>
    <w:rsid w:val="018E4822"/>
    <w:rsid w:val="027576DF"/>
    <w:rsid w:val="02AF4FED"/>
    <w:rsid w:val="049C0D81"/>
    <w:rsid w:val="04BC2DF0"/>
    <w:rsid w:val="04BD6B13"/>
    <w:rsid w:val="050F3BF1"/>
    <w:rsid w:val="051D5553"/>
    <w:rsid w:val="05202816"/>
    <w:rsid w:val="05B5678A"/>
    <w:rsid w:val="062C6BCE"/>
    <w:rsid w:val="07832D9E"/>
    <w:rsid w:val="083E47F0"/>
    <w:rsid w:val="08977F70"/>
    <w:rsid w:val="08C60F31"/>
    <w:rsid w:val="097203F7"/>
    <w:rsid w:val="0AC149D4"/>
    <w:rsid w:val="0BC4590D"/>
    <w:rsid w:val="0BE8347C"/>
    <w:rsid w:val="0E072A82"/>
    <w:rsid w:val="0F34760A"/>
    <w:rsid w:val="0FBD3F46"/>
    <w:rsid w:val="100E2521"/>
    <w:rsid w:val="11535FD3"/>
    <w:rsid w:val="11B55FCB"/>
    <w:rsid w:val="11FA498B"/>
    <w:rsid w:val="15462F97"/>
    <w:rsid w:val="15E54F66"/>
    <w:rsid w:val="17391ED0"/>
    <w:rsid w:val="17965A93"/>
    <w:rsid w:val="17A17C4F"/>
    <w:rsid w:val="17E62CEF"/>
    <w:rsid w:val="1A041605"/>
    <w:rsid w:val="1C7D2391"/>
    <w:rsid w:val="1C8E025B"/>
    <w:rsid w:val="1D36117A"/>
    <w:rsid w:val="1DE640C3"/>
    <w:rsid w:val="1E125A00"/>
    <w:rsid w:val="1F49636D"/>
    <w:rsid w:val="1F6C3676"/>
    <w:rsid w:val="29A7485D"/>
    <w:rsid w:val="2DF44503"/>
    <w:rsid w:val="2E4E7A2B"/>
    <w:rsid w:val="2E80779D"/>
    <w:rsid w:val="3340749F"/>
    <w:rsid w:val="34E7249A"/>
    <w:rsid w:val="38D05A6D"/>
    <w:rsid w:val="390212BA"/>
    <w:rsid w:val="397D10DC"/>
    <w:rsid w:val="39B02A11"/>
    <w:rsid w:val="3AF7441B"/>
    <w:rsid w:val="3C295A99"/>
    <w:rsid w:val="3EE1443F"/>
    <w:rsid w:val="3EE71B36"/>
    <w:rsid w:val="3EFB2631"/>
    <w:rsid w:val="3F003CB5"/>
    <w:rsid w:val="40461D28"/>
    <w:rsid w:val="40502228"/>
    <w:rsid w:val="40E8468C"/>
    <w:rsid w:val="42FD048C"/>
    <w:rsid w:val="432B625C"/>
    <w:rsid w:val="433B62FA"/>
    <w:rsid w:val="43426F87"/>
    <w:rsid w:val="48000720"/>
    <w:rsid w:val="49721DBB"/>
    <w:rsid w:val="4A0E310F"/>
    <w:rsid w:val="4AFD1F57"/>
    <w:rsid w:val="4B501A2D"/>
    <w:rsid w:val="4C565D83"/>
    <w:rsid w:val="4CAD5B18"/>
    <w:rsid w:val="516C6209"/>
    <w:rsid w:val="549A5A7A"/>
    <w:rsid w:val="56433658"/>
    <w:rsid w:val="56FD7F32"/>
    <w:rsid w:val="57621333"/>
    <w:rsid w:val="59DB62D9"/>
    <w:rsid w:val="5A17372D"/>
    <w:rsid w:val="5C646231"/>
    <w:rsid w:val="604E6A0A"/>
    <w:rsid w:val="609A26F5"/>
    <w:rsid w:val="61FC78BC"/>
    <w:rsid w:val="64274C3E"/>
    <w:rsid w:val="66066C4D"/>
    <w:rsid w:val="6736715E"/>
    <w:rsid w:val="67BF6746"/>
    <w:rsid w:val="683A721E"/>
    <w:rsid w:val="688A543D"/>
    <w:rsid w:val="68BA5CE9"/>
    <w:rsid w:val="692A202C"/>
    <w:rsid w:val="69760C36"/>
    <w:rsid w:val="6A5B1692"/>
    <w:rsid w:val="6B797D08"/>
    <w:rsid w:val="6B7F203F"/>
    <w:rsid w:val="6C360C93"/>
    <w:rsid w:val="6DBF37EC"/>
    <w:rsid w:val="6DC17BBB"/>
    <w:rsid w:val="6E471F02"/>
    <w:rsid w:val="70BD7855"/>
    <w:rsid w:val="716E7BB1"/>
    <w:rsid w:val="71C47361"/>
    <w:rsid w:val="73911D1F"/>
    <w:rsid w:val="75A620CB"/>
    <w:rsid w:val="76CC503A"/>
    <w:rsid w:val="776179CD"/>
    <w:rsid w:val="7A656D7F"/>
    <w:rsid w:val="7A75045A"/>
    <w:rsid w:val="7BEB393A"/>
    <w:rsid w:val="7C295F1E"/>
    <w:rsid w:val="7FBC7A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qFormat/>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0"/>
    <w:rPr>
      <w:rFonts w:asciiTheme="minorHAnsi" w:hAnsiTheme="minorHAnsi" w:eastAsiaTheme="minorEastAsia" w:cstheme="minorBidi"/>
      <w:kern w:val="2"/>
      <w:sz w:val="18"/>
      <w:szCs w:val="18"/>
    </w:rPr>
  </w:style>
  <w:style w:type="character" w:customStyle="1" w:styleId="8">
    <w:name w:val="页脚 Char"/>
    <w:basedOn w:val="6"/>
    <w:link w:val="3"/>
    <w:qFormat/>
    <w:uiPriority w:val="0"/>
    <w:rPr>
      <w:rFonts w:asciiTheme="minorHAnsi" w:hAnsiTheme="minorHAnsi" w:eastAsiaTheme="minorEastAsia" w:cstheme="minorBidi"/>
      <w:kern w:val="2"/>
      <w:sz w:val="18"/>
      <w:szCs w:val="18"/>
    </w:rPr>
  </w:style>
  <w:style w:type="character" w:customStyle="1" w:styleId="9">
    <w:name w:val="批注框文本 Char"/>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873</Words>
  <Characters>974</Characters>
  <Lines>7</Lines>
  <Paragraphs>2</Paragraphs>
  <TotalTime>400</TotalTime>
  <ScaleCrop>false</ScaleCrop>
  <LinksUpToDate>false</LinksUpToDate>
  <CharactersWithSpaces>1005</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2022-03-02T06:24:00Z</dcterms:created>
  <dc:creator>邹岩</dc:creator>
  <cp:lastModifiedBy>邹岩</cp:lastModifiedBy>
  <dcterms:modified xsi:type="dcterms:W3CDTF">2022-05-19T09:15:46Z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A2F33FF683814662933170A5EDACB1F5</vt:lpwstr>
  </property>
</Properties>
</file>