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eastAsia="宋体"/>
          <w:szCs w:val="21"/>
          <w:lang w:val="en-US" w:eastAsia="zh-CN"/>
        </w:rPr>
      </w:pPr>
      <w:r>
        <w:rPr>
          <w:szCs w:val="21"/>
        </w:rPr>
        <w:t xml:space="preserve">证券代码：603232              证券简称：格尔软件    </w:t>
      </w:r>
      <w:r>
        <w:rPr>
          <w:rFonts w:hint="eastAsia"/>
          <w:szCs w:val="21"/>
          <w:lang w:val="en-US" w:eastAsia="zh-CN"/>
        </w:rPr>
        <w:t xml:space="preserve"> </w:t>
      </w:r>
      <w:r>
        <w:rPr>
          <w:szCs w:val="21"/>
        </w:rPr>
        <w:t xml:space="preserve">        公告编号：202</w:t>
      </w:r>
      <w:r>
        <w:rPr>
          <w:rFonts w:hint="eastAsia"/>
          <w:szCs w:val="21"/>
          <w:highlight w:val="none"/>
          <w:lang w:val="en-US" w:eastAsia="zh-CN"/>
        </w:rPr>
        <w:t>1</w:t>
      </w:r>
      <w:r>
        <w:rPr>
          <w:szCs w:val="21"/>
          <w:highlight w:val="none"/>
        </w:rPr>
        <w:t>-</w:t>
      </w:r>
      <w:r>
        <w:rPr>
          <w:rFonts w:hint="eastAsia"/>
          <w:szCs w:val="21"/>
          <w:highlight w:val="none"/>
          <w:lang w:val="en-US" w:eastAsia="zh-CN"/>
        </w:rPr>
        <w:t>064</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keepNext w:val="0"/>
        <w:keepLines w:val="0"/>
        <w:widowControl/>
        <w:numPr>
          <w:ilvl w:val="0"/>
          <w:numId w:val="1"/>
        </w:numPr>
        <w:suppressLineNumbers w:val="0"/>
        <w:spacing w:line="360" w:lineRule="auto"/>
        <w:ind w:left="420" w:leftChars="0" w:hanging="420" w:firstLineChars="0"/>
        <w:jc w:val="left"/>
        <w:rPr>
          <w:rFonts w:eastAsia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委托理财受托方：</w:t>
      </w:r>
      <w:r>
        <w:rPr>
          <w:rFonts w:eastAsiaTheme="minorEastAsia"/>
          <w:color w:val="000000"/>
          <w:kern w:val="0"/>
          <w:sz w:val="24"/>
          <w:szCs w:val="24"/>
          <w:highlight w:val="none"/>
          <w:lang w:bidi="ar"/>
        </w:rPr>
        <w:t>国融证券股份有限公司上海长江西路证券营业部（以下简称</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国融证券</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eastAsiaTheme="minorEastAsia"/>
          <w:sz w:val="24"/>
          <w:szCs w:val="24"/>
          <w:highlight w:val="none"/>
        </w:rPr>
      </w:pPr>
      <w:r>
        <w:rPr>
          <w:rFonts w:eastAsiaTheme="minorEastAsia"/>
          <w:color w:val="000000"/>
          <w:kern w:val="0"/>
          <w:sz w:val="24"/>
          <w:szCs w:val="24"/>
          <w:highlight w:val="none"/>
          <w:lang w:bidi="ar"/>
        </w:rPr>
        <w:t>本次委托理财金额：</w:t>
      </w:r>
      <w:r>
        <w:rPr>
          <w:rFonts w:hint="eastAsia" w:eastAsiaTheme="minorEastAsia"/>
          <w:color w:val="000000"/>
          <w:kern w:val="0"/>
          <w:sz w:val="24"/>
          <w:szCs w:val="24"/>
          <w:highlight w:val="none"/>
          <w:lang w:val="en-US" w:eastAsia="zh-CN" w:bidi="ar"/>
        </w:rPr>
        <w:t>20,000</w:t>
      </w:r>
      <w:r>
        <w:rPr>
          <w:rFonts w:eastAsiaTheme="minorEastAsia"/>
          <w:color w:val="000000"/>
          <w:kern w:val="0"/>
          <w:sz w:val="24"/>
          <w:szCs w:val="24"/>
          <w:highlight w:val="none"/>
          <w:lang w:bidi="ar"/>
        </w:rPr>
        <w:t>万元</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highlight w:val="none"/>
        </w:rPr>
      </w:pPr>
      <w:r>
        <w:rPr>
          <w:rFonts w:eastAsiaTheme="minorEastAsia"/>
          <w:color w:val="000000"/>
          <w:kern w:val="0"/>
          <w:sz w:val="24"/>
          <w:szCs w:val="24"/>
          <w:highlight w:val="none"/>
          <w:lang w:bidi="ar"/>
        </w:rPr>
        <w:t>委托理财产品名称：</w:t>
      </w:r>
      <w:r>
        <w:rPr>
          <w:rFonts w:hint="eastAsia" w:eastAsiaTheme="minorEastAsia"/>
          <w:color w:val="000000"/>
          <w:kern w:val="0"/>
          <w:sz w:val="24"/>
          <w:szCs w:val="24"/>
          <w:highlight w:val="none"/>
          <w:lang w:bidi="ar"/>
        </w:rPr>
        <w:t>国融证券安享收益凭证21</w:t>
      </w:r>
      <w:r>
        <w:rPr>
          <w:rFonts w:hint="eastAsia" w:eastAsiaTheme="minorEastAsia"/>
          <w:color w:val="000000"/>
          <w:kern w:val="0"/>
          <w:sz w:val="24"/>
          <w:szCs w:val="24"/>
          <w:highlight w:val="none"/>
          <w:lang w:val="en-US" w:eastAsia="zh-CN" w:bidi="ar"/>
        </w:rPr>
        <w:t>64</w:t>
      </w:r>
      <w:r>
        <w:rPr>
          <w:rFonts w:hint="eastAsia" w:eastAsiaTheme="minorEastAsia"/>
          <w:color w:val="000000"/>
          <w:kern w:val="0"/>
          <w:sz w:val="24"/>
          <w:szCs w:val="24"/>
          <w:highlight w:val="none"/>
          <w:lang w:eastAsia="zh-CN" w:bidi="ar"/>
        </w:rPr>
        <w:t>号（以下简称“安享收益凭证</w:t>
      </w:r>
      <w:r>
        <w:rPr>
          <w:rFonts w:hint="eastAsia" w:eastAsiaTheme="minorEastAsia"/>
          <w:color w:val="000000"/>
          <w:kern w:val="0"/>
          <w:sz w:val="24"/>
          <w:szCs w:val="24"/>
          <w:highlight w:val="none"/>
          <w:lang w:val="en-US" w:eastAsia="zh-CN" w:bidi="ar"/>
        </w:rPr>
        <w:t>2164号</w:t>
      </w:r>
      <w:r>
        <w:rPr>
          <w:rFonts w:hint="eastAsia" w:eastAsiaTheme="minorEastAsia"/>
          <w:color w:val="000000"/>
          <w:kern w:val="0"/>
          <w:sz w:val="24"/>
          <w:szCs w:val="24"/>
          <w:highlight w:val="none"/>
          <w:lang w:eastAsia="zh-CN"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eastAsia" w:eastAsiaTheme="minorEastAsia"/>
          <w:color w:val="000000"/>
          <w:kern w:val="0"/>
          <w:sz w:val="24"/>
          <w:szCs w:val="24"/>
          <w:highlight w:val="none"/>
          <w:lang w:eastAsia="zh-CN" w:bidi="ar"/>
        </w:rPr>
        <w:t>安享收益凭证</w:t>
      </w:r>
      <w:r>
        <w:rPr>
          <w:rFonts w:hint="eastAsia" w:eastAsiaTheme="minorEastAsia"/>
          <w:color w:val="000000"/>
          <w:kern w:val="0"/>
          <w:sz w:val="24"/>
          <w:szCs w:val="24"/>
          <w:highlight w:val="none"/>
          <w:lang w:val="en-US" w:eastAsia="zh-CN" w:bidi="ar"/>
        </w:rPr>
        <w:t>2164号总计</w:t>
      </w:r>
      <w:r>
        <w:rPr>
          <w:rFonts w:hint="eastAsia" w:cs="Times New Roman" w:eastAsiaTheme="minorEastAsia"/>
          <w:color w:val="000000"/>
          <w:kern w:val="0"/>
          <w:sz w:val="24"/>
          <w:szCs w:val="24"/>
          <w:highlight w:val="none"/>
          <w:lang w:val="en-US" w:eastAsia="zh-CN" w:bidi="ar"/>
        </w:rPr>
        <w:t>363</w:t>
      </w:r>
      <w:r>
        <w:rPr>
          <w:rFonts w:hint="default" w:ascii="Times New Roman" w:hAnsi="Times New Roman" w:cs="Times New Roman" w:eastAsiaTheme="minorEastAsia"/>
          <w:color w:val="000000"/>
          <w:kern w:val="0"/>
          <w:sz w:val="24"/>
          <w:szCs w:val="24"/>
          <w:highlight w:val="none"/>
          <w:lang w:bidi="ar"/>
        </w:rPr>
        <w:t>天</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color w:val="000000"/>
          <w:sz w:val="24"/>
          <w:szCs w:val="24"/>
        </w:rPr>
      </w:pPr>
      <w:r>
        <w:rPr>
          <w:rFonts w:eastAsiaTheme="minorEastAsia"/>
          <w:color w:val="000000"/>
          <w:kern w:val="0"/>
          <w:sz w:val="24"/>
          <w:szCs w:val="24"/>
          <w:highlight w:val="none"/>
          <w:lang w:bidi="ar"/>
        </w:rPr>
        <w:t>履行的审议程序：格尔软件股份有限公司（以下简称</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公司</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）分别于2020年9月11日、2020年9月28日召开了公司第七届董事会第十二次会议、第七届监事会第九次会议及公司2020年第四次临时股东大会，</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金进行现金管理的议案》。同意公司使用总额不超过人民币7亿元（含7亿元）的闲置募集资金进行现金管理，同时在二年内（含二年）该项资金额度可滚动使用（</w:t>
      </w:r>
      <w:r>
        <w:rPr>
          <w:sz w:val="24"/>
        </w:rPr>
        <w:t>该滚动使用以保证募集资金项目建设和使用为前提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自获得公司2020年第四次临时股东大会审议通过之日起二年内有效。公司独立董事、监</w:t>
      </w:r>
      <w:r>
        <w:rPr>
          <w:rFonts w:eastAsiaTheme="minorEastAsia"/>
          <w:color w:val="000000"/>
          <w:sz w:val="24"/>
          <w:szCs w:val="24"/>
          <w:highlight w:val="none"/>
        </w:rPr>
        <w:t>事会及保荐机构已分别对此发表了同意的意见。具体详情详见公司分别于2020年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12</w:t>
      </w:r>
      <w:r>
        <w:rPr>
          <w:rFonts w:eastAsiaTheme="minorEastAsia"/>
          <w:color w:val="000000"/>
          <w:sz w:val="24"/>
          <w:szCs w:val="24"/>
          <w:highlight w:val="none"/>
        </w:rPr>
        <w:t>日、2020年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29</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》（公告编号：2020-0</w:t>
      </w:r>
      <w:r>
        <w:rPr>
          <w:rFonts w:hint="eastAsia" w:eastAsiaTheme="minorEastAsia"/>
          <w:color w:val="000000"/>
          <w:sz w:val="24"/>
          <w:szCs w:val="24"/>
          <w:lang w:val="en-US" w:eastAsia="zh-CN"/>
        </w:rPr>
        <w:t>6</w:t>
      </w:r>
      <w:r>
        <w:rPr>
          <w:rFonts w:eastAsiaTheme="minorEastAsia"/>
          <w:color w:val="000000"/>
          <w:sz w:val="24"/>
          <w:szCs w:val="24"/>
        </w:rPr>
        <w:t>5）、《格尔软件股份有限公司2020年第四次临时股东大会决议公告》（公告编号：2020-0</w:t>
      </w:r>
      <w:r>
        <w:rPr>
          <w:rFonts w:hint="eastAsia" w:eastAsiaTheme="minorEastAsia"/>
          <w:color w:val="000000"/>
          <w:sz w:val="24"/>
          <w:szCs w:val="24"/>
          <w:lang w:val="en-US" w:eastAsia="zh-CN"/>
        </w:rPr>
        <w:t>69</w:t>
      </w:r>
      <w:r>
        <w:rPr>
          <w:rFonts w:eastAsiaTheme="minorEastAsia"/>
          <w:color w:val="000000"/>
          <w:sz w:val="24"/>
          <w:szCs w:val="24"/>
        </w:rPr>
        <w:t>）。</w:t>
      </w:r>
    </w:p>
    <w:p>
      <w:pPr>
        <w:widowControl/>
        <w:spacing w:before="156" w:beforeLines="50" w:after="156" w:afterLines="50" w:line="360" w:lineRule="auto"/>
        <w:jc w:val="left"/>
        <w:rPr>
          <w:rFonts w:hint="eastAsia"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w:t>
      </w:r>
      <w:r>
        <w:rPr>
          <w:rFonts w:hint="eastAsia" w:eastAsiaTheme="minorEastAsia"/>
          <w:b/>
          <w:color w:val="000000"/>
          <w:sz w:val="24"/>
          <w:szCs w:val="24"/>
          <w:lang w:val="en-US" w:eastAsia="zh-CN"/>
        </w:rPr>
        <w:t>公司前次使用暂时闲置募集资金购买理财产品到期赎回的情况</w:t>
      </w:r>
    </w:p>
    <w:tbl>
      <w:tblPr>
        <w:tblStyle w:val="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702"/>
        <w:gridCol w:w="1350"/>
        <w:gridCol w:w="989"/>
        <w:gridCol w:w="1278"/>
        <w:gridCol w:w="1273"/>
        <w:gridCol w:w="1183"/>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398"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受托方</w:t>
            </w:r>
          </w:p>
        </w:tc>
        <w:tc>
          <w:tcPr>
            <w:tcW w:w="412"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产品类型</w:t>
            </w:r>
          </w:p>
        </w:tc>
        <w:tc>
          <w:tcPr>
            <w:tcW w:w="792"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产品名称</w:t>
            </w:r>
          </w:p>
        </w:tc>
        <w:tc>
          <w:tcPr>
            <w:tcW w:w="580"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赎回金额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c>
          <w:tcPr>
            <w:tcW w:w="750"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收益类型</w:t>
            </w:r>
          </w:p>
        </w:tc>
        <w:tc>
          <w:tcPr>
            <w:tcW w:w="747"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起始日</w:t>
            </w:r>
          </w:p>
        </w:tc>
        <w:tc>
          <w:tcPr>
            <w:tcW w:w="694"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兑付日</w:t>
            </w:r>
          </w:p>
        </w:tc>
        <w:tc>
          <w:tcPr>
            <w:tcW w:w="624"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实际收益金额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jc w:val="center"/>
        </w:trPr>
        <w:tc>
          <w:tcPr>
            <w:tcW w:w="398" w:type="pct"/>
            <w:vAlign w:val="center"/>
          </w:tcPr>
          <w:p>
            <w:pPr>
              <w:widowControl/>
              <w:spacing w:before="156" w:beforeLines="50" w:after="156" w:afterLines="50" w:line="240" w:lineRule="auto"/>
              <w:jc w:val="center"/>
              <w:rPr>
                <w:rFonts w:hint="eastAsia"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国融证券</w:t>
            </w:r>
          </w:p>
        </w:tc>
        <w:tc>
          <w:tcPr>
            <w:tcW w:w="412"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券商收益凭证</w:t>
            </w:r>
          </w:p>
        </w:tc>
        <w:tc>
          <w:tcPr>
            <w:tcW w:w="792" w:type="pct"/>
            <w:vAlign w:val="center"/>
          </w:tcPr>
          <w:p>
            <w:pPr>
              <w:widowControl/>
              <w:spacing w:before="156" w:beforeLines="50" w:after="156" w:afterLines="50" w:line="240" w:lineRule="auto"/>
              <w:jc w:val="center"/>
              <w:rPr>
                <w:rFonts w:hint="eastAsia"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安享收益凭证2016号</w:t>
            </w:r>
          </w:p>
        </w:tc>
        <w:tc>
          <w:tcPr>
            <w:tcW w:w="580"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20,000</w:t>
            </w:r>
          </w:p>
        </w:tc>
        <w:tc>
          <w:tcPr>
            <w:tcW w:w="750"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ascii="Times New Roman" w:hAnsi="Times New Roman" w:cs="Times New Roman" w:eastAsiaTheme="minorEastAsia"/>
                <w:b w:val="0"/>
                <w:bCs/>
                <w:color w:val="000000"/>
                <w:kern w:val="0"/>
                <w:sz w:val="21"/>
                <w:szCs w:val="21"/>
                <w:highlight w:val="none"/>
                <w:lang w:val="en-US" w:eastAsia="zh-CN"/>
              </w:rPr>
              <w:t>本金保障固定收益型</w:t>
            </w:r>
          </w:p>
        </w:tc>
        <w:tc>
          <w:tcPr>
            <w:tcW w:w="747"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2020-9-30</w:t>
            </w:r>
          </w:p>
        </w:tc>
        <w:tc>
          <w:tcPr>
            <w:tcW w:w="694" w:type="pct"/>
            <w:vAlign w:val="center"/>
          </w:tcPr>
          <w:p>
            <w:pPr>
              <w:widowControl/>
              <w:spacing w:before="156" w:beforeLines="50" w:after="156" w:afterLines="50" w:line="240" w:lineRule="auto"/>
              <w:jc w:val="center"/>
              <w:rPr>
                <w:rFonts w:hint="default" w:eastAsiaTheme="minorEastAsia"/>
                <w:color w:val="000000"/>
                <w:sz w:val="21"/>
                <w:szCs w:val="21"/>
                <w:highlight w:val="yellow"/>
                <w:vertAlign w:val="baseline"/>
                <w:lang w:val="en-US" w:eastAsia="zh-CN"/>
              </w:rPr>
            </w:pPr>
            <w:r>
              <w:rPr>
                <w:rFonts w:hint="eastAsia" w:eastAsiaTheme="minorEastAsia"/>
                <w:color w:val="000000"/>
                <w:sz w:val="21"/>
                <w:szCs w:val="21"/>
                <w:highlight w:val="none"/>
                <w:vertAlign w:val="baseline"/>
                <w:lang w:val="en-US" w:eastAsia="zh-CN"/>
              </w:rPr>
              <w:t>2021-9-28</w:t>
            </w:r>
          </w:p>
        </w:tc>
        <w:tc>
          <w:tcPr>
            <w:tcW w:w="624" w:type="pct"/>
            <w:vAlign w:val="center"/>
          </w:tcPr>
          <w:p>
            <w:pPr>
              <w:widowControl/>
              <w:spacing w:before="156" w:beforeLines="50" w:after="156" w:afterLines="50" w:line="240" w:lineRule="auto"/>
              <w:jc w:val="center"/>
              <w:rPr>
                <w:rFonts w:hint="default" w:eastAsiaTheme="minorEastAsia"/>
                <w:color w:val="000000"/>
                <w:sz w:val="21"/>
                <w:szCs w:val="21"/>
                <w:highlight w:val="yellow"/>
                <w:vertAlign w:val="baseline"/>
                <w:lang w:val="en-US" w:eastAsia="zh-CN"/>
              </w:rPr>
            </w:pPr>
            <w:r>
              <w:rPr>
                <w:rFonts w:hint="eastAsia" w:eastAsiaTheme="minorEastAsia"/>
                <w:color w:val="000000"/>
                <w:sz w:val="21"/>
                <w:szCs w:val="21"/>
                <w:highlight w:val="none"/>
                <w:vertAlign w:val="baseline"/>
                <w:lang w:val="en-US" w:eastAsia="zh-CN"/>
              </w:rPr>
              <w:t>892.63</w:t>
            </w:r>
          </w:p>
        </w:tc>
      </w:tr>
    </w:tbl>
    <w:p>
      <w:pPr>
        <w:widowControl/>
        <w:spacing w:before="156" w:beforeLines="50" w:after="156" w:afterLines="50" w:line="360" w:lineRule="auto"/>
        <w:ind w:firstLine="420" w:firstLineChars="175"/>
        <w:jc w:val="both"/>
        <w:rPr>
          <w:rFonts w:hint="default" w:eastAsiaTheme="minorEastAsia"/>
          <w:color w:val="000000"/>
          <w:sz w:val="24"/>
          <w:szCs w:val="24"/>
          <w:lang w:val="en-US"/>
        </w:rPr>
      </w:pPr>
      <w:r>
        <w:rPr>
          <w:rFonts w:hint="eastAsia" w:cs="Times New Roman" w:eastAsiaTheme="minorEastAsia"/>
          <w:color w:val="000000"/>
          <w:sz w:val="24"/>
          <w:szCs w:val="24"/>
          <w:lang w:val="en-US" w:eastAsia="zh-CN"/>
        </w:rPr>
        <w:t>公司于2020年9月29日以募集资金认购了国融证券</w:t>
      </w:r>
      <w:r>
        <w:rPr>
          <w:rFonts w:hint="eastAsia" w:asciiTheme="minorEastAsia" w:hAnsiTheme="minorEastAsia" w:eastAsiaTheme="minorEastAsia" w:cstheme="minorEastAsia"/>
          <w:color w:val="000000"/>
          <w:kern w:val="0"/>
          <w:sz w:val="24"/>
          <w:szCs w:val="24"/>
          <w:lang w:val="en-US" w:eastAsia="zh-CN" w:bidi="ar"/>
        </w:rPr>
        <w:t>的收益凭证。</w:t>
      </w:r>
      <w:r>
        <w:rPr>
          <w:rFonts w:hint="eastAsia" w:ascii="Times New Roman" w:hAnsi="Times New Roman" w:cs="Times New Roman" w:eastAsiaTheme="minorEastAsia"/>
          <w:color w:val="000000"/>
          <w:sz w:val="24"/>
          <w:szCs w:val="24"/>
          <w:lang w:val="en-US" w:eastAsia="zh-CN"/>
        </w:rPr>
        <w:t>具体内容详见</w:t>
      </w:r>
      <w:r>
        <w:rPr>
          <w:rFonts w:hint="eastAsia" w:cs="Times New Roman" w:eastAsiaTheme="minorEastAsia"/>
          <w:color w:val="000000"/>
          <w:sz w:val="24"/>
          <w:szCs w:val="24"/>
          <w:lang w:val="en-US" w:eastAsia="zh-CN"/>
        </w:rPr>
        <w:t>公司于2020年9月30日在</w:t>
      </w:r>
      <w:r>
        <w:rPr>
          <w:rFonts w:hint="eastAsia" w:ascii="Times New Roman" w:hAnsi="Times New Roman" w:cs="Times New Roman" w:eastAsiaTheme="minorEastAsia"/>
          <w:color w:val="000000"/>
          <w:sz w:val="24"/>
          <w:szCs w:val="24"/>
          <w:lang w:val="en-US" w:eastAsia="zh-CN"/>
        </w:rPr>
        <w:t>上海证券交易所官方网站（www.sse.com.cn）披露的</w:t>
      </w:r>
      <w:r>
        <w:rPr>
          <w:rFonts w:hint="eastAsia" w:cs="Times New Roman" w:eastAsiaTheme="minorEastAsia"/>
          <w:color w:val="000000"/>
          <w:sz w:val="24"/>
          <w:szCs w:val="24"/>
          <w:lang w:val="en-US" w:eastAsia="zh-CN"/>
        </w:rPr>
        <w:t>《格尔软件股份有限公司关于使用部分闲置募集资金进行现金管理的进展公告》（公告编号：2020-073</w:t>
      </w:r>
      <w:r>
        <w:rPr>
          <w:rFonts w:hint="eastAsia" w:ascii="Times New Roman" w:hAnsi="Times New Roman" w:cs="Times New Roman" w:eastAsiaTheme="minorEastAsia"/>
          <w:color w:val="000000"/>
          <w:sz w:val="24"/>
          <w:szCs w:val="24"/>
          <w:lang w:val="en-US" w:eastAsia="zh-CN"/>
        </w:rPr>
        <w:t>）</w:t>
      </w:r>
      <w:r>
        <w:rPr>
          <w:rFonts w:hint="eastAsia" w:cs="Times New Roman" w:eastAsiaTheme="minorEastAsia"/>
          <w:color w:val="000000"/>
          <w:sz w:val="24"/>
          <w:szCs w:val="24"/>
          <w:lang w:val="en-US" w:eastAsia="zh-CN"/>
        </w:rPr>
        <w:t>。</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val="en-US" w:eastAsia="zh-CN"/>
        </w:rPr>
        <w:t>二</w:t>
      </w:r>
      <w:r>
        <w:rPr>
          <w:rFonts w:hint="eastAsia" w:eastAsiaTheme="minorEastAsia"/>
          <w:b/>
          <w:color w:val="000000"/>
          <w:sz w:val="24"/>
          <w:szCs w:val="24"/>
        </w:rPr>
        <w:t>、本次委托理财概况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在确保不影响公司募投项目实施进度的情况下，为更好地发挥资金效益，提高公司资金的使用效率，更好地实现公司现金资产的保值增值，保障公司及股东的利益。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2"/>
        <w:tblW w:w="8926" w:type="dxa"/>
        <w:jc w:val="center"/>
        <w:tblLayout w:type="fixed"/>
        <w:tblCellMar>
          <w:top w:w="0" w:type="dxa"/>
          <w:left w:w="108" w:type="dxa"/>
          <w:bottom w:w="0" w:type="dxa"/>
          <w:right w:w="108" w:type="dxa"/>
        </w:tblCellMar>
      </w:tblPr>
      <w:tblGrid>
        <w:gridCol w:w="727"/>
        <w:gridCol w:w="908"/>
        <w:gridCol w:w="1283"/>
        <w:gridCol w:w="834"/>
        <w:gridCol w:w="861"/>
        <w:gridCol w:w="947"/>
        <w:gridCol w:w="742"/>
        <w:gridCol w:w="1266"/>
        <w:gridCol w:w="692"/>
        <w:gridCol w:w="666"/>
      </w:tblGrid>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6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47"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hint="eastAsia" w:eastAsiaTheme="minorEastAsia"/>
                <w:color w:val="000000"/>
                <w:szCs w:val="21"/>
                <w:highlight w:val="none"/>
                <w:lang w:val="en-US" w:eastAsia="zh-CN"/>
              </w:rPr>
              <w:t>国融证券</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eastAsiaTheme="minorEastAsia"/>
                <w:color w:val="000000"/>
                <w:szCs w:val="21"/>
                <w:highlight w:val="none"/>
              </w:rPr>
              <w:t>券商收益凭证</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hint="eastAsia" w:eastAsiaTheme="minorEastAsia"/>
                <w:color w:val="000000"/>
                <w:kern w:val="0"/>
                <w:sz w:val="21"/>
                <w:szCs w:val="21"/>
                <w:highlight w:val="none"/>
                <w:lang w:bidi="ar"/>
              </w:rPr>
              <w:t>安享收益凭证21</w:t>
            </w:r>
            <w:r>
              <w:rPr>
                <w:rFonts w:hint="eastAsia" w:eastAsiaTheme="minorEastAsia"/>
                <w:color w:val="000000"/>
                <w:kern w:val="0"/>
                <w:sz w:val="21"/>
                <w:szCs w:val="21"/>
                <w:highlight w:val="none"/>
                <w:lang w:val="en-US" w:eastAsia="zh-CN" w:bidi="ar"/>
              </w:rPr>
              <w:t>64</w:t>
            </w:r>
            <w:r>
              <w:rPr>
                <w:rFonts w:hint="eastAsia" w:eastAsiaTheme="minorEastAsia"/>
                <w:color w:val="000000"/>
                <w:kern w:val="0"/>
                <w:sz w:val="21"/>
                <w:szCs w:val="21"/>
                <w:highlight w:val="none"/>
                <w:lang w:eastAsia="zh-CN" w:bidi="ar"/>
              </w:rPr>
              <w:t>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jc w:val="center"/>
              <w:textAlignment w:val="center"/>
              <w:rPr>
                <w:rFonts w:hint="default" w:eastAsiaTheme="minorEastAsia"/>
                <w:color w:val="000000"/>
                <w:szCs w:val="21"/>
                <w:highlight w:val="none"/>
                <w:lang w:val="en-US"/>
              </w:rPr>
            </w:pPr>
            <w:r>
              <w:rPr>
                <w:rFonts w:hint="eastAsia" w:eastAsiaTheme="minorEastAsia"/>
                <w:color w:val="000000"/>
                <w:kern w:val="0"/>
                <w:szCs w:val="21"/>
                <w:highlight w:val="none"/>
                <w:lang w:val="en-US" w:eastAsia="zh-CN" w:bidi="ar"/>
              </w:rPr>
              <w:t>20,000</w:t>
            </w:r>
          </w:p>
        </w:tc>
        <w:tc>
          <w:tcPr>
            <w:tcW w:w="86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rPr>
            </w:pPr>
            <w:r>
              <w:rPr>
                <w:rFonts w:hint="eastAsia" w:eastAsiaTheme="minorEastAsia"/>
                <w:color w:val="000000"/>
                <w:szCs w:val="21"/>
                <w:highlight w:val="none"/>
                <w:lang w:val="en-US" w:eastAsia="zh-CN"/>
              </w:rPr>
              <w:t>4.50%</w:t>
            </w:r>
          </w:p>
        </w:tc>
        <w:tc>
          <w:tcPr>
            <w:tcW w:w="947"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895.07</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hint="eastAsia" w:eastAsiaTheme="minorEastAsia"/>
                <w:color w:val="000000"/>
                <w:szCs w:val="21"/>
                <w:highlight w:val="none"/>
                <w:lang w:val="en-US" w:eastAsia="zh-CN"/>
              </w:rPr>
              <w:t>363</w:t>
            </w:r>
            <w:r>
              <w:rPr>
                <w:rFonts w:hint="eastAsia" w:eastAsiaTheme="minorEastAsia"/>
                <w:color w:val="000000"/>
                <w:szCs w:val="21"/>
                <w:highlight w:val="none"/>
              </w:rPr>
              <w:t>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hint="eastAsia" w:eastAsiaTheme="minorEastAsia"/>
                <w:bCs/>
                <w:color w:val="000000"/>
                <w:kern w:val="0"/>
                <w:szCs w:val="21"/>
                <w:highlight w:val="none"/>
              </w:rPr>
              <w:t>本金保障固定收益型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否</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公司根据</w:t>
      </w:r>
      <w:r>
        <w:rPr>
          <w:rFonts w:hint="eastAsia" w:eastAsiaTheme="minorEastAsia"/>
          <w:color w:val="000000"/>
          <w:sz w:val="24"/>
          <w:szCs w:val="24"/>
          <w:lang w:eastAsia="zh-CN"/>
        </w:rPr>
        <w:t>《</w:t>
      </w:r>
      <w:r>
        <w:rPr>
          <w:rFonts w:hint="eastAsia" w:eastAsiaTheme="minorEastAsia"/>
          <w:color w:val="000000"/>
          <w:sz w:val="24"/>
          <w:szCs w:val="24"/>
          <w:lang w:val="en-US" w:eastAsia="zh-CN"/>
        </w:rPr>
        <w:t>上海证券交易所上市公司</w:t>
      </w:r>
      <w:r>
        <w:rPr>
          <w:rFonts w:eastAsiaTheme="minorEastAsia"/>
          <w:color w:val="000000"/>
          <w:sz w:val="24"/>
          <w:szCs w:val="24"/>
        </w:rPr>
        <w:t>募集资金管理办法</w:t>
      </w:r>
      <w:r>
        <w:rPr>
          <w:rFonts w:hint="eastAsia" w:eastAsiaTheme="minorEastAsia"/>
          <w:color w:val="000000"/>
          <w:sz w:val="24"/>
          <w:szCs w:val="24"/>
          <w:lang w:eastAsia="zh-CN"/>
        </w:rPr>
        <w:t>》</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color w:val="000000"/>
          <w:sz w:val="24"/>
          <w:szCs w:val="24"/>
          <w:lang w:val="en-US" w:eastAsia="zh-CN"/>
        </w:rPr>
        <w:t>三</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b/>
          <w:bCs/>
          <w:color w:val="000000"/>
          <w:sz w:val="24"/>
          <w:szCs w:val="24"/>
        </w:rPr>
        <w:t>本次委托理财的具体情况</w:t>
      </w:r>
    </w:p>
    <w:p>
      <w:pPr>
        <w:keepNext w:val="0"/>
        <w:keepLines w:val="0"/>
        <w:pageBreakBefore w:val="0"/>
        <w:widowControl/>
        <w:kinsoku/>
        <w:wordWrap/>
        <w:overflowPunct/>
        <w:topLinePunct w:val="0"/>
        <w:autoSpaceDE/>
        <w:autoSpaceDN/>
        <w:bidi w:val="0"/>
        <w:adjustRightInd/>
        <w:snapToGrid/>
        <w:spacing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（一）委托理财合同主要条款</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left"/>
        <w:textAlignment w:val="auto"/>
        <w:rPr>
          <w:rFonts w:eastAsiaTheme="minorEastAsia"/>
          <w:color w:val="000000"/>
          <w:sz w:val="24"/>
          <w:szCs w:val="24"/>
          <w:highlight w:val="none"/>
        </w:rPr>
      </w:pPr>
      <w:r>
        <w:rPr>
          <w:rFonts w:hint="eastAsia" w:eastAsiaTheme="minorEastAsia"/>
          <w:color w:val="000000"/>
          <w:sz w:val="24"/>
          <w:szCs w:val="24"/>
          <w:highlight w:val="none"/>
        </w:rPr>
        <w:t>1、安享收益凭证</w:t>
      </w:r>
      <w:r>
        <w:rPr>
          <w:rFonts w:hint="eastAsia" w:eastAsiaTheme="minorEastAsia"/>
          <w:color w:val="000000"/>
          <w:kern w:val="0"/>
          <w:sz w:val="24"/>
          <w:szCs w:val="24"/>
          <w:highlight w:val="none"/>
          <w:lang w:val="en-US" w:eastAsia="zh-CN" w:bidi="ar"/>
        </w:rPr>
        <w:t>2164</w:t>
      </w:r>
      <w:r>
        <w:rPr>
          <w:rFonts w:hint="eastAsia" w:eastAsiaTheme="minorEastAsia"/>
          <w:color w:val="000000"/>
          <w:sz w:val="24"/>
          <w:szCs w:val="24"/>
          <w:highlight w:val="none"/>
        </w:rPr>
        <w:t>号</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国融证券安享收益凭证21</w:t>
            </w:r>
            <w:r>
              <w:rPr>
                <w:rFonts w:hint="eastAsia" w:eastAsiaTheme="minorEastAsia"/>
                <w:bCs/>
                <w:color w:val="000000"/>
                <w:kern w:val="0"/>
                <w:szCs w:val="21"/>
                <w:lang w:val="en-US" w:eastAsia="zh-CN"/>
              </w:rPr>
              <w:t>64</w:t>
            </w:r>
            <w:r>
              <w:rPr>
                <w:rFonts w:hint="eastAsia" w:eastAsiaTheme="minorEastAsia"/>
                <w:bCs/>
                <w:color w:val="000000"/>
                <w:kern w:val="0"/>
                <w:szCs w:val="21"/>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产品代码</w:t>
            </w:r>
          </w:p>
        </w:tc>
        <w:tc>
          <w:tcPr>
            <w:tcW w:w="5530" w:type="dxa"/>
            <w:vAlign w:val="center"/>
          </w:tcPr>
          <w:p>
            <w:pPr>
              <w:autoSpaceDE w:val="0"/>
              <w:autoSpaceDN w:val="0"/>
              <w:adjustRightInd w:val="0"/>
              <w:jc w:val="center"/>
              <w:rPr>
                <w:rFonts w:hint="default" w:eastAsiaTheme="minorEastAsia"/>
                <w:bCs/>
                <w:color w:val="000000"/>
                <w:kern w:val="0"/>
                <w:szCs w:val="21"/>
                <w:lang w:val="en-US" w:eastAsia="zh-CN"/>
              </w:rPr>
            </w:pPr>
            <w:r>
              <w:rPr>
                <w:rFonts w:hint="eastAsia" w:eastAsiaTheme="minorEastAsia"/>
                <w:bCs/>
                <w:color w:val="000000"/>
                <w:kern w:val="0"/>
                <w:szCs w:val="21"/>
                <w:lang w:eastAsia="zh-CN"/>
              </w:rPr>
              <w:t>SRP950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产品类型</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highlight w:val="none"/>
                <w:lang w:val="en-US" w:eastAsia="zh-CN"/>
              </w:rPr>
              <w:t>363</w:t>
            </w:r>
            <w:r>
              <w:rPr>
                <w:rFonts w:hint="eastAsia" w:eastAsiaTheme="minorEastAsia"/>
                <w:bCs/>
                <w:color w:val="000000"/>
                <w:kern w:val="0"/>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本金（万元）</w:t>
            </w:r>
          </w:p>
        </w:tc>
        <w:tc>
          <w:tcPr>
            <w:tcW w:w="5530" w:type="dxa"/>
            <w:vAlign w:val="center"/>
          </w:tcPr>
          <w:p>
            <w:pPr>
              <w:autoSpaceDE w:val="0"/>
              <w:autoSpaceDN w:val="0"/>
              <w:adjustRightInd w:val="0"/>
              <w:jc w:val="center"/>
              <w:rPr>
                <w:rFonts w:hint="default" w:eastAsiaTheme="minorEastAsia"/>
                <w:bCs/>
                <w:color w:val="000000"/>
                <w:kern w:val="0"/>
                <w:szCs w:val="21"/>
                <w:highlight w:val="yellow"/>
                <w:lang w:val="en-US"/>
              </w:rPr>
            </w:pPr>
            <w:r>
              <w:rPr>
                <w:rFonts w:hint="eastAsia" w:eastAsiaTheme="minorEastAsia"/>
                <w:bCs/>
                <w:color w:val="000000"/>
                <w:kern w:val="0"/>
                <w:szCs w:val="21"/>
                <w:highlight w:val="none"/>
                <w:lang w:val="en-US" w:eastAsia="zh-CN"/>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本金保障固定收益型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产品起息日期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eastAsiaTheme="minorEastAsia"/>
                <w:bCs/>
                <w:color w:val="000000"/>
                <w:kern w:val="0"/>
                <w:szCs w:val="21"/>
                <w:highlight w:val="none"/>
              </w:rPr>
              <w:t>202</w:t>
            </w:r>
            <w:r>
              <w:rPr>
                <w:rFonts w:hint="eastAsia" w:eastAsiaTheme="minorEastAsia"/>
                <w:bCs/>
                <w:color w:val="000000"/>
                <w:kern w:val="0"/>
                <w:szCs w:val="21"/>
                <w:highlight w:val="none"/>
                <w:lang w:val="en-US" w:eastAsia="zh-CN"/>
              </w:rPr>
              <w:t>1</w:t>
            </w:r>
            <w:r>
              <w:rPr>
                <w:rFonts w:eastAsiaTheme="minorEastAsia"/>
                <w:bCs/>
                <w:color w:val="000000"/>
                <w:kern w:val="0"/>
                <w:szCs w:val="21"/>
                <w:highlight w:val="none"/>
              </w:rPr>
              <w:t>年</w:t>
            </w:r>
            <w:r>
              <w:rPr>
                <w:rFonts w:hint="eastAsia" w:eastAsiaTheme="minorEastAsia"/>
                <w:bCs/>
                <w:color w:val="000000"/>
                <w:kern w:val="0"/>
                <w:szCs w:val="21"/>
                <w:highlight w:val="none"/>
                <w:lang w:val="en-US" w:eastAsia="zh-CN"/>
              </w:rPr>
              <w:t>9</w:t>
            </w:r>
            <w:r>
              <w:rPr>
                <w:rFonts w:eastAsiaTheme="minorEastAsia"/>
                <w:bCs/>
                <w:color w:val="000000"/>
                <w:kern w:val="0"/>
                <w:szCs w:val="21"/>
                <w:highlight w:val="none"/>
              </w:rPr>
              <w:t>月</w:t>
            </w:r>
            <w:r>
              <w:rPr>
                <w:rFonts w:hint="eastAsia" w:eastAsiaTheme="minorEastAsia"/>
                <w:bCs/>
                <w:color w:val="000000"/>
                <w:kern w:val="0"/>
                <w:szCs w:val="21"/>
                <w:highlight w:val="none"/>
                <w:lang w:val="en-US" w:eastAsia="zh-CN"/>
              </w:rPr>
              <w:t>29</w:t>
            </w:r>
            <w:r>
              <w:rPr>
                <w:rFonts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产品到期日期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202</w:t>
            </w:r>
            <w:r>
              <w:rPr>
                <w:rFonts w:hint="eastAsia" w:eastAsiaTheme="minorEastAsia"/>
                <w:bCs/>
                <w:color w:val="000000"/>
                <w:kern w:val="0"/>
                <w:szCs w:val="21"/>
                <w:highlight w:val="none"/>
                <w:lang w:val="en-US" w:eastAsia="zh-CN"/>
              </w:rPr>
              <w:t>2</w:t>
            </w:r>
            <w:r>
              <w:rPr>
                <w:rFonts w:hint="eastAsia" w:eastAsiaTheme="minorEastAsia"/>
                <w:bCs/>
                <w:color w:val="000000"/>
                <w:kern w:val="0"/>
                <w:szCs w:val="21"/>
                <w:highlight w:val="none"/>
              </w:rPr>
              <w:t>年</w:t>
            </w:r>
            <w:r>
              <w:rPr>
                <w:rFonts w:hint="eastAsia" w:eastAsiaTheme="minorEastAsia"/>
                <w:bCs/>
                <w:color w:val="000000"/>
                <w:kern w:val="0"/>
                <w:szCs w:val="21"/>
                <w:highlight w:val="none"/>
                <w:lang w:val="en-US" w:eastAsia="zh-CN"/>
              </w:rPr>
              <w:t>9</w:t>
            </w:r>
            <w:r>
              <w:rPr>
                <w:rFonts w:hint="eastAsia" w:eastAsiaTheme="minorEastAsia"/>
                <w:bCs/>
                <w:color w:val="000000"/>
                <w:kern w:val="0"/>
                <w:szCs w:val="21"/>
                <w:highlight w:val="none"/>
              </w:rPr>
              <w:t>月</w:t>
            </w:r>
            <w:r>
              <w:rPr>
                <w:rFonts w:hint="eastAsia" w:eastAsiaTheme="minorEastAsia"/>
                <w:bCs/>
                <w:color w:val="000000"/>
                <w:kern w:val="0"/>
                <w:szCs w:val="21"/>
                <w:highlight w:val="none"/>
                <w:lang w:val="en-US" w:eastAsia="zh-CN"/>
              </w:rPr>
              <w:t>27</w:t>
            </w:r>
            <w:r>
              <w:rPr>
                <w:rFonts w:hint="eastAsia"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兑付日</w:t>
            </w:r>
          </w:p>
        </w:tc>
        <w:tc>
          <w:tcPr>
            <w:tcW w:w="5530" w:type="dxa"/>
            <w:vAlign w:val="center"/>
          </w:tcPr>
          <w:p>
            <w:pPr>
              <w:autoSpaceDE w:val="0"/>
              <w:autoSpaceDN w:val="0"/>
              <w:adjustRightInd w:val="0"/>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202</w:t>
            </w:r>
            <w:r>
              <w:rPr>
                <w:rFonts w:hint="eastAsia" w:eastAsiaTheme="minorEastAsia"/>
                <w:bCs/>
                <w:color w:val="000000"/>
                <w:kern w:val="0"/>
                <w:szCs w:val="21"/>
                <w:lang w:val="en-US" w:eastAsia="zh-CN"/>
              </w:rPr>
              <w:t>2</w:t>
            </w:r>
            <w:r>
              <w:rPr>
                <w:rFonts w:hint="default" w:eastAsiaTheme="minorEastAsia"/>
                <w:bCs/>
                <w:color w:val="000000"/>
                <w:kern w:val="0"/>
                <w:szCs w:val="21"/>
                <w:lang w:val="en-US" w:eastAsia="zh-CN"/>
              </w:rPr>
              <w:t>年</w:t>
            </w:r>
            <w:r>
              <w:rPr>
                <w:rFonts w:hint="eastAsia" w:eastAsiaTheme="minorEastAsia"/>
                <w:bCs/>
                <w:color w:val="000000"/>
                <w:kern w:val="0"/>
                <w:szCs w:val="21"/>
                <w:lang w:val="en-US" w:eastAsia="zh-CN"/>
              </w:rPr>
              <w:t>9</w:t>
            </w:r>
            <w:r>
              <w:rPr>
                <w:rFonts w:hint="default" w:eastAsiaTheme="minorEastAsia"/>
                <w:bCs/>
                <w:color w:val="000000"/>
                <w:kern w:val="0"/>
                <w:szCs w:val="21"/>
                <w:lang w:val="en-US" w:eastAsia="zh-CN"/>
              </w:rPr>
              <w:t>月</w:t>
            </w:r>
            <w:r>
              <w:rPr>
                <w:rFonts w:hint="eastAsia" w:eastAsiaTheme="minorEastAsia"/>
                <w:bCs/>
                <w:color w:val="000000"/>
                <w:kern w:val="0"/>
                <w:szCs w:val="21"/>
                <w:lang w:val="en-US" w:eastAsia="zh-CN"/>
              </w:rPr>
              <w:t>28</w:t>
            </w:r>
            <w:r>
              <w:rPr>
                <w:rFonts w:hint="default" w:eastAsiaTheme="minorEastAsia"/>
                <w:bCs/>
                <w:color w:val="000000"/>
                <w:kern w:val="0"/>
                <w:szCs w:val="21"/>
                <w:lang w:val="en-US"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年化收益率</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lang w:val="en-US" w:eastAsia="zh-CN"/>
              </w:rPr>
              <w:t>4</w:t>
            </w:r>
            <w:r>
              <w:rPr>
                <w:rFonts w:hint="eastAsia" w:eastAsiaTheme="minorEastAsia"/>
                <w:bCs/>
                <w:color w:val="000000"/>
                <w:kern w:val="0"/>
                <w:szCs w:val="21"/>
                <w:highlight w:val="none"/>
              </w:rPr>
              <w:t>.</w:t>
            </w:r>
            <w:r>
              <w:rPr>
                <w:rFonts w:hint="eastAsia" w:eastAsiaTheme="minorEastAsia"/>
                <w:bCs/>
                <w:color w:val="000000"/>
                <w:kern w:val="0"/>
                <w:szCs w:val="21"/>
                <w:highlight w:val="none"/>
                <w:lang w:val="en-US" w:eastAsia="zh-CN"/>
              </w:rPr>
              <w:t>5</w:t>
            </w:r>
            <w:r>
              <w:rPr>
                <w:rFonts w:hint="eastAsia" w:eastAsiaTheme="minorEastAsia"/>
                <w:bCs/>
                <w:color w:val="000000"/>
                <w:kern w:val="0"/>
                <w:szCs w:val="21"/>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rPr>
              <w:t>资金</w:t>
            </w:r>
            <w:r>
              <w:rPr>
                <w:rFonts w:hint="eastAsia" w:asciiTheme="minorEastAsia" w:hAnsiTheme="minorEastAsia" w:eastAsiaTheme="minorEastAsia" w:cstheme="minorEastAsia"/>
                <w:b/>
                <w:color w:val="000000"/>
                <w:kern w:val="0"/>
                <w:szCs w:val="21"/>
                <w:lang w:val="en-US" w:eastAsia="zh-CN"/>
              </w:rPr>
              <w:t>用途</w:t>
            </w:r>
          </w:p>
        </w:tc>
        <w:tc>
          <w:tcPr>
            <w:tcW w:w="5530" w:type="dxa"/>
            <w:vAlign w:val="center"/>
          </w:tcPr>
          <w:p>
            <w:pPr>
              <w:autoSpaceDE w:val="0"/>
              <w:autoSpaceDN w:val="0"/>
              <w:adjustRightInd w:val="0"/>
              <w:jc w:val="left"/>
              <w:rPr>
                <w:bCs/>
                <w:color w:val="000000"/>
                <w:kern w:val="0"/>
                <w:szCs w:val="21"/>
              </w:rPr>
            </w:pPr>
            <w:r>
              <w:rPr>
                <w:rFonts w:hint="eastAsia"/>
                <w:bCs/>
                <w:color w:val="000000"/>
                <w:kern w:val="0"/>
                <w:szCs w:val="21"/>
              </w:rPr>
              <w:t>本期收益凭证募集资金将用于补充</w:t>
            </w:r>
            <w:r>
              <w:rPr>
                <w:rFonts w:hint="eastAsia"/>
                <w:bCs/>
                <w:color w:val="000000"/>
                <w:kern w:val="0"/>
                <w:szCs w:val="21"/>
                <w:lang w:val="en-US" w:eastAsia="zh-CN"/>
              </w:rPr>
              <w:t>国融证券</w:t>
            </w:r>
            <w:r>
              <w:rPr>
                <w:rFonts w:hint="eastAsia"/>
                <w:bCs/>
                <w:color w:val="000000"/>
                <w:kern w:val="0"/>
                <w:szCs w:val="21"/>
              </w:rPr>
              <w:t>营运资金，保证经营活动顺利进行。</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24"/>
          <w:szCs w:val="24"/>
          <w:lang w:val="en-US" w:eastAsia="zh-CN"/>
        </w:rPr>
        <w:t>受托方的基本情况</w:t>
      </w:r>
    </w:p>
    <w:p>
      <w:pPr>
        <w:keepNext w:val="0"/>
        <w:keepLines w:val="0"/>
        <w:widowControl/>
        <w:numPr>
          <w:ilvl w:val="0"/>
          <w:numId w:val="0"/>
        </w:numPr>
        <w:suppressLineNumbers w:val="0"/>
        <w:spacing w:line="360" w:lineRule="auto"/>
        <w:ind w:left="0" w:leftChars="0" w:firstLine="420" w:firstLineChars="175"/>
        <w:jc w:val="left"/>
        <w:rPr>
          <w:rFonts w:hint="default" w:asciiTheme="minorEastAsia" w:hAnsiTheme="minorEastAsia" w:eastAsiaTheme="minorEastAsia" w:cs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本次购买理财产品的受托方</w:t>
      </w:r>
      <w:r>
        <w:rPr>
          <w:rFonts w:hint="eastAsia" w:asciiTheme="minorEastAsia" w:hAnsiTheme="minorEastAsia" w:eastAsiaTheme="minorEastAsia" w:cstheme="minorEastAsia"/>
          <w:b w:val="0"/>
          <w:bCs w:val="0"/>
          <w:color w:val="000000"/>
          <w:sz w:val="24"/>
          <w:szCs w:val="24"/>
          <w:lang w:val="en-US" w:eastAsia="zh-CN"/>
        </w:rPr>
        <w:t>国融证券为</w:t>
      </w:r>
      <w:r>
        <w:rPr>
          <w:rFonts w:hint="eastAsia" w:asciiTheme="minorEastAsia" w:hAnsiTheme="minorEastAsia" w:eastAsiaTheme="minorEastAsia" w:cstheme="minorEastAsia"/>
          <w:b w:val="0"/>
          <w:bCs w:val="0"/>
          <w:color w:val="000000"/>
          <w:sz w:val="24"/>
          <w:szCs w:val="24"/>
          <w:highlight w:val="none"/>
          <w:lang w:val="en-US" w:eastAsia="zh-CN"/>
        </w:rPr>
        <w:t>非上市金融机构，具体情况如下：</w:t>
      </w:r>
    </w:p>
    <w:p>
      <w:pPr>
        <w:keepNext w:val="0"/>
        <w:keepLines w:val="0"/>
        <w:widowControl/>
        <w:numPr>
          <w:ilvl w:val="0"/>
          <w:numId w:val="0"/>
        </w:numPr>
        <w:suppressLineNumbers w:val="0"/>
        <w:spacing w:line="360" w:lineRule="auto"/>
        <w:ind w:left="0" w:leftChars="0" w:firstLine="420" w:firstLine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1、基本情况</w:t>
      </w:r>
    </w:p>
    <w:tbl>
      <w:tblPr>
        <w:tblStyle w:val="2"/>
        <w:tblW w:w="8314" w:type="dxa"/>
        <w:jc w:val="center"/>
        <w:tblLayout w:type="autofit"/>
        <w:tblCellMar>
          <w:top w:w="0" w:type="dxa"/>
          <w:left w:w="108" w:type="dxa"/>
          <w:bottom w:w="0" w:type="dxa"/>
          <w:right w:w="108" w:type="dxa"/>
        </w:tblCellMar>
      </w:tblPr>
      <w:tblGrid>
        <w:gridCol w:w="1664"/>
        <w:gridCol w:w="1668"/>
        <w:gridCol w:w="960"/>
        <w:gridCol w:w="1380"/>
        <w:gridCol w:w="1560"/>
        <w:gridCol w:w="1082"/>
      </w:tblGrid>
      <w:tr>
        <w:tblPrEx>
          <w:tblCellMar>
            <w:top w:w="0" w:type="dxa"/>
            <w:left w:w="108" w:type="dxa"/>
            <w:bottom w:w="0" w:type="dxa"/>
            <w:right w:w="108" w:type="dxa"/>
          </w:tblCellMar>
        </w:tblPrEx>
        <w:trPr>
          <w:trHeight w:val="57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名称</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成立时间</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法定代表人</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注册资本</w:t>
            </w:r>
          </w:p>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（万元）</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主营业务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是否为本次交易专设</w:t>
            </w:r>
          </w:p>
        </w:tc>
      </w:tr>
      <w:tr>
        <w:tblPrEx>
          <w:tblCellMar>
            <w:top w:w="0" w:type="dxa"/>
            <w:left w:w="108" w:type="dxa"/>
            <w:bottom w:w="0" w:type="dxa"/>
            <w:right w:w="108" w:type="dxa"/>
          </w:tblCellMar>
        </w:tblPrEx>
        <w:trPr>
          <w:trHeight w:val="93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国融证券股份有限公司</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2002年4月24日</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张智河</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178,251.1536</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eastAsia="zh-CN"/>
              </w:rPr>
              <w:t>金融服务业务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否</w:t>
            </w:r>
          </w:p>
        </w:tc>
      </w:tr>
    </w:tbl>
    <w:p>
      <w:pPr>
        <w:keepNext w:val="0"/>
        <w:keepLines w:val="0"/>
        <w:widowControl/>
        <w:numPr>
          <w:ilvl w:val="0"/>
          <w:numId w:val="3"/>
        </w:numPr>
        <w:suppressLineNumbers w:val="0"/>
        <w:spacing w:line="360" w:lineRule="auto"/>
        <w:ind w:left="0" w:leftChars="0" w:firstLine="420" w:firstLineChars="175"/>
        <w:jc w:val="left"/>
        <w:rPr>
          <w:rFonts w:hint="default" w:ascii="Times New Roman" w:hAnsi="Times New Roman" w:cs="Times New Roman" w:eastAsiaTheme="minorEastAsia"/>
          <w:color w:val="000000"/>
          <w:sz w:val="24"/>
          <w:szCs w:val="24"/>
          <w:highlight w:val="none"/>
          <w:lang w:val="en-US" w:eastAsia="zh-CN"/>
        </w:rPr>
      </w:pPr>
      <w:r>
        <w:rPr>
          <w:rFonts w:hint="default" w:ascii="Times New Roman" w:hAnsi="Times New Roman" w:cs="Times New Roman" w:eastAsiaTheme="minorEastAsia"/>
          <w:color w:val="000000"/>
          <w:sz w:val="24"/>
          <w:szCs w:val="24"/>
          <w:highlight w:val="none"/>
          <w:lang w:val="en-US" w:eastAsia="zh-CN"/>
        </w:rPr>
        <w:t>主要股东持股情况</w:t>
      </w:r>
    </w:p>
    <w:tbl>
      <w:tblPr>
        <w:tblStyle w:val="2"/>
        <w:tblW w:w="8306" w:type="dxa"/>
        <w:jc w:val="center"/>
        <w:tblLayout w:type="autofit"/>
        <w:tblCellMar>
          <w:top w:w="0" w:type="dxa"/>
          <w:left w:w="108" w:type="dxa"/>
          <w:bottom w:w="0" w:type="dxa"/>
          <w:right w:w="108" w:type="dxa"/>
        </w:tblCellMar>
      </w:tblPr>
      <w:tblGrid>
        <w:gridCol w:w="863"/>
        <w:gridCol w:w="4650"/>
        <w:gridCol w:w="2793"/>
      </w:tblGrid>
      <w:tr>
        <w:tblPrEx>
          <w:tblCellMar>
            <w:top w:w="0" w:type="dxa"/>
            <w:left w:w="108" w:type="dxa"/>
            <w:bottom w:w="0" w:type="dxa"/>
            <w:right w:w="108" w:type="dxa"/>
          </w:tblCellMar>
        </w:tblPrEx>
        <w:trPr>
          <w:trHeight w:val="476"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lang w:eastAsia="zh-CN"/>
              </w:rPr>
              <w:t>序号</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股东</w:t>
            </w:r>
            <w:r>
              <w:rPr>
                <w:rFonts w:hint="eastAsia" w:asciiTheme="minorEastAsia" w:hAnsiTheme="minorEastAsia" w:eastAsiaTheme="minorEastAsia" w:cstheme="minorEastAsia"/>
                <w:b/>
                <w:color w:val="000000"/>
                <w:kern w:val="0"/>
                <w:szCs w:val="21"/>
              </w:rPr>
              <w:t>名称</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持股比例</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北京长安投资集团有限公司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70.61%</w:t>
            </w:r>
          </w:p>
        </w:tc>
      </w:tr>
      <w:tr>
        <w:tblPrEx>
          <w:tblCellMar>
            <w:top w:w="0" w:type="dxa"/>
            <w:left w:w="108" w:type="dxa"/>
            <w:bottom w:w="0" w:type="dxa"/>
            <w:right w:w="108" w:type="dxa"/>
          </w:tblCellMar>
        </w:tblPrEx>
        <w:trPr>
          <w:trHeight w:val="309"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杭州普润星融股权投资合伙企业（有限合伙）</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14.03%</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3</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内蒙古日信担保投资（集团）有限责任公司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4.13%</w:t>
            </w:r>
          </w:p>
        </w:tc>
      </w:tr>
    </w:tbl>
    <w:p>
      <w:pPr>
        <w:keepNext w:val="0"/>
        <w:keepLines w:val="0"/>
        <w:widowControl/>
        <w:numPr>
          <w:ilvl w:val="0"/>
          <w:numId w:val="2"/>
        </w:numPr>
        <w:suppressLineNumbers w:val="0"/>
        <w:spacing w:line="360" w:lineRule="auto"/>
        <w:ind w:left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主要财务指标</w:t>
      </w:r>
    </w:p>
    <w:p>
      <w:pPr>
        <w:keepNext w:val="0"/>
        <w:keepLines w:val="0"/>
        <w:widowControl/>
        <w:numPr>
          <w:ilvl w:val="0"/>
          <w:numId w:val="0"/>
        </w:numPr>
        <w:suppressLineNumbers w:val="0"/>
        <w:spacing w:line="360" w:lineRule="auto"/>
        <w:jc w:val="right"/>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单位：元</w:t>
      </w:r>
    </w:p>
    <w:tbl>
      <w:tblPr>
        <w:tblStyle w:val="2"/>
        <w:tblW w:w="8281" w:type="dxa"/>
        <w:jc w:val="center"/>
        <w:tblLayout w:type="autofit"/>
        <w:tblCellMar>
          <w:top w:w="0" w:type="dxa"/>
          <w:left w:w="108" w:type="dxa"/>
          <w:bottom w:w="0" w:type="dxa"/>
          <w:right w:w="108" w:type="dxa"/>
        </w:tblCellMar>
      </w:tblPr>
      <w:tblGrid>
        <w:gridCol w:w="4003"/>
        <w:gridCol w:w="4278"/>
      </w:tblGrid>
      <w:tr>
        <w:tblPrEx>
          <w:tblCellMar>
            <w:top w:w="0" w:type="dxa"/>
            <w:left w:w="108" w:type="dxa"/>
            <w:bottom w:w="0" w:type="dxa"/>
            <w:right w:w="108" w:type="dxa"/>
          </w:tblCellMar>
        </w:tblPrEx>
        <w:trPr>
          <w:trHeight w:val="308"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eastAsia="zh-CN"/>
              </w:rPr>
            </w:pPr>
            <w:r>
              <w:rPr>
                <w:rFonts w:hint="default" w:ascii="Times New Roman" w:hAnsi="Times New Roman" w:cs="Times New Roman" w:eastAsiaTheme="minorEastAsia"/>
                <w:b/>
                <w:bCs w:val="0"/>
                <w:color w:val="000000"/>
                <w:kern w:val="0"/>
                <w:szCs w:val="21"/>
                <w:lang w:eastAsia="zh-CN"/>
              </w:rPr>
              <w:t>项目</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val="en-US" w:eastAsia="zh-CN"/>
              </w:rPr>
            </w:pPr>
            <w:r>
              <w:rPr>
                <w:rFonts w:hint="eastAsia" w:cs="Times New Roman" w:eastAsiaTheme="minorEastAsia"/>
                <w:b/>
                <w:bCs w:val="0"/>
                <w:color w:val="000000"/>
                <w:kern w:val="0"/>
                <w:szCs w:val="21"/>
                <w:lang w:val="en-US" w:eastAsia="zh-CN"/>
              </w:rPr>
              <w:t>2020</w:t>
            </w:r>
            <w:r>
              <w:rPr>
                <w:rFonts w:hint="default" w:ascii="Times New Roman" w:hAnsi="Times New Roman" w:cs="Times New Roman" w:eastAsiaTheme="minorEastAsia"/>
                <w:b/>
                <w:bCs w:val="0"/>
                <w:color w:val="000000"/>
                <w:kern w:val="0"/>
                <w:szCs w:val="21"/>
                <w:lang w:val="en-US" w:eastAsia="zh-CN"/>
              </w:rPr>
              <w:t>年度</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资产总额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15,078,934,087.90</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资产净额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4,080,854,233.27</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营业收入</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1,045,895,451.01</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lang w:eastAsia="zh-CN"/>
              </w:rPr>
            </w:pPr>
            <w:r>
              <w:rPr>
                <w:rFonts w:hint="default" w:ascii="Times New Roman" w:hAnsi="Times New Roman" w:cs="Times New Roman" w:eastAsiaTheme="minorEastAsia"/>
                <w:b w:val="0"/>
                <w:bCs/>
                <w:color w:val="000000"/>
                <w:kern w:val="0"/>
                <w:szCs w:val="21"/>
                <w:lang w:eastAsia="zh-CN"/>
              </w:rPr>
              <w:t>净利润</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 w:val="21"/>
                <w:szCs w:val="21"/>
                <w:lang w:val="en-US" w:eastAsia="zh-CN" w:bidi="ar-SA"/>
              </w:rPr>
            </w:pPr>
            <w:r>
              <w:rPr>
                <w:rFonts w:hint="eastAsia" w:cs="Times New Roman" w:eastAsiaTheme="minorEastAsia"/>
                <w:b w:val="0"/>
                <w:bCs/>
                <w:color w:val="000000"/>
                <w:kern w:val="0"/>
                <w:szCs w:val="21"/>
                <w:lang w:val="en-US" w:eastAsia="zh-CN"/>
              </w:rPr>
              <w:t>100,427,140.73</w:t>
            </w:r>
          </w:p>
        </w:tc>
      </w:tr>
    </w:tbl>
    <w:p>
      <w:pPr>
        <w:keepNext w:val="0"/>
        <w:keepLines w:val="0"/>
        <w:widowControl/>
        <w:numPr>
          <w:ilvl w:val="0"/>
          <w:numId w:val="0"/>
        </w:numPr>
        <w:suppressLineNumbers w:val="0"/>
        <w:spacing w:line="360" w:lineRule="auto"/>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（注：国融证券基本情况、主要股东持股情况及主要财务指标相关数据摘自《国融证券20</w:t>
      </w:r>
      <w:r>
        <w:rPr>
          <w:rFonts w:hint="eastAsia" w:cs="Times New Roman" w:eastAsiaTheme="minorEastAsia"/>
          <w:b w:val="0"/>
          <w:bCs w:val="0"/>
          <w:color w:val="000000"/>
          <w:sz w:val="24"/>
          <w:szCs w:val="24"/>
          <w:lang w:val="en-US" w:eastAsia="zh-CN"/>
        </w:rPr>
        <w:t>20</w:t>
      </w:r>
      <w:r>
        <w:rPr>
          <w:rFonts w:hint="default" w:ascii="Times New Roman" w:hAnsi="Times New Roman" w:cs="Times New Roman" w:eastAsiaTheme="minorEastAsia"/>
          <w:b w:val="0"/>
          <w:bCs w:val="0"/>
          <w:color w:val="000000"/>
          <w:sz w:val="24"/>
          <w:szCs w:val="24"/>
          <w:lang w:val="en-US" w:eastAsia="zh-CN"/>
        </w:rPr>
        <w:t>年度财务报告披露》）</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24"/>
          <w:szCs w:val="24"/>
          <w:lang w:val="en-US" w:eastAsia="zh-CN"/>
        </w:rPr>
        <w:t>与公司的关系</w:t>
      </w:r>
    </w:p>
    <w:p>
      <w:pPr>
        <w:keepNext w:val="0"/>
        <w:keepLines w:val="0"/>
        <w:widowControl/>
        <w:numPr>
          <w:ilvl w:val="0"/>
          <w:numId w:val="0"/>
        </w:numPr>
        <w:suppressLineNumbers w:val="0"/>
        <w:spacing w:line="360" w:lineRule="auto"/>
        <w:ind w:firstLine="420" w:firstLineChar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受托方</w:t>
      </w:r>
      <w:r>
        <w:rPr>
          <w:rFonts w:hint="default" w:asciiTheme="minorEastAsia" w:hAnsiTheme="minorEastAsia" w:eastAsiaTheme="minorEastAsia" w:cstheme="minorEastAsia"/>
          <w:color w:val="000000"/>
          <w:sz w:val="24"/>
          <w:szCs w:val="24"/>
          <w:lang w:val="en-US" w:eastAsia="zh-CN"/>
        </w:rPr>
        <w:t>与公司、公司控股股东及其一致行动人、实际控制人之间不存在产权、业务、资产、债权债务、人员等关联关系。</w:t>
      </w:r>
    </w:p>
    <w:p>
      <w:pPr>
        <w:keepNext w:val="0"/>
        <w:keepLines w:val="0"/>
        <w:widowControl/>
        <w:numPr>
          <w:ilvl w:val="0"/>
          <w:numId w:val="2"/>
        </w:numPr>
        <w:suppressLineNumbers w:val="0"/>
        <w:spacing w:line="360" w:lineRule="auto"/>
        <w:ind w:left="368" w:leftChars="175" w:firstLine="0" w:firstLineChars="0"/>
        <w:jc w:val="left"/>
        <w:rPr>
          <w:rFonts w:hint="default" w:asciiTheme="minorEastAsia" w:hAnsiTheme="minorEastAsia" w:eastAsiaTheme="minorEastAsia" w:cstheme="minorEastAsia"/>
          <w:color w:val="000000"/>
          <w:sz w:val="24"/>
          <w:szCs w:val="24"/>
          <w:lang w:val="en-US" w:eastAsia="zh-CN"/>
        </w:rPr>
      </w:pPr>
      <w:r>
        <w:rPr>
          <w:rFonts w:hint="default" w:asciiTheme="minorEastAsia" w:hAnsiTheme="minorEastAsia" w:eastAsiaTheme="minorEastAsia" w:cstheme="minorEastAsia"/>
          <w:color w:val="000000"/>
          <w:sz w:val="24"/>
          <w:szCs w:val="24"/>
          <w:lang w:val="en-US" w:eastAsia="zh-CN"/>
        </w:rPr>
        <w:t>公司董事会尽职调查情况</w:t>
      </w:r>
    </w:p>
    <w:p>
      <w:pPr>
        <w:keepNext w:val="0"/>
        <w:keepLines w:val="0"/>
        <w:widowControl/>
        <w:numPr>
          <w:ilvl w:val="0"/>
          <w:numId w:val="0"/>
        </w:numPr>
        <w:suppressLineNumbers w:val="0"/>
        <w:spacing w:line="360" w:lineRule="auto"/>
        <w:ind w:left="0" w:leftChars="0" w:firstLine="420" w:firstLineChars="175"/>
        <w:jc w:val="left"/>
        <w:rPr>
          <w:rFonts w:hint="default"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公司股东大会授权公司董事长在额度范围和时效内行使该项投资决策权并签署相关合同文件，并由公司管理层组织相关部门实施。公司</w:t>
      </w:r>
      <w:r>
        <w:rPr>
          <w:rFonts w:hint="default" w:asciiTheme="minorEastAsia" w:hAnsiTheme="minorEastAsia" w:eastAsiaTheme="minorEastAsia" w:cstheme="minorEastAsia"/>
          <w:color w:val="000000"/>
          <w:sz w:val="24"/>
          <w:szCs w:val="24"/>
          <w:lang w:val="en-US" w:eastAsia="zh-CN"/>
        </w:rPr>
        <w:t>管理层对受托方、资金使用方等交易各方当事人的基本情况、信用情况及其交易履约能力等进行了必要的尽职调查，未发现存在损害公司理财业务开展的具体情况。</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2"/>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20</w:t>
            </w:r>
            <w:r>
              <w:rPr>
                <w:rFonts w:hint="eastAsia" w:eastAsiaTheme="minorEastAsia"/>
                <w:b/>
                <w:color w:val="000000"/>
                <w:kern w:val="0"/>
                <w:szCs w:val="21"/>
                <w:lang w:val="en-US" w:eastAsia="zh-CN"/>
              </w:rPr>
              <w:t>20</w:t>
            </w:r>
            <w:r>
              <w:rPr>
                <w:rFonts w:eastAsiaTheme="minorEastAsia"/>
                <w:b/>
                <w:color w:val="000000"/>
                <w:kern w:val="0"/>
                <w:szCs w:val="21"/>
              </w:rPr>
              <w:t>年12月31日</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ascii="仿宋_GB2312" w:hAnsi="宋体" w:eastAsia="仿宋_GB2312" w:cs="宋体"/>
                <w:b/>
                <w:color w:val="000000"/>
                <w:kern w:val="0"/>
                <w:szCs w:val="21"/>
              </w:rPr>
            </w:pPr>
            <w:r>
              <w:rPr>
                <w:rFonts w:eastAsiaTheme="minorEastAsia"/>
                <w:b/>
                <w:color w:val="000000"/>
                <w:kern w:val="0"/>
                <w:szCs w:val="21"/>
              </w:rPr>
              <w:t>202</w:t>
            </w:r>
            <w:r>
              <w:rPr>
                <w:rFonts w:hint="eastAsia" w:eastAsiaTheme="minorEastAsia"/>
                <w:b/>
                <w:color w:val="000000"/>
                <w:kern w:val="0"/>
                <w:szCs w:val="21"/>
                <w:lang w:val="en-US" w:eastAsia="zh-CN"/>
              </w:rPr>
              <w:t>1</w:t>
            </w:r>
            <w:r>
              <w:rPr>
                <w:rFonts w:eastAsiaTheme="minorEastAsia"/>
                <w:b/>
                <w:color w:val="000000"/>
                <w:kern w:val="0"/>
                <w:szCs w:val="21"/>
              </w:rPr>
              <w:t>年</w:t>
            </w:r>
            <w:r>
              <w:rPr>
                <w:rFonts w:hint="eastAsia" w:eastAsiaTheme="minorEastAsia"/>
                <w:b/>
                <w:color w:val="000000"/>
                <w:kern w:val="0"/>
                <w:szCs w:val="21"/>
                <w:lang w:val="en-US" w:eastAsia="zh-CN"/>
              </w:rPr>
              <w:t>6</w:t>
            </w:r>
            <w:r>
              <w:rPr>
                <w:rFonts w:eastAsiaTheme="minorEastAsia"/>
                <w:b/>
                <w:color w:val="000000"/>
                <w:kern w:val="0"/>
                <w:szCs w:val="21"/>
              </w:rPr>
              <w:t>月</w:t>
            </w:r>
            <w:r>
              <w:rPr>
                <w:rFonts w:hint="eastAsia" w:eastAsiaTheme="minorEastAsia"/>
                <w:b/>
                <w:color w:val="000000"/>
                <w:kern w:val="0"/>
                <w:szCs w:val="21"/>
                <w:lang w:val="en-US" w:eastAsia="zh-CN"/>
              </w:rPr>
              <w:t>30</w:t>
            </w:r>
            <w:r>
              <w:rPr>
                <w:rFonts w:eastAsiaTheme="minorEastAsia"/>
                <w:b/>
                <w:color w:val="000000"/>
                <w:kern w:val="0"/>
                <w:szCs w:val="21"/>
              </w:rPr>
              <w:t>日</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eastAsiaTheme="minorEastAsia"/>
                <w:bCs/>
                <w:color w:val="000000"/>
                <w:kern w:val="0"/>
                <w:szCs w:val="21"/>
              </w:rPr>
              <w:t>1,624,238,738.80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hint="eastAsia" w:eastAsiaTheme="minorEastAsia"/>
                <w:bCs/>
                <w:color w:val="000000"/>
                <w:kern w:val="0"/>
                <w:szCs w:val="21"/>
              </w:rPr>
              <w:t>1,648,319,818.93</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hint="eastAsia" w:eastAsiaTheme="minorEastAsia"/>
                <w:bCs/>
                <w:color w:val="000000"/>
                <w:kern w:val="0"/>
                <w:szCs w:val="21"/>
              </w:rPr>
              <w:t>294,316,496.83</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hint="eastAsia" w:eastAsiaTheme="minorEastAsia"/>
                <w:bCs/>
                <w:color w:val="000000"/>
                <w:kern w:val="0"/>
                <w:szCs w:val="21"/>
              </w:rPr>
              <w:t>370,180,254.86</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eastAsiaTheme="minorEastAsia"/>
                <w:bCs/>
                <w:color w:val="000000"/>
                <w:kern w:val="0"/>
                <w:szCs w:val="21"/>
              </w:rPr>
              <w:t>1,329,922,241.97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hint="eastAsia" w:eastAsiaTheme="minorEastAsia"/>
                <w:bCs/>
                <w:color w:val="000000"/>
                <w:kern w:val="0"/>
                <w:szCs w:val="21"/>
              </w:rPr>
              <w:t>1,278,139,564.07</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lang w:val="en-US" w:eastAsia="zh-CN"/>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
                <w:color w:val="000000"/>
                <w:kern w:val="0"/>
                <w:szCs w:val="21"/>
              </w:rPr>
            </w:pPr>
            <w:r>
              <w:rPr>
                <w:rFonts w:eastAsiaTheme="minorEastAsia"/>
                <w:bCs/>
                <w:color w:val="000000"/>
                <w:kern w:val="0"/>
                <w:szCs w:val="21"/>
              </w:rPr>
              <w:t>145,981,400.36</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
                <w:color w:val="000000"/>
                <w:kern w:val="0"/>
                <w:szCs w:val="21"/>
              </w:rPr>
            </w:pPr>
            <w:r>
              <w:rPr>
                <w:rFonts w:hint="eastAsia" w:eastAsiaTheme="minorEastAsia"/>
                <w:bCs/>
                <w:color w:val="000000"/>
                <w:kern w:val="0"/>
                <w:szCs w:val="21"/>
              </w:rPr>
              <w:t>-117,160,820.87</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截止202</w:t>
      </w:r>
      <w:r>
        <w:rPr>
          <w:rFonts w:hint="eastAsia" w:eastAsiaTheme="minorEastAsia"/>
          <w:color w:val="000000"/>
          <w:sz w:val="24"/>
          <w:szCs w:val="24"/>
          <w:lang w:val="en-US" w:eastAsia="zh-CN"/>
        </w:rPr>
        <w:t>1</w:t>
      </w:r>
      <w:r>
        <w:rPr>
          <w:rFonts w:eastAsiaTheme="minorEastAsia"/>
          <w:color w:val="000000"/>
          <w:sz w:val="24"/>
          <w:szCs w:val="24"/>
        </w:rPr>
        <w:t>年</w:t>
      </w:r>
      <w:r>
        <w:rPr>
          <w:rFonts w:hint="eastAsia" w:eastAsiaTheme="minorEastAsia"/>
          <w:color w:val="000000"/>
          <w:sz w:val="24"/>
          <w:szCs w:val="24"/>
          <w:lang w:val="en-US" w:eastAsia="zh-CN"/>
        </w:rPr>
        <w:t>6</w:t>
      </w:r>
      <w:r>
        <w:rPr>
          <w:rFonts w:eastAsiaTheme="minorEastAsia"/>
          <w:color w:val="000000"/>
          <w:sz w:val="24"/>
          <w:szCs w:val="24"/>
        </w:rPr>
        <w:t>月3</w:t>
      </w:r>
      <w:r>
        <w:rPr>
          <w:rFonts w:hint="eastAsia" w:eastAsiaTheme="minorEastAsia"/>
          <w:color w:val="000000"/>
          <w:sz w:val="24"/>
          <w:szCs w:val="24"/>
          <w:lang w:val="en-US" w:eastAsia="zh-CN"/>
        </w:rPr>
        <w:t>0</w:t>
      </w:r>
      <w:r>
        <w:rPr>
          <w:rFonts w:eastAsiaTheme="minorEastAsia"/>
          <w:color w:val="000000"/>
          <w:sz w:val="24"/>
          <w:szCs w:val="24"/>
        </w:rPr>
        <w:t>日，公司资产负债率为</w:t>
      </w:r>
      <w:r>
        <w:rPr>
          <w:rFonts w:hint="eastAsia" w:eastAsiaTheme="minorEastAsia"/>
          <w:color w:val="000000"/>
          <w:sz w:val="24"/>
          <w:szCs w:val="24"/>
          <w:lang w:val="en-US" w:eastAsia="zh-CN"/>
        </w:rPr>
        <w:t>22.46</w:t>
      </w:r>
      <w:r>
        <w:rPr>
          <w:rFonts w:eastAsiaTheme="minorEastAsia"/>
          <w:color w:val="000000"/>
          <w:sz w:val="24"/>
          <w:szCs w:val="24"/>
        </w:rPr>
        <w:t>%，不存在负有大额负债的同时购买大额理财产品的情形，不会对公司未来主营业务、财务状况、经营成果和现金流量造成较大影响。本次购买的理财产品计入资产负债表中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6" w:beforeLines="50" w:after="156" w:afterLines="50" w:line="360" w:lineRule="auto"/>
        <w:textAlignment w:val="auto"/>
        <w:rPr>
          <w:rFonts w:eastAsiaTheme="minorEastAsia"/>
          <w:b/>
          <w:bCs/>
          <w:color w:val="000000"/>
          <w:sz w:val="24"/>
          <w:szCs w:val="24"/>
        </w:rPr>
      </w:pPr>
      <w:r>
        <w:rPr>
          <w:rFonts w:hint="eastAsia" w:eastAsiaTheme="minorEastAsia"/>
          <w:b/>
          <w:bCs/>
          <w:color w:val="000000"/>
          <w:sz w:val="24"/>
          <w:szCs w:val="24"/>
          <w:lang w:val="en-US" w:eastAsia="zh-CN"/>
        </w:rPr>
        <w:t>六</w:t>
      </w:r>
      <w:r>
        <w:rPr>
          <w:rFonts w:hint="eastAsia" w:eastAsiaTheme="minorEastAsia"/>
          <w:b/>
          <w:bCs/>
          <w:color w:val="000000"/>
          <w:sz w:val="24"/>
          <w:szCs w:val="24"/>
        </w:rPr>
        <w:t>、风险提示</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公司分别于2020年9月11日、2020年9月28日召开了公司第七届董事会第十二次会议、第七届监事会第九次会议及公司2020年第四次临时股东大会，审议通过了《关于使用部分闲置募集资金进行现金管理的议案》。同意公司使用总额不超过人民币7亿元（含7亿元）的闲置募集资金进行现金管理，同时在二年内（含二年）该项资金额度可滚动使用（该滚动使用以保证募集资金项目建设和使用为前提），并授权公司董事长在上述额度范围和时效内行使该项投资决策权并签署相关合同文件，并由公司管理层组织相关部门实施。自获得公司2020年第四次临时股东大会审议通过之日起二年内有效。公司独立董事、监事会及保荐机构已分别对此发表了同意的意见。具体详情详见公司分别于2020年9月12日、2020年9月29日刊登在上海证券交易所网站（www.sse.com.cn）的《格尔软件股份有限公司关于使用部分闲置募集资金进行现金管理的公告》（公告编号：2020-065）、《格尔软件股份有限公司2020年第四次临时股东大会决议公告》（公告编号：2020-069）。</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lang w:val="en-US" w:eastAsia="zh-CN"/>
        </w:rPr>
        <w:t>八</w:t>
      </w:r>
      <w:r>
        <w:rPr>
          <w:rFonts w:hint="eastAsia" w:asciiTheme="minorEastAsia" w:hAnsiTheme="minorEastAsia" w:eastAsiaTheme="minorEastAsia" w:cstheme="minorEastAsia"/>
          <w:b/>
          <w:bCs/>
          <w:color w:val="000000"/>
          <w:sz w:val="24"/>
          <w:szCs w:val="24"/>
        </w:rPr>
        <w:t>、</w:t>
      </w:r>
      <w:r>
        <w:rPr>
          <w:rFonts w:asciiTheme="minorEastAsia" w:hAnsiTheme="minorEastAsia" w:eastAsiaTheme="minorEastAsia" w:cstheme="minorEastAsia"/>
          <w:b/>
          <w:bCs/>
          <w:color w:val="000000"/>
          <w:sz w:val="24"/>
          <w:szCs w:val="24"/>
        </w:rPr>
        <w:t>截至本公告日，公司最近十二个月使用募集资金委托理财的情况</w:t>
      </w:r>
    </w:p>
    <w:p>
      <w:pPr>
        <w:widowControl/>
        <w:ind w:left="368" w:leftChars="175"/>
        <w:jc w:val="right"/>
        <w:rPr>
          <w:rFonts w:asciiTheme="minorEastAsia" w:hAnsiTheme="minorEastAsia" w:eastAsiaTheme="minorEastAsia" w:cstheme="minorEastAsia"/>
          <w:b/>
          <w:bCs/>
          <w:color w:val="000000"/>
          <w:sz w:val="24"/>
          <w:szCs w:val="24"/>
        </w:rPr>
      </w:pPr>
      <w:r>
        <w:rPr>
          <w:rFonts w:hint="eastAsia" w:ascii="宋体" w:hAnsi="宋体"/>
          <w:bCs/>
          <w:szCs w:val="21"/>
        </w:rPr>
        <w:t>单位：万元</w:t>
      </w:r>
    </w:p>
    <w:tbl>
      <w:tblPr>
        <w:tblStyle w:val="2"/>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序号</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理财产品类型</w:t>
            </w:r>
          </w:p>
        </w:tc>
        <w:tc>
          <w:tcPr>
            <w:tcW w:w="15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实际投入金额</w:t>
            </w:r>
          </w:p>
        </w:tc>
        <w:tc>
          <w:tcPr>
            <w:tcW w:w="1701"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实际收回本金</w:t>
            </w:r>
          </w:p>
        </w:tc>
        <w:tc>
          <w:tcPr>
            <w:tcW w:w="1378"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实际收益</w:t>
            </w:r>
          </w:p>
        </w:tc>
        <w:tc>
          <w:tcPr>
            <w:tcW w:w="1449" w:type="dxa"/>
            <w:vAlign w:val="top"/>
          </w:tcPr>
          <w:p>
            <w:pPr>
              <w:widowControl/>
              <w:jc w:val="center"/>
              <w:textAlignment w:val="center"/>
              <w:rPr>
                <w:color w:val="000000"/>
                <w:kern w:val="0"/>
                <w:szCs w:val="21"/>
                <w:highlight w:val="none"/>
                <w:lang w:bidi="ar"/>
              </w:rPr>
            </w:pPr>
            <w:r>
              <w:rPr>
                <w:color w:val="000000"/>
                <w:kern w:val="0"/>
                <w:szCs w:val="21"/>
                <w:highlight w:val="none"/>
                <w:lang w:bidi="ar"/>
              </w:rPr>
              <w:t>尚未收回</w:t>
            </w:r>
          </w:p>
          <w:p>
            <w:pPr>
              <w:widowControl/>
              <w:jc w:val="center"/>
              <w:textAlignment w:val="center"/>
              <w:rPr>
                <w:color w:val="000000"/>
                <w:kern w:val="0"/>
                <w:szCs w:val="21"/>
                <w:highlight w:val="none"/>
                <w:lang w:bidi="ar"/>
              </w:rPr>
            </w:pPr>
            <w:r>
              <w:rPr>
                <w:color w:val="000000"/>
                <w:kern w:val="0"/>
                <w:szCs w:val="21"/>
                <w:highlight w:val="none"/>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color w:val="000000"/>
                <w:kern w:val="0"/>
                <w:szCs w:val="21"/>
                <w:highlight w:val="none"/>
                <w:lang w:bidi="ar"/>
              </w:rPr>
            </w:pPr>
            <w:r>
              <w:rPr>
                <w:rFonts w:hint="eastAsia"/>
                <w:color w:val="000000"/>
                <w:kern w:val="0"/>
                <w:szCs w:val="21"/>
                <w:highlight w:val="none"/>
                <w:lang w:val="en-US" w:eastAsia="zh-CN" w:bidi="ar"/>
              </w:rPr>
              <w:t>1</w:t>
            </w:r>
          </w:p>
        </w:tc>
        <w:tc>
          <w:tcPr>
            <w:tcW w:w="1559" w:type="dxa"/>
            <w:shd w:val="clear" w:color="auto" w:fill="auto"/>
            <w:vAlign w:val="center"/>
          </w:tcPr>
          <w:p>
            <w:pPr>
              <w:widowControl/>
              <w:jc w:val="center"/>
              <w:textAlignment w:val="center"/>
              <w:rPr>
                <w:color w:val="000000"/>
                <w:kern w:val="0"/>
                <w:szCs w:val="21"/>
                <w:highlight w:val="none"/>
                <w:lang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300.00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300.00</w:t>
            </w:r>
          </w:p>
        </w:tc>
        <w:tc>
          <w:tcPr>
            <w:tcW w:w="1378"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22.79</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2</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9.85</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3</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7,000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7,00</w:t>
            </w:r>
            <w:r>
              <w:rPr>
                <w:color w:val="000000"/>
                <w:kern w:val="0"/>
                <w:szCs w:val="21"/>
                <w:highlight w:val="none"/>
                <w:lang w:bidi="ar"/>
              </w:rPr>
              <w:t>0</w:t>
            </w:r>
            <w:r>
              <w:rPr>
                <w:rFonts w:hint="eastAsia"/>
                <w:color w:val="000000"/>
                <w:kern w:val="0"/>
                <w:szCs w:val="21"/>
                <w:highlight w:val="none"/>
                <w:lang w:bidi="ar"/>
              </w:rPr>
              <w:t>.00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54.62</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4</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20,000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20,000.00</w:t>
            </w:r>
          </w:p>
        </w:tc>
        <w:tc>
          <w:tcPr>
            <w:tcW w:w="1378" w:type="dxa"/>
            <w:shd w:val="clear" w:color="auto" w:fill="auto"/>
            <w:vAlign w:val="center"/>
          </w:tcPr>
          <w:p>
            <w:pPr>
              <w:widowControl/>
              <w:jc w:val="right"/>
              <w:textAlignment w:val="center"/>
              <w:rPr>
                <w:rFonts w:hint="default" w:eastAsia="宋体"/>
                <w:color w:val="000000"/>
                <w:kern w:val="0"/>
                <w:szCs w:val="21"/>
                <w:highlight w:val="yellow"/>
                <w:lang w:val="en-US" w:eastAsia="zh-CN" w:bidi="ar"/>
              </w:rPr>
            </w:pPr>
            <w:r>
              <w:rPr>
                <w:rFonts w:hint="eastAsia"/>
                <w:color w:val="000000"/>
                <w:kern w:val="0"/>
                <w:szCs w:val="21"/>
                <w:highlight w:val="none"/>
                <w:lang w:val="en-US" w:eastAsia="zh-CN" w:bidi="ar"/>
              </w:rPr>
              <w:t>892.63</w:t>
            </w:r>
          </w:p>
        </w:tc>
        <w:tc>
          <w:tcPr>
            <w:tcW w:w="1449" w:type="dxa"/>
            <w:vAlign w:val="center"/>
          </w:tcPr>
          <w:p>
            <w:pPr>
              <w:widowControl/>
              <w:jc w:val="right"/>
              <w:textAlignment w:val="center"/>
              <w:rPr>
                <w:rFonts w:hint="default" w:eastAsia="宋体"/>
                <w:color w:val="000000"/>
                <w:kern w:val="0"/>
                <w:szCs w:val="21"/>
                <w:highlight w:val="yellow"/>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5</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8,000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8,000</w:t>
            </w:r>
            <w:r>
              <w:rPr>
                <w:rFonts w:hint="eastAsia"/>
                <w:color w:val="000000"/>
                <w:kern w:val="0"/>
                <w:szCs w:val="21"/>
                <w:highlight w:val="none"/>
                <w:lang w:bidi="ar"/>
              </w:rPr>
              <w:t>.00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160</w:t>
            </w:r>
            <w:r>
              <w:rPr>
                <w:rFonts w:hint="eastAsia"/>
                <w:color w:val="000000"/>
                <w:kern w:val="0"/>
                <w:szCs w:val="21"/>
                <w:highlight w:val="none"/>
                <w:lang w:bidi="ar"/>
              </w:rPr>
              <w:t>.</w:t>
            </w:r>
            <w:r>
              <w:rPr>
                <w:rFonts w:hint="eastAsia"/>
                <w:color w:val="000000"/>
                <w:kern w:val="0"/>
                <w:szCs w:val="21"/>
                <w:highlight w:val="none"/>
                <w:lang w:val="en-US" w:eastAsia="zh-CN" w:bidi="ar"/>
              </w:rPr>
              <w:t>43</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6</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3,500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3,500</w:t>
            </w:r>
            <w:r>
              <w:rPr>
                <w:rFonts w:hint="eastAsia"/>
                <w:color w:val="000000"/>
                <w:kern w:val="0"/>
                <w:szCs w:val="21"/>
                <w:highlight w:val="none"/>
                <w:lang w:bidi="ar"/>
              </w:rPr>
              <w:t>.00</w:t>
            </w:r>
          </w:p>
        </w:tc>
        <w:tc>
          <w:tcPr>
            <w:tcW w:w="1378" w:type="dxa"/>
            <w:shd w:val="clear" w:color="auto" w:fill="auto"/>
            <w:vAlign w:val="top"/>
          </w:tcPr>
          <w:p>
            <w:pPr>
              <w:widowControl/>
              <w:jc w:val="right"/>
              <w:textAlignment w:val="center"/>
              <w:rPr>
                <w:rFonts w:hint="default"/>
                <w:color w:val="000000"/>
                <w:kern w:val="0"/>
                <w:szCs w:val="21"/>
                <w:highlight w:val="none"/>
                <w:lang w:val="en-US" w:bidi="ar"/>
              </w:rPr>
            </w:pPr>
            <w:r>
              <w:rPr>
                <w:rFonts w:hint="eastAsia"/>
                <w:color w:val="000000"/>
                <w:kern w:val="0"/>
                <w:szCs w:val="21"/>
                <w:highlight w:val="none"/>
                <w:lang w:val="en-US" w:eastAsia="zh-CN" w:bidi="ar"/>
              </w:rPr>
              <w:t>31.96</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7</w:t>
            </w:r>
          </w:p>
        </w:tc>
        <w:tc>
          <w:tcPr>
            <w:tcW w:w="1559" w:type="dxa"/>
            <w:shd w:val="clear" w:color="auto" w:fill="auto"/>
            <w:vAlign w:val="center"/>
          </w:tcPr>
          <w:p>
            <w:pPr>
              <w:widowControl/>
              <w:jc w:val="center"/>
              <w:textAlignment w:val="center"/>
              <w:rPr>
                <w:color w:val="000000"/>
                <w:kern w:val="0"/>
                <w:szCs w:val="21"/>
                <w:highlight w:val="none"/>
                <w:lang w:bidi="ar"/>
              </w:rPr>
            </w:pPr>
            <w:r>
              <w:rPr>
                <w:rFonts w:hint="eastAsia"/>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4,000.00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4,00</w:t>
            </w:r>
            <w:r>
              <w:rPr>
                <w:rFonts w:hint="eastAsia"/>
                <w:color w:val="000000"/>
                <w:kern w:val="0"/>
                <w:szCs w:val="21"/>
                <w:highlight w:val="none"/>
                <w:lang w:bidi="ar"/>
              </w:rPr>
              <w:t>0.00</w:t>
            </w:r>
          </w:p>
        </w:tc>
        <w:tc>
          <w:tcPr>
            <w:tcW w:w="1378" w:type="dxa"/>
            <w:shd w:val="clear" w:color="auto" w:fill="auto"/>
            <w:vAlign w:val="top"/>
          </w:tcPr>
          <w:p>
            <w:pPr>
              <w:widowControl/>
              <w:jc w:val="right"/>
              <w:textAlignment w:val="center"/>
              <w:rPr>
                <w:rFonts w:hint="default"/>
                <w:color w:val="000000"/>
                <w:kern w:val="0"/>
                <w:szCs w:val="21"/>
                <w:highlight w:val="none"/>
                <w:lang w:val="en-US" w:bidi="ar"/>
              </w:rPr>
            </w:pPr>
            <w:r>
              <w:rPr>
                <w:rFonts w:hint="eastAsia" w:eastAsiaTheme="minorEastAsia"/>
                <w:color w:val="000000"/>
                <w:szCs w:val="21"/>
                <w:highlight w:val="none"/>
              </w:rPr>
              <w:t>32.55</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val="en-US" w:eastAsia="zh-CN" w:bidi="ar"/>
              </w:rPr>
            </w:pPr>
            <w:r>
              <w:rPr>
                <w:rFonts w:hint="eastAsia"/>
                <w:color w:val="000000"/>
                <w:kern w:val="0"/>
                <w:szCs w:val="21"/>
                <w:highlight w:val="none"/>
                <w:lang w:val="en-US" w:eastAsia="zh-CN" w:bidi="ar"/>
              </w:rPr>
              <w:t>8</w:t>
            </w:r>
          </w:p>
        </w:tc>
        <w:tc>
          <w:tcPr>
            <w:tcW w:w="1559"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color w:val="000000"/>
                <w:kern w:val="0"/>
                <w:szCs w:val="21"/>
                <w:highlight w:val="none"/>
                <w:lang w:bidi="ar"/>
              </w:rPr>
              <w:t>7,000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w:t>
            </w:r>
            <w:r>
              <w:rPr>
                <w:rFonts w:hint="eastAsia"/>
                <w:color w:val="000000"/>
                <w:kern w:val="0"/>
                <w:szCs w:val="21"/>
                <w:highlight w:val="none"/>
                <w:lang w:bidi="ar"/>
              </w:rPr>
              <w:t>0.00</w:t>
            </w:r>
          </w:p>
        </w:tc>
        <w:tc>
          <w:tcPr>
            <w:tcW w:w="1378"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eastAsiaTheme="minorEastAsia"/>
                <w:color w:val="000000"/>
                <w:sz w:val="21"/>
                <w:szCs w:val="21"/>
                <w:highlight w:val="none"/>
                <w:vertAlign w:val="baseline"/>
                <w:lang w:val="en-US" w:eastAsia="zh-CN"/>
              </w:rPr>
              <w:t>56.47</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9</w:t>
            </w:r>
          </w:p>
        </w:tc>
        <w:tc>
          <w:tcPr>
            <w:tcW w:w="1559"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color w:val="000000"/>
                <w:kern w:val="0"/>
                <w:szCs w:val="21"/>
                <w:highlight w:val="none"/>
                <w:lang w:val="en-US" w:bidi="ar"/>
              </w:rPr>
            </w:pPr>
            <w:r>
              <w:rPr>
                <w:rFonts w:hint="eastAsia"/>
                <w:color w:val="000000"/>
                <w:kern w:val="0"/>
                <w:szCs w:val="21"/>
                <w:highlight w:val="none"/>
                <w:lang w:val="en-US" w:eastAsia="zh-CN" w:bidi="ar"/>
              </w:rPr>
              <w:t>61.15</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olor w:val="000000"/>
                <w:kern w:val="0"/>
                <w:szCs w:val="21"/>
                <w:highlight w:val="none"/>
                <w:lang w:val="en-US" w:eastAsia="zh-CN" w:bidi="ar"/>
              </w:rPr>
            </w:pPr>
            <w:r>
              <w:rPr>
                <w:rFonts w:hint="eastAsia" w:cs="Times New Roman"/>
                <w:color w:val="000000"/>
                <w:kern w:val="0"/>
                <w:sz w:val="21"/>
                <w:szCs w:val="21"/>
                <w:highlight w:val="none"/>
                <w:lang w:val="en-US" w:eastAsia="zh-CN" w:bidi="ar"/>
              </w:rPr>
              <w:t>10</w:t>
            </w:r>
          </w:p>
        </w:tc>
        <w:tc>
          <w:tcPr>
            <w:tcW w:w="1559" w:type="dxa"/>
            <w:shd w:val="clear" w:color="auto" w:fill="auto"/>
            <w:vAlign w:val="center"/>
          </w:tcPr>
          <w:p>
            <w:pPr>
              <w:widowControl/>
              <w:jc w:val="center"/>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w:t>
            </w:r>
            <w:bookmarkStart w:id="0" w:name="_GoBack"/>
            <w:bookmarkEnd w:id="0"/>
            <w:r>
              <w:rPr>
                <w:rFonts w:hint="eastAsia"/>
                <w:color w:val="000000"/>
                <w:kern w:val="0"/>
                <w:szCs w:val="21"/>
                <w:highlight w:val="none"/>
                <w:lang w:val="en-US" w:eastAsia="zh-CN" w:bidi="ar"/>
              </w:rPr>
              <w:t>000.00</w:t>
            </w:r>
          </w:p>
        </w:tc>
        <w:tc>
          <w:tcPr>
            <w:tcW w:w="1378"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69.21</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11</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c>
          <w:tcPr>
            <w:tcW w:w="1378"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c>
          <w:tcPr>
            <w:tcW w:w="1449" w:type="dxa"/>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12</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color w:val="000000"/>
                <w:kern w:val="0"/>
                <w:szCs w:val="21"/>
                <w:highlight w:val="cyan"/>
                <w:lang w:val="en-US" w:eastAsia="zh-CN" w:bidi="ar"/>
              </w:rPr>
            </w:pPr>
            <w:r>
              <w:rPr>
                <w:rFonts w:hint="eastAsia"/>
                <w:color w:val="auto"/>
                <w:kern w:val="0"/>
                <w:szCs w:val="21"/>
                <w:highlight w:val="none"/>
                <w:lang w:val="en-US" w:eastAsia="zh-CN" w:bidi="ar"/>
              </w:rPr>
              <w:t>73.97</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13</w:t>
            </w:r>
          </w:p>
        </w:tc>
        <w:tc>
          <w:tcPr>
            <w:tcW w:w="1559" w:type="dxa"/>
            <w:shd w:val="clear" w:color="auto" w:fill="auto"/>
            <w:vAlign w:val="center"/>
          </w:tcPr>
          <w:p>
            <w:pPr>
              <w:widowControl/>
              <w:jc w:val="center"/>
              <w:textAlignment w:val="center"/>
              <w:rPr>
                <w:rFonts w:hint="eastAsia"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3,000.00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3,000.00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14</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15</w:t>
            </w:r>
          </w:p>
        </w:tc>
        <w:tc>
          <w:tcPr>
            <w:tcW w:w="1559" w:type="dxa"/>
            <w:shd w:val="clear" w:color="auto" w:fill="auto"/>
            <w:vAlign w:val="center"/>
          </w:tcPr>
          <w:p>
            <w:pPr>
              <w:widowControl/>
              <w:jc w:val="center"/>
              <w:textAlignment w:val="center"/>
              <w:rPr>
                <w:rFonts w:hint="eastAsia" w:eastAsia="宋体"/>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7,000.00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16</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20,000.00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20,000.00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b/>
                <w:bCs/>
                <w:color w:val="000000"/>
                <w:kern w:val="0"/>
                <w:szCs w:val="21"/>
                <w:highlight w:val="none"/>
                <w:lang w:bidi="ar"/>
              </w:rPr>
            </w:pPr>
            <w:r>
              <w:rPr>
                <w:b/>
                <w:bCs/>
                <w:color w:val="000000"/>
                <w:kern w:val="0"/>
                <w:szCs w:val="21"/>
                <w:highlight w:val="none"/>
                <w:lang w:bidi="ar"/>
              </w:rPr>
              <w:t>合计</w:t>
            </w:r>
          </w:p>
        </w:tc>
        <w:tc>
          <w:tcPr>
            <w:tcW w:w="1560"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117,800.00</w:t>
            </w:r>
          </w:p>
        </w:tc>
        <w:tc>
          <w:tcPr>
            <w:tcW w:w="1701"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75,800.00</w:t>
            </w:r>
          </w:p>
        </w:tc>
        <w:tc>
          <w:tcPr>
            <w:tcW w:w="1378"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yellow"/>
                <w:lang w:val="en-US" w:eastAsia="zh-CN" w:bidi="ar"/>
              </w:rPr>
            </w:pPr>
            <w:r>
              <w:rPr>
                <w:rFonts w:hint="default" w:eastAsia="宋体"/>
                <w:b/>
                <w:bCs/>
                <w:color w:val="000000"/>
                <w:kern w:val="0"/>
                <w:szCs w:val="21"/>
                <w:highlight w:val="none"/>
                <w:lang w:val="en-US" w:eastAsia="zh-CN" w:bidi="ar"/>
              </w:rPr>
              <w:t>1</w:t>
            </w:r>
            <w:r>
              <w:rPr>
                <w:rFonts w:hint="eastAsia"/>
                <w:b/>
                <w:bCs/>
                <w:color w:val="000000"/>
                <w:kern w:val="0"/>
                <w:szCs w:val="21"/>
                <w:highlight w:val="none"/>
                <w:lang w:val="en-US" w:eastAsia="zh-CN" w:bidi="ar"/>
              </w:rPr>
              <w:t>,</w:t>
            </w:r>
            <w:r>
              <w:rPr>
                <w:rFonts w:hint="default" w:eastAsia="宋体"/>
                <w:b/>
                <w:bCs/>
                <w:color w:val="000000"/>
                <w:kern w:val="0"/>
                <w:szCs w:val="21"/>
                <w:highlight w:val="none"/>
                <w:lang w:val="en-US" w:eastAsia="zh-CN" w:bidi="ar"/>
              </w:rPr>
              <w:t>465.63</w:t>
            </w:r>
          </w:p>
        </w:tc>
        <w:tc>
          <w:tcPr>
            <w:tcW w:w="1449" w:type="dxa"/>
            <w:tcBorders>
              <w:bottom w:val="thinThickSmallGap" w:color="auto" w:sz="24" w:space="0"/>
            </w:tcBorders>
            <w:vAlign w:val="top"/>
          </w:tcPr>
          <w:p>
            <w:pPr>
              <w:widowControl/>
              <w:jc w:val="right"/>
              <w:textAlignment w:val="center"/>
              <w:rPr>
                <w:rFonts w:hint="default" w:eastAsia="宋体"/>
                <w:b/>
                <w:bCs/>
                <w:color w:val="000000"/>
                <w:kern w:val="0"/>
                <w:szCs w:val="21"/>
                <w:highlight w:val="yellow"/>
                <w:lang w:val="en-US" w:eastAsia="zh-CN" w:bidi="ar"/>
              </w:rPr>
            </w:pPr>
            <w:r>
              <w:rPr>
                <w:rFonts w:hint="eastAsia"/>
                <w:b/>
                <w:bCs/>
                <w:color w:val="000000"/>
                <w:kern w:val="0"/>
                <w:szCs w:val="21"/>
                <w:highlight w:val="none"/>
                <w:lang w:val="en-US" w:eastAsia="zh-CN" w:bidi="ar"/>
              </w:rPr>
              <w:t>42,000.00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color w:val="000000"/>
                <w:kern w:val="0"/>
                <w:szCs w:val="21"/>
                <w:highlight w:val="green"/>
                <w:lang w:bidi="ar"/>
              </w:rPr>
            </w:pPr>
            <w:r>
              <w:rPr>
                <w:rFonts w:hint="eastAsia"/>
                <w:color w:val="000000"/>
                <w:kern w:val="0"/>
                <w:szCs w:val="21"/>
                <w:highlight w:val="none"/>
                <w:lang w:bidi="ar"/>
              </w:rPr>
              <w:t>42</w:t>
            </w:r>
            <w:r>
              <w:rPr>
                <w:color w:val="000000"/>
                <w:kern w:val="0"/>
                <w:szCs w:val="21"/>
                <w:highlight w:val="none"/>
                <w:lang w:bidi="ar"/>
              </w:rPr>
              <w:t>,</w:t>
            </w:r>
            <w:r>
              <w:rPr>
                <w:rFonts w:hint="eastAsia"/>
                <w:color w:val="000000"/>
                <w:kern w:val="0"/>
                <w:szCs w:val="21"/>
                <w:highlight w:val="none"/>
                <w:lang w:val="en-US" w:eastAsia="zh-CN" w:bidi="ar"/>
              </w:rPr>
              <w:t>8</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32.18</w:t>
            </w:r>
            <w:r>
              <w:rPr>
                <w:rFonts w:hint="eastAsia"/>
                <w:color w:val="000000"/>
                <w:kern w:val="0"/>
                <w:szCs w:val="21"/>
                <w:highlight w:val="none"/>
                <w:lang w:bidi="ar"/>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eastAsia="宋体"/>
                <w:color w:val="000000"/>
                <w:kern w:val="0"/>
                <w:szCs w:val="21"/>
                <w:highlight w:val="green"/>
                <w:lang w:val="en-US" w:eastAsia="zh-CN" w:bidi="ar"/>
              </w:rPr>
            </w:pPr>
            <w:r>
              <w:rPr>
                <w:rFonts w:hint="eastAsia"/>
                <w:color w:val="000000"/>
                <w:kern w:val="0"/>
                <w:szCs w:val="21"/>
                <w:highlight w:val="none"/>
                <w:lang w:val="en-US" w:eastAsia="zh-CN" w:bidi="ar"/>
              </w:rPr>
              <w:t>25.75%</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目前已使用的理财额度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42</w:t>
            </w:r>
            <w:r>
              <w:rPr>
                <w:color w:val="000000"/>
                <w:kern w:val="0"/>
                <w:szCs w:val="21"/>
                <w:highlight w:val="none"/>
                <w:lang w:bidi="ar"/>
              </w:rPr>
              <w:t>,</w:t>
            </w:r>
            <w:r>
              <w:rPr>
                <w:rFonts w:hint="eastAsia"/>
                <w:color w:val="000000"/>
                <w:kern w:val="0"/>
                <w:szCs w:val="21"/>
                <w:highlight w:val="none"/>
                <w:lang w:val="en-US" w:eastAsia="zh-CN" w:bidi="ar"/>
              </w:rPr>
              <w:t>0</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尚未使用的理财额度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28,0</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总理财额度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70,000</w:t>
            </w:r>
            <w:r>
              <w:rPr>
                <w:rFonts w:hint="eastAsia"/>
                <w:color w:val="000000"/>
                <w:kern w:val="0"/>
                <w:szCs w:val="21"/>
                <w:highlight w:val="none"/>
                <w:lang w:bidi="ar"/>
              </w:rPr>
              <w:t>.00</w:t>
            </w:r>
          </w:p>
        </w:tc>
      </w:tr>
    </w:tbl>
    <w:p>
      <w:pPr>
        <w:keepNext w:val="0"/>
        <w:keepLines w:val="0"/>
        <w:pageBreakBefore w:val="0"/>
        <w:widowControl/>
        <w:kinsoku/>
        <w:wordWrap/>
        <w:overflowPunct/>
        <w:topLinePunct w:val="0"/>
        <w:autoSpaceDE/>
        <w:autoSpaceDN/>
        <w:bidi w:val="0"/>
        <w:adjustRightInd/>
        <w:snapToGrid/>
        <w:spacing w:before="156" w:beforeLines="50" w:line="360" w:lineRule="auto"/>
        <w:ind w:firstLine="420" w:firstLineChars="175"/>
        <w:jc w:val="left"/>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eastAsiaTheme="minorEastAsia"/>
          <w:color w:val="000000"/>
          <w:sz w:val="24"/>
          <w:szCs w:val="24"/>
        </w:rPr>
      </w:pPr>
      <w:r>
        <w:rPr>
          <w:rFonts w:hint="eastAsia" w:eastAsiaTheme="minorEastAsia"/>
          <w:color w:val="000000"/>
          <w:sz w:val="24"/>
          <w:szCs w:val="24"/>
        </w:rPr>
        <w:t>格尔软件股份有限公司董事会</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asciiTheme="minorEastAsia" w:hAnsiTheme="minorEastAsia" w:eastAsiaTheme="minorEastAsia" w:cstheme="minorEastAsia"/>
          <w:b/>
          <w:bCs/>
          <w:color w:val="000000"/>
          <w:sz w:val="24"/>
          <w:szCs w:val="24"/>
          <w:highlight w:val="none"/>
        </w:rPr>
      </w:pPr>
      <w:r>
        <w:rPr>
          <w:rFonts w:eastAsiaTheme="minorEastAsia"/>
          <w:color w:val="000000"/>
          <w:sz w:val="24"/>
          <w:szCs w:val="24"/>
          <w:highlight w:val="none"/>
        </w:rPr>
        <w:t>202</w:t>
      </w:r>
      <w:r>
        <w:rPr>
          <w:rFonts w:hint="eastAsia" w:eastAsiaTheme="minorEastAsia"/>
          <w:color w:val="000000"/>
          <w:sz w:val="24"/>
          <w:szCs w:val="24"/>
          <w:highlight w:val="none"/>
          <w:lang w:val="en-US" w:eastAsia="zh-CN"/>
        </w:rPr>
        <w:t>1</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29</w:t>
      </w:r>
      <w:r>
        <w:rPr>
          <w:rFonts w:eastAsiaTheme="minorEastAsia"/>
          <w:color w:val="000000"/>
          <w:sz w:val="24"/>
          <w:szCs w:val="24"/>
          <w:highlight w:val="none"/>
        </w:rPr>
        <w:t>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8DF2E"/>
    <w:multiLevelType w:val="singleLevel"/>
    <w:tmpl w:val="AFD8DF2E"/>
    <w:lvl w:ilvl="0" w:tentative="0">
      <w:start w:val="2"/>
      <w:numFmt w:val="decimal"/>
      <w:suff w:val="nothing"/>
      <w:lvlText w:val="%1、"/>
      <w:lvlJc w:val="left"/>
    </w:lvl>
  </w:abstractNum>
  <w:abstractNum w:abstractNumId="1">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2">
    <w:nsid w:val="31FF68AF"/>
    <w:multiLevelType w:val="singleLevel"/>
    <w:tmpl w:val="31FF68AF"/>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EA3E54"/>
    <w:rsid w:val="00451937"/>
    <w:rsid w:val="00491A48"/>
    <w:rsid w:val="018E4822"/>
    <w:rsid w:val="027576DF"/>
    <w:rsid w:val="02AF4FED"/>
    <w:rsid w:val="049C0D81"/>
    <w:rsid w:val="04BC2DF0"/>
    <w:rsid w:val="05202816"/>
    <w:rsid w:val="05B5678A"/>
    <w:rsid w:val="07832D9E"/>
    <w:rsid w:val="083E47F0"/>
    <w:rsid w:val="08C60F31"/>
    <w:rsid w:val="097203F7"/>
    <w:rsid w:val="0AC149D4"/>
    <w:rsid w:val="0B003FF2"/>
    <w:rsid w:val="0BC4590D"/>
    <w:rsid w:val="0BE8347C"/>
    <w:rsid w:val="0F34760A"/>
    <w:rsid w:val="0FBD3F46"/>
    <w:rsid w:val="100E2521"/>
    <w:rsid w:val="11535FD3"/>
    <w:rsid w:val="11FA498B"/>
    <w:rsid w:val="129A7BA6"/>
    <w:rsid w:val="15462F97"/>
    <w:rsid w:val="15E54F66"/>
    <w:rsid w:val="17391ED0"/>
    <w:rsid w:val="17A17C4F"/>
    <w:rsid w:val="17C52683"/>
    <w:rsid w:val="17E62CEF"/>
    <w:rsid w:val="197E73F4"/>
    <w:rsid w:val="1A041605"/>
    <w:rsid w:val="1CB36531"/>
    <w:rsid w:val="1D36117A"/>
    <w:rsid w:val="1DE640C3"/>
    <w:rsid w:val="1E125A00"/>
    <w:rsid w:val="1F6C3676"/>
    <w:rsid w:val="210940E9"/>
    <w:rsid w:val="28B35DF1"/>
    <w:rsid w:val="28CF4CC7"/>
    <w:rsid w:val="29A7485D"/>
    <w:rsid w:val="2DF44503"/>
    <w:rsid w:val="2E4E7A2B"/>
    <w:rsid w:val="2E80779D"/>
    <w:rsid w:val="345322CD"/>
    <w:rsid w:val="38D05A6D"/>
    <w:rsid w:val="390212BA"/>
    <w:rsid w:val="397D10DC"/>
    <w:rsid w:val="39B02A11"/>
    <w:rsid w:val="3AF7441B"/>
    <w:rsid w:val="3C295A99"/>
    <w:rsid w:val="3CE14972"/>
    <w:rsid w:val="3EE1443F"/>
    <w:rsid w:val="3EE71B36"/>
    <w:rsid w:val="3EFB2631"/>
    <w:rsid w:val="40461D28"/>
    <w:rsid w:val="42FD048C"/>
    <w:rsid w:val="433B62FA"/>
    <w:rsid w:val="43426F87"/>
    <w:rsid w:val="48000720"/>
    <w:rsid w:val="49721DBB"/>
    <w:rsid w:val="4A0E310F"/>
    <w:rsid w:val="4AFD1F57"/>
    <w:rsid w:val="4B501A2D"/>
    <w:rsid w:val="4BEA3E54"/>
    <w:rsid w:val="4C565D83"/>
    <w:rsid w:val="4CAD5B18"/>
    <w:rsid w:val="516C6209"/>
    <w:rsid w:val="56FD7F32"/>
    <w:rsid w:val="59DB62D9"/>
    <w:rsid w:val="5B4C799D"/>
    <w:rsid w:val="5C646231"/>
    <w:rsid w:val="604E6A0A"/>
    <w:rsid w:val="609A26F5"/>
    <w:rsid w:val="61FC78BC"/>
    <w:rsid w:val="66066C4D"/>
    <w:rsid w:val="6736715E"/>
    <w:rsid w:val="67BF6746"/>
    <w:rsid w:val="683A721E"/>
    <w:rsid w:val="688A543D"/>
    <w:rsid w:val="68BA5CE9"/>
    <w:rsid w:val="692A202C"/>
    <w:rsid w:val="6B797D08"/>
    <w:rsid w:val="6B7F203F"/>
    <w:rsid w:val="6C360C93"/>
    <w:rsid w:val="6C847826"/>
    <w:rsid w:val="6DBF37EC"/>
    <w:rsid w:val="6E471F02"/>
    <w:rsid w:val="70BD7855"/>
    <w:rsid w:val="716E7BB1"/>
    <w:rsid w:val="73911D1F"/>
    <w:rsid w:val="75A620CB"/>
    <w:rsid w:val="76CC503A"/>
    <w:rsid w:val="776179CD"/>
    <w:rsid w:val="78716CF9"/>
    <w:rsid w:val="7A656D7F"/>
    <w:rsid w:val="7BEB3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57</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2021-09-14T01:19:00Z</dcterms:created>
  <dc:creator>suuuu</dc:creator>
  <cp:lastModifiedBy>邹岩</cp:lastModifiedBy>
  <dcterms:modified xsi:type="dcterms:W3CDTF">2021-09-28T05:27:03Z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E1EC81EC01004B0E95759D954EB1F285</vt:lpwstr>
  </property>
</Properties>
</file>