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eastAsiaTheme="minorEastAsia"/>
          <w:szCs w:val="21"/>
        </w:rPr>
      </w:pPr>
      <w:r>
        <w:rPr>
          <w:rFonts w:eastAsiaTheme="minorEastAsia"/>
          <w:szCs w:val="21"/>
        </w:rPr>
        <w:t>证券代码：603232               证券简称：格尔软件            公告编号：202</w:t>
      </w:r>
      <w:r>
        <w:rPr>
          <w:rFonts w:hint="eastAsia" w:eastAsiaTheme="minorEastAsia"/>
          <w:szCs w:val="21"/>
        </w:rPr>
        <w:t>1</w:t>
      </w:r>
      <w:r>
        <w:rPr>
          <w:rFonts w:eastAsiaTheme="minorEastAsia"/>
          <w:szCs w:val="21"/>
        </w:rPr>
        <w:t>-0</w:t>
      </w:r>
      <w:r>
        <w:rPr>
          <w:rFonts w:hint="eastAsia" w:eastAsiaTheme="minorEastAsia"/>
          <w:szCs w:val="21"/>
        </w:rPr>
        <w:t>35</w:t>
      </w:r>
    </w:p>
    <w:p>
      <w:pPr>
        <w:spacing w:line="312" w:lineRule="auto"/>
        <w:rPr>
          <w:rFonts w:eastAsiaTheme="minorEastAsia"/>
          <w:szCs w:val="21"/>
        </w:rPr>
      </w:pPr>
    </w:p>
    <w:p>
      <w:pPr>
        <w:adjustRightInd w:val="0"/>
        <w:snapToGrid w:val="0"/>
        <w:spacing w:line="360" w:lineRule="auto"/>
        <w:jc w:val="center"/>
        <w:rPr>
          <w:rFonts w:ascii="黑体" w:hAnsi="黑体" w:eastAsia="黑体"/>
          <w:b/>
          <w:color w:val="FF0000"/>
          <w:sz w:val="32"/>
          <w:szCs w:val="32"/>
        </w:rPr>
      </w:pPr>
      <w:r>
        <w:rPr>
          <w:rFonts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ascii="黑体" w:hAnsi="黑体" w:eastAsia="黑体"/>
          <w:b/>
          <w:color w:val="FF0000"/>
          <w:sz w:val="32"/>
          <w:szCs w:val="32"/>
        </w:rPr>
        <w:t>关于</w:t>
      </w:r>
      <w:r>
        <w:rPr>
          <w:rFonts w:hint="eastAsia" w:ascii="黑体" w:hAnsi="黑体" w:eastAsia="黑体"/>
          <w:b/>
          <w:color w:val="FF0000"/>
          <w:sz w:val="32"/>
          <w:szCs w:val="32"/>
        </w:rPr>
        <w:t>对外投资暨关联交易的</w:t>
      </w:r>
      <w:r>
        <w:rPr>
          <w:rFonts w:ascii="黑体" w:hAnsi="黑体" w:eastAsia="黑体"/>
          <w:b/>
          <w:color w:val="FF0000"/>
          <w:sz w:val="32"/>
          <w:szCs w:val="32"/>
        </w:rPr>
        <w:t>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eastAsiaTheme="minorEastAsia"/>
          <w:color w:val="000000"/>
          <w:szCs w:val="21"/>
        </w:rPr>
      </w:pPr>
      <w:r>
        <w:rPr>
          <w:rFonts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rPr>
          <w:rFonts w:eastAsiaTheme="minorEastAsia"/>
          <w:b/>
          <w:sz w:val="24"/>
          <w:szCs w:val="24"/>
        </w:rPr>
      </w:pPr>
    </w:p>
    <w:p>
      <w:pPr>
        <w:adjustRightInd w:val="0"/>
        <w:snapToGrid w:val="0"/>
        <w:spacing w:line="360" w:lineRule="auto"/>
        <w:rPr>
          <w:rFonts w:eastAsiaTheme="minorEastAsia"/>
          <w:b/>
          <w:sz w:val="24"/>
          <w:szCs w:val="24"/>
        </w:rPr>
      </w:pPr>
      <w:r>
        <w:rPr>
          <w:rFonts w:eastAsiaTheme="minorEastAsia"/>
          <w:b/>
          <w:sz w:val="24"/>
          <w:szCs w:val="24"/>
        </w:rPr>
        <w:t>重要内容提示：</w:t>
      </w:r>
    </w:p>
    <w:p>
      <w:pPr>
        <w:widowControl/>
        <w:numPr>
          <w:ilvl w:val="0"/>
          <w:numId w:val="1"/>
        </w:numPr>
        <w:spacing w:line="360" w:lineRule="auto"/>
        <w:rPr>
          <w:rFonts w:eastAsiaTheme="minorEastAsia"/>
          <w:color w:val="000000"/>
          <w:kern w:val="0"/>
          <w:sz w:val="24"/>
          <w:szCs w:val="24"/>
          <w:lang w:bidi="ar"/>
        </w:rPr>
      </w:pPr>
      <w:r>
        <w:rPr>
          <w:rFonts w:hint="eastAsia" w:eastAsiaTheme="minorEastAsia"/>
          <w:color w:val="000000"/>
          <w:kern w:val="0"/>
          <w:sz w:val="24"/>
          <w:szCs w:val="24"/>
          <w:lang w:bidi="ar"/>
        </w:rPr>
        <w:t>投资标的</w:t>
      </w:r>
      <w:r>
        <w:rPr>
          <w:rFonts w:eastAsiaTheme="minorEastAsia"/>
          <w:color w:val="000000"/>
          <w:kern w:val="0"/>
          <w:sz w:val="24"/>
          <w:szCs w:val="24"/>
          <w:lang w:bidi="ar"/>
        </w:rPr>
        <w:t>：</w:t>
      </w:r>
      <w:r>
        <w:rPr>
          <w:rFonts w:hint="eastAsia" w:eastAsiaTheme="minorEastAsia"/>
          <w:color w:val="000000"/>
          <w:kern w:val="0"/>
          <w:sz w:val="24"/>
          <w:szCs w:val="24"/>
          <w:lang w:bidi="ar"/>
        </w:rPr>
        <w:t>上海芯钛信息科技有限公司（以下简称“上海芯钛”）</w:t>
      </w:r>
    </w:p>
    <w:p>
      <w:pPr>
        <w:widowControl/>
        <w:numPr>
          <w:ilvl w:val="0"/>
          <w:numId w:val="1"/>
        </w:numPr>
        <w:spacing w:line="360" w:lineRule="auto"/>
        <w:rPr>
          <w:rFonts w:eastAsiaTheme="minorEastAsia"/>
          <w:color w:val="000000"/>
          <w:kern w:val="0"/>
          <w:sz w:val="24"/>
          <w:szCs w:val="24"/>
          <w:lang w:bidi="ar"/>
        </w:rPr>
      </w:pPr>
      <w:r>
        <w:rPr>
          <w:rFonts w:hint="eastAsia" w:eastAsiaTheme="minorEastAsia"/>
          <w:color w:val="000000"/>
          <w:kern w:val="0"/>
          <w:sz w:val="24"/>
          <w:szCs w:val="24"/>
          <w:lang w:bidi="ar"/>
        </w:rPr>
        <w:t>投资</w:t>
      </w:r>
      <w:r>
        <w:rPr>
          <w:rFonts w:eastAsiaTheme="minorEastAsia"/>
          <w:color w:val="000000"/>
          <w:kern w:val="0"/>
          <w:sz w:val="24"/>
          <w:szCs w:val="24"/>
          <w:lang w:bidi="ar"/>
        </w:rPr>
        <w:t>金额：</w:t>
      </w:r>
      <w:r>
        <w:rPr>
          <w:rFonts w:hint="eastAsia" w:eastAsiaTheme="minorEastAsia"/>
          <w:color w:val="000000"/>
          <w:kern w:val="0"/>
          <w:sz w:val="24"/>
          <w:szCs w:val="24"/>
          <w:lang w:bidi="ar"/>
        </w:rPr>
        <w:t>格尔软件股份有限公司（以下简称“公司”）拟以自有资金人民币1,000</w:t>
      </w:r>
      <w:r>
        <w:rPr>
          <w:rFonts w:eastAsiaTheme="minorEastAsia"/>
          <w:color w:val="000000"/>
          <w:kern w:val="0"/>
          <w:sz w:val="24"/>
          <w:szCs w:val="24"/>
          <w:lang w:bidi="ar"/>
        </w:rPr>
        <w:t>万元</w:t>
      </w:r>
      <w:r>
        <w:rPr>
          <w:rFonts w:hint="eastAsia" w:eastAsiaTheme="minorEastAsia"/>
          <w:color w:val="000000"/>
          <w:kern w:val="0"/>
          <w:sz w:val="24"/>
          <w:szCs w:val="24"/>
          <w:lang w:bidi="ar"/>
        </w:rPr>
        <w:t>对上海芯钛进行增资。本次增资完成后，公司持有上海芯钛1.7391%的股权。</w:t>
      </w:r>
    </w:p>
    <w:p>
      <w:pPr>
        <w:widowControl/>
        <w:numPr>
          <w:ilvl w:val="0"/>
          <w:numId w:val="1"/>
        </w:numPr>
        <w:spacing w:line="360" w:lineRule="auto"/>
        <w:rPr>
          <w:rFonts w:eastAsiaTheme="minorEastAsia"/>
          <w:color w:val="000000"/>
          <w:kern w:val="0"/>
          <w:sz w:val="24"/>
          <w:szCs w:val="24"/>
          <w:lang w:bidi="ar"/>
        </w:rPr>
      </w:pPr>
      <w:r>
        <w:rPr>
          <w:rFonts w:hint="eastAsia" w:ascii="Times New Roman" w:hAnsi="Times New Roman" w:cs="Times New Roman"/>
          <w:color w:val="000000"/>
          <w:kern w:val="2"/>
          <w:sz w:val="24"/>
          <w:szCs w:val="24"/>
          <w:lang w:val="en-US" w:bidi="ar-SA"/>
        </w:rPr>
        <w:t>过去</w:t>
      </w:r>
      <w:r>
        <w:rPr>
          <w:rFonts w:ascii="Times New Roman" w:hAnsi="Times New Roman" w:cs="Times New Roman"/>
          <w:color w:val="000000"/>
          <w:kern w:val="2"/>
          <w:sz w:val="24"/>
          <w:szCs w:val="24"/>
          <w:lang w:val="en-US" w:bidi="ar-SA"/>
        </w:rPr>
        <w:t>12</w:t>
      </w:r>
      <w:r>
        <w:rPr>
          <w:rFonts w:hint="eastAsia" w:ascii="Times New Roman" w:hAnsi="Times New Roman" w:cs="Times New Roman"/>
          <w:color w:val="000000"/>
          <w:kern w:val="2"/>
          <w:sz w:val="24"/>
          <w:szCs w:val="24"/>
          <w:lang w:val="en-US" w:bidi="ar-SA"/>
        </w:rPr>
        <w:t>个</w:t>
      </w:r>
      <w:r>
        <w:rPr>
          <w:rFonts w:ascii="Times New Roman" w:hAnsi="Times New Roman" w:cs="Times New Roman"/>
          <w:color w:val="000000"/>
          <w:kern w:val="2"/>
          <w:sz w:val="24"/>
          <w:szCs w:val="24"/>
          <w:lang w:val="en-US" w:bidi="ar-SA"/>
        </w:rPr>
        <w:t>月</w:t>
      </w:r>
      <w:r>
        <w:rPr>
          <w:rFonts w:hint="eastAsia" w:ascii="Times New Roman" w:hAnsi="Times New Roman" w:cs="Times New Roman"/>
          <w:color w:val="000000"/>
          <w:kern w:val="2"/>
          <w:sz w:val="24"/>
          <w:szCs w:val="24"/>
          <w:lang w:val="en-US" w:bidi="ar-SA"/>
        </w:rPr>
        <w:t>内</w:t>
      </w:r>
      <w:r>
        <w:rPr>
          <w:rFonts w:ascii="Times New Roman" w:hAnsi="Times New Roman" w:cs="Times New Roman"/>
          <w:color w:val="000000"/>
          <w:kern w:val="2"/>
          <w:sz w:val="24"/>
          <w:szCs w:val="24"/>
          <w:lang w:val="en-US" w:bidi="ar-SA"/>
        </w:rPr>
        <w:t>公司与上海芯钛</w:t>
      </w:r>
      <w:r>
        <w:rPr>
          <w:rFonts w:hint="eastAsia" w:ascii="Times New Roman" w:hAnsi="Times New Roman" w:cs="Times New Roman"/>
          <w:color w:val="000000"/>
          <w:kern w:val="2"/>
          <w:sz w:val="24"/>
          <w:szCs w:val="24"/>
          <w:lang w:val="en-US" w:bidi="ar-SA"/>
        </w:rPr>
        <w:t>、陈宁生、上海芯胜</w:t>
      </w:r>
      <w:r>
        <w:rPr>
          <w:rFonts w:ascii="Times New Roman" w:hAnsi="Times New Roman" w:cs="Times New Roman"/>
          <w:color w:val="000000"/>
          <w:kern w:val="2"/>
          <w:sz w:val="24"/>
          <w:szCs w:val="24"/>
          <w:lang w:val="en-US" w:bidi="ar-SA"/>
        </w:rPr>
        <w:t>及其关联方未进行</w:t>
      </w:r>
      <w:r>
        <w:rPr>
          <w:rFonts w:hint="eastAsia" w:ascii="Times New Roman" w:hAnsi="Times New Roman" w:cs="Times New Roman"/>
          <w:color w:val="000000"/>
          <w:kern w:val="2"/>
          <w:sz w:val="24"/>
          <w:szCs w:val="24"/>
          <w:lang w:val="en-US" w:bidi="ar-SA"/>
        </w:rPr>
        <w:t>除已披露的日常关联交易外的</w:t>
      </w:r>
      <w:r>
        <w:rPr>
          <w:rFonts w:ascii="Times New Roman" w:hAnsi="Times New Roman" w:cs="Times New Roman"/>
          <w:color w:val="000000"/>
          <w:kern w:val="2"/>
          <w:sz w:val="24"/>
          <w:szCs w:val="24"/>
          <w:lang w:val="en-US" w:bidi="ar-SA"/>
        </w:rPr>
        <w:t>关联交易，</w:t>
      </w:r>
      <w:r>
        <w:rPr>
          <w:rFonts w:hint="eastAsia" w:ascii="Times New Roman" w:hAnsi="Times New Roman" w:cs="Times New Roman"/>
          <w:color w:val="000000"/>
          <w:kern w:val="2"/>
          <w:sz w:val="24"/>
          <w:szCs w:val="24"/>
          <w:lang w:val="en-US" w:bidi="ar-SA"/>
        </w:rPr>
        <w:t>亦</w:t>
      </w:r>
      <w:r>
        <w:rPr>
          <w:rFonts w:ascii="Times New Roman" w:hAnsi="Times New Roman" w:cs="Times New Roman"/>
          <w:color w:val="000000"/>
          <w:kern w:val="2"/>
          <w:sz w:val="24"/>
          <w:szCs w:val="24"/>
          <w:lang w:val="en-US" w:bidi="ar-SA"/>
        </w:rPr>
        <w:t>未与不同关联人进行交易类别相关的交易</w:t>
      </w:r>
      <w:r>
        <w:rPr>
          <w:rFonts w:hint="eastAsia" w:ascii="Times New Roman" w:hAnsi="Times New Roman" w:cs="Times New Roman"/>
          <w:color w:val="000000"/>
          <w:kern w:val="2"/>
          <w:sz w:val="24"/>
          <w:szCs w:val="24"/>
          <w:lang w:val="en-US" w:bidi="ar-SA"/>
        </w:rPr>
        <w:t>。过去</w:t>
      </w:r>
      <w:r>
        <w:rPr>
          <w:rFonts w:ascii="Times New Roman" w:hAnsi="Times New Roman" w:cs="Times New Roman"/>
          <w:color w:val="000000"/>
          <w:kern w:val="2"/>
          <w:sz w:val="24"/>
          <w:szCs w:val="24"/>
          <w:lang w:val="en-US" w:bidi="ar-SA"/>
        </w:rPr>
        <w:t>12个月内公司与同一关联人或与不同关联人之间交易类别相关的关联交易未达到占公司最近一期经审计净资产绝对值5%以上。</w:t>
      </w:r>
    </w:p>
    <w:p>
      <w:pPr>
        <w:widowControl/>
        <w:numPr>
          <w:ilvl w:val="0"/>
          <w:numId w:val="1"/>
        </w:numPr>
        <w:spacing w:line="360" w:lineRule="auto"/>
        <w:rPr>
          <w:rFonts w:eastAsiaTheme="minorEastAsia"/>
          <w:color w:val="000000"/>
          <w:kern w:val="0"/>
          <w:sz w:val="24"/>
          <w:szCs w:val="24"/>
          <w:lang w:bidi="ar"/>
        </w:rPr>
      </w:pPr>
      <w:r>
        <w:rPr>
          <w:rFonts w:hint="eastAsia" w:eastAsiaTheme="minorEastAsia"/>
          <w:color w:val="000000"/>
          <w:kern w:val="0"/>
          <w:sz w:val="24"/>
          <w:szCs w:val="24"/>
          <w:lang w:bidi="ar"/>
        </w:rPr>
        <w:t>履行的审议程序：本次对外投资暨关联交易事项已经公司第七届董事会第十七次会议审议通过，根据上海证券交易所《股票上市规则》及《公司章程》规定，该事项无需提交股东大会审议。</w:t>
      </w:r>
    </w:p>
    <w:p>
      <w:pPr>
        <w:widowControl/>
        <w:numPr>
          <w:ilvl w:val="0"/>
          <w:numId w:val="1"/>
        </w:numPr>
        <w:spacing w:line="360" w:lineRule="auto"/>
        <w:rPr>
          <w:rFonts w:eastAsiaTheme="minorEastAsia"/>
          <w:color w:val="000000"/>
          <w:kern w:val="0"/>
          <w:sz w:val="24"/>
          <w:szCs w:val="24"/>
          <w:lang w:bidi="ar"/>
        </w:rPr>
      </w:pPr>
      <w:r>
        <w:rPr>
          <w:rFonts w:hint="eastAsia" w:ascii="宋体" w:hAnsi="宋体"/>
          <w:bCs/>
          <w:sz w:val="24"/>
        </w:rPr>
        <w:t>特别风险提示：本次交易完成后，存在能否完成相关工商审批手续的不确定性；本次交易尚未完成交割</w:t>
      </w:r>
      <w:r>
        <w:rPr>
          <w:rFonts w:hint="eastAsia" w:hAnsi="宋体"/>
          <w:bCs/>
          <w:sz w:val="24"/>
        </w:rPr>
        <w:t>，本次交易的最终交割存在一定的不确定性；</w:t>
      </w:r>
      <w:r>
        <w:rPr>
          <w:rFonts w:hint="eastAsia" w:ascii="宋体" w:hAnsi="宋体"/>
          <w:bCs/>
          <w:sz w:val="24"/>
        </w:rPr>
        <w:t>交易完成后公司对上海芯钛其经营管理不具有控制权，是否能够高效、顺利运营并达成预期目标存在一定的不确定性；公司从未从事有关芯片研发、生产、设计及销售相关的业务，若芯片整体行业发展不及预期，可能对本次投资的投资收益产生不利影响；上海芯钛可能面临行业、政策、市场环境变化及经营管理等风险，投资收益存在不确定性；其他风险。具体详见本公告的风险提示，敬请投资者注意投资风险。</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关联交易概述</w:t>
      </w:r>
    </w:p>
    <w:p>
      <w:pPr>
        <w:pStyle w:val="19"/>
        <w:spacing w:line="360" w:lineRule="auto"/>
        <w:ind w:firstLine="420"/>
        <w:rPr>
          <w:rFonts w:eastAsiaTheme="minorEastAsia"/>
          <w:lang w:bidi="ar"/>
        </w:rPr>
      </w:pPr>
      <w:r>
        <w:rPr>
          <w:rFonts w:hint="eastAsia" w:ascii="Times New Roman" w:hAnsi="Times New Roman" w:cs="Times New Roman" w:eastAsiaTheme="minorEastAsia"/>
        </w:rPr>
        <w:t>为加强公司车联网安全行业布局，推动公司自身稳定发展，发挥车联网产业协同效应，公司与福沃德投資控股有限公司（以下简称“福沃德”）、嘉兴创荣股权投资合伙企业（有限合伙）（以下简称“嘉兴创荣”）、深圳市投控东海中小微创业投资企业（有限合伙）（以下简称“东海创投”）、上海火山石二期创业投资合伙企业（有限合伙）（以下简称“火山石二期”）拟对上海芯钛进行增资。公司拟以自有资金</w:t>
      </w:r>
      <w:r>
        <w:rPr>
          <w:rFonts w:hint="eastAsia" w:eastAsiaTheme="minorEastAsia"/>
          <w:lang w:bidi="ar"/>
        </w:rPr>
        <w:t>人</w:t>
      </w:r>
      <w:r>
        <w:rPr>
          <w:rFonts w:ascii="Times New Roman" w:hAnsi="Times New Roman" w:cs="Times New Roman" w:eastAsiaTheme="minorEastAsia"/>
          <w:lang w:bidi="ar"/>
        </w:rPr>
        <w:t>民币1,</w:t>
      </w:r>
      <w:r>
        <w:rPr>
          <w:rFonts w:hint="eastAsia" w:ascii="Times New Roman" w:hAnsi="Times New Roman" w:cs="Times New Roman" w:eastAsiaTheme="minorEastAsia"/>
          <w:lang w:bidi="ar"/>
        </w:rPr>
        <w:t>0</w:t>
      </w:r>
      <w:r>
        <w:rPr>
          <w:rFonts w:ascii="Times New Roman" w:hAnsi="Times New Roman" w:cs="Times New Roman" w:eastAsiaTheme="minorEastAsia"/>
          <w:lang w:bidi="ar"/>
        </w:rPr>
        <w:t>00万元对上海芯钛进行增资</w:t>
      </w:r>
      <w:r>
        <w:rPr>
          <w:rFonts w:hint="eastAsia" w:ascii="Times New Roman" w:hAnsi="Times New Roman" w:cs="Times New Roman" w:eastAsiaTheme="minorEastAsia"/>
          <w:lang w:bidi="ar"/>
        </w:rPr>
        <w:t>，其中</w:t>
      </w:r>
      <w:r>
        <w:rPr>
          <w:rFonts w:hint="eastAsia" w:ascii="Times New Roman" w:hAnsi="Times New Roman" w:cs="Times New Roman"/>
          <w:lang w:bidi="ar"/>
        </w:rPr>
        <w:t>52.9097</w:t>
      </w:r>
      <w:r>
        <w:rPr>
          <w:rFonts w:hint="eastAsia" w:ascii="Times New Roman" w:hAnsi="Times New Roman" w:cs="Times New Roman" w:eastAsiaTheme="minorEastAsia"/>
          <w:lang w:bidi="ar"/>
        </w:rPr>
        <w:t>万元计入上海芯钛注册资本，947.0903万元计入上海芯钛资本公积</w:t>
      </w:r>
      <w:r>
        <w:rPr>
          <w:rFonts w:ascii="Times New Roman" w:hAnsi="Times New Roman" w:cs="Times New Roman" w:eastAsiaTheme="minorEastAsia"/>
          <w:lang w:bidi="ar"/>
        </w:rPr>
        <w:t>。本次增资完成后，公司持有上海芯钛</w:t>
      </w:r>
      <w:r>
        <w:rPr>
          <w:rFonts w:hint="eastAsia" w:ascii="Times New Roman" w:hAnsi="Times New Roman" w:cs="Times New Roman" w:eastAsiaTheme="minorEastAsia"/>
          <w:lang w:bidi="ar"/>
        </w:rPr>
        <w:t>1.7391</w:t>
      </w:r>
      <w:r>
        <w:rPr>
          <w:rFonts w:ascii="Times New Roman" w:hAnsi="Times New Roman" w:cs="Times New Roman" w:eastAsiaTheme="minorEastAsia"/>
          <w:lang w:bidi="ar"/>
        </w:rPr>
        <w:t>%的股权</w:t>
      </w:r>
      <w:r>
        <w:rPr>
          <w:rFonts w:hint="eastAsia" w:eastAsiaTheme="minorEastAsia"/>
          <w:lang w:bidi="ar"/>
        </w:rPr>
        <w:t>。具体增资情况如下：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4"/>
        <w:gridCol w:w="1300"/>
        <w:gridCol w:w="1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19"/>
              <w:spacing w:line="360" w:lineRule="auto"/>
              <w:jc w:val="center"/>
              <w:rPr>
                <w:rFonts w:ascii="Times New Roman" w:hAnsi="Times New Roman" w:cs="Times New Roman" w:eastAsiaTheme="minorEastAsia"/>
                <w:b/>
                <w:bCs/>
              </w:rPr>
            </w:pPr>
            <w:r>
              <w:rPr>
                <w:rFonts w:hint="eastAsia" w:ascii="Times New Roman" w:hAnsi="Times New Roman" w:cs="Times New Roman" w:eastAsiaTheme="minorEastAsia"/>
                <w:b/>
                <w:bCs/>
              </w:rPr>
              <w:t>投资方</w:t>
            </w:r>
          </w:p>
        </w:tc>
        <w:tc>
          <w:tcPr>
            <w:tcW w:w="1300" w:type="dxa"/>
          </w:tcPr>
          <w:p>
            <w:pPr>
              <w:pStyle w:val="19"/>
              <w:spacing w:line="360" w:lineRule="auto"/>
              <w:jc w:val="center"/>
              <w:rPr>
                <w:rFonts w:ascii="Times New Roman" w:hAnsi="Times New Roman" w:cs="Times New Roman" w:eastAsiaTheme="minorEastAsia"/>
                <w:b/>
                <w:bCs/>
              </w:rPr>
            </w:pPr>
            <w:r>
              <w:rPr>
                <w:rFonts w:hint="eastAsia" w:ascii="Times New Roman" w:hAnsi="Times New Roman" w:cs="Times New Roman" w:eastAsiaTheme="minorEastAsia"/>
                <w:b/>
                <w:bCs/>
              </w:rPr>
              <w:t>增资款</w:t>
            </w:r>
          </w:p>
          <w:p>
            <w:pPr>
              <w:pStyle w:val="19"/>
              <w:spacing w:line="360" w:lineRule="auto"/>
              <w:jc w:val="center"/>
              <w:rPr>
                <w:rFonts w:ascii="Times New Roman" w:hAnsi="Times New Roman" w:cs="Times New Roman" w:eastAsiaTheme="minorEastAsia"/>
                <w:b/>
                <w:bCs/>
              </w:rPr>
            </w:pPr>
            <w:r>
              <w:rPr>
                <w:rFonts w:hint="eastAsia" w:ascii="Times New Roman" w:hAnsi="Times New Roman" w:cs="Times New Roman" w:eastAsiaTheme="minorEastAsia"/>
                <w:b/>
                <w:bCs/>
              </w:rPr>
              <w:t>（万元）</w:t>
            </w:r>
          </w:p>
        </w:tc>
        <w:tc>
          <w:tcPr>
            <w:tcW w:w="1472" w:type="dxa"/>
          </w:tcPr>
          <w:p>
            <w:pPr>
              <w:pStyle w:val="19"/>
              <w:spacing w:line="360" w:lineRule="auto"/>
              <w:jc w:val="center"/>
              <w:rPr>
                <w:rFonts w:ascii="Times New Roman" w:hAnsi="Times New Roman" w:cs="Times New Roman" w:eastAsiaTheme="minorEastAsia"/>
                <w:b/>
                <w:bCs/>
              </w:rPr>
            </w:pPr>
            <w:r>
              <w:rPr>
                <w:rFonts w:hint="eastAsia" w:ascii="Times New Roman" w:hAnsi="Times New Roman" w:cs="Times New Roman" w:eastAsiaTheme="minorEastAsia"/>
                <w:b/>
                <w:bCs/>
              </w:rPr>
              <w:t>增资完成后持股比例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19"/>
              <w:spacing w:line="360" w:lineRule="auto"/>
              <w:jc w:val="both"/>
              <w:rPr>
                <w:rFonts w:ascii="Times New Roman" w:hAnsi="Times New Roman" w:cs="Times New Roman"/>
              </w:rPr>
            </w:pPr>
            <w:r>
              <w:rPr>
                <w:rFonts w:hint="eastAsia" w:ascii="Times New Roman" w:hAnsi="Times New Roman" w:cs="Times New Roman"/>
                <w:bCs/>
                <w:lang w:bidi="ar"/>
              </w:rPr>
              <w:t>福沃德投資控股有限公司</w:t>
            </w:r>
          </w:p>
        </w:tc>
        <w:tc>
          <w:tcPr>
            <w:tcW w:w="1300" w:type="dxa"/>
          </w:tcPr>
          <w:p>
            <w:pPr>
              <w:widowControl/>
              <w:spacing w:line="360" w:lineRule="auto"/>
              <w:jc w:val="right"/>
              <w:outlineLvl w:val="0"/>
              <w:rPr>
                <w:rFonts w:eastAsiaTheme="minorEastAsia"/>
              </w:rPr>
            </w:pPr>
            <w:r>
              <w:rPr>
                <w:color w:val="000000"/>
                <w:kern w:val="0"/>
                <w:sz w:val="24"/>
                <w:szCs w:val="24"/>
              </w:rPr>
              <w:t>2,500</w:t>
            </w:r>
          </w:p>
        </w:tc>
        <w:tc>
          <w:tcPr>
            <w:tcW w:w="1472" w:type="dxa"/>
          </w:tcPr>
          <w:p>
            <w:pPr>
              <w:widowControl/>
              <w:spacing w:line="360" w:lineRule="auto"/>
              <w:jc w:val="right"/>
              <w:outlineLvl w:val="0"/>
              <w:rPr>
                <w:rFonts w:eastAsiaTheme="minorEastAsia"/>
              </w:rPr>
            </w:pPr>
            <w:r>
              <w:rPr>
                <w:color w:val="000000"/>
                <w:kern w:val="0"/>
                <w:sz w:val="24"/>
                <w:szCs w:val="24"/>
              </w:rPr>
              <w:t>4.3478%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rPr>
              <w:t>嘉兴创荣股权投资合伙企业（有限合伙）</w:t>
            </w:r>
          </w:p>
        </w:tc>
        <w:tc>
          <w:tcPr>
            <w:tcW w:w="1300" w:type="dxa"/>
          </w:tcPr>
          <w:p>
            <w:pPr>
              <w:widowControl/>
              <w:spacing w:line="360" w:lineRule="auto"/>
              <w:jc w:val="right"/>
              <w:outlineLvl w:val="0"/>
              <w:rPr>
                <w:rFonts w:eastAsiaTheme="minorEastAsia"/>
              </w:rPr>
            </w:pPr>
            <w:r>
              <w:rPr>
                <w:color w:val="000000"/>
                <w:kern w:val="0"/>
                <w:sz w:val="24"/>
                <w:szCs w:val="24"/>
              </w:rPr>
              <w:t>1,500</w:t>
            </w:r>
          </w:p>
        </w:tc>
        <w:tc>
          <w:tcPr>
            <w:tcW w:w="1472" w:type="dxa"/>
          </w:tcPr>
          <w:p>
            <w:pPr>
              <w:widowControl/>
              <w:spacing w:line="360" w:lineRule="auto"/>
              <w:jc w:val="right"/>
              <w:outlineLvl w:val="0"/>
              <w:rPr>
                <w:rFonts w:eastAsiaTheme="minorEastAsia"/>
              </w:rPr>
            </w:pPr>
            <w:r>
              <w:rPr>
                <w:color w:val="000000"/>
                <w:kern w:val="0"/>
                <w:sz w:val="24"/>
                <w:szCs w:val="24"/>
              </w:rPr>
              <w:t>2.6087%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19"/>
              <w:spacing w:line="360" w:lineRule="auto"/>
              <w:jc w:val="both"/>
              <w:rPr>
                <w:rFonts w:ascii="Times New Roman" w:hAnsi="Times New Roman" w:cs="Times New Roman" w:eastAsiaTheme="minorEastAsia"/>
              </w:rPr>
            </w:pPr>
            <w:r>
              <w:rPr>
                <w:rFonts w:ascii="Times New Roman" w:hAnsi="Times New Roman" w:cs="Times New Roman" w:eastAsiaTheme="minorEastAsia"/>
              </w:rPr>
              <w:t>深圳市投控东海中小微创业投资企业（有限合伙）</w:t>
            </w:r>
          </w:p>
        </w:tc>
        <w:tc>
          <w:tcPr>
            <w:tcW w:w="1300" w:type="dxa"/>
          </w:tcPr>
          <w:p>
            <w:pPr>
              <w:widowControl/>
              <w:spacing w:line="360" w:lineRule="auto"/>
              <w:jc w:val="right"/>
              <w:outlineLvl w:val="0"/>
              <w:rPr>
                <w:rFonts w:eastAsiaTheme="minorEastAsia"/>
                <w:sz w:val="24"/>
                <w:szCs w:val="22"/>
              </w:rPr>
            </w:pPr>
            <w:r>
              <w:rPr>
                <w:color w:val="000000"/>
                <w:kern w:val="0"/>
                <w:sz w:val="24"/>
                <w:szCs w:val="24"/>
              </w:rPr>
              <w:t>1,500</w:t>
            </w:r>
          </w:p>
        </w:tc>
        <w:tc>
          <w:tcPr>
            <w:tcW w:w="1472" w:type="dxa"/>
          </w:tcPr>
          <w:p>
            <w:pPr>
              <w:widowControl/>
              <w:spacing w:line="360" w:lineRule="auto"/>
              <w:jc w:val="right"/>
              <w:outlineLvl w:val="0"/>
              <w:rPr>
                <w:rFonts w:eastAsiaTheme="minorEastAsia"/>
                <w:sz w:val="24"/>
                <w:szCs w:val="22"/>
              </w:rPr>
            </w:pPr>
            <w:r>
              <w:rPr>
                <w:color w:val="000000"/>
                <w:kern w:val="0"/>
                <w:sz w:val="24"/>
                <w:szCs w:val="24"/>
              </w:rPr>
              <w:t>2.6087%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格尔软件股份有限公司</w:t>
            </w:r>
          </w:p>
        </w:tc>
        <w:tc>
          <w:tcPr>
            <w:tcW w:w="1300" w:type="dxa"/>
          </w:tcPr>
          <w:p>
            <w:pPr>
              <w:widowControl/>
              <w:spacing w:line="360" w:lineRule="auto"/>
              <w:jc w:val="right"/>
              <w:outlineLvl w:val="0"/>
              <w:rPr>
                <w:rFonts w:eastAsiaTheme="minorEastAsia"/>
                <w:sz w:val="24"/>
                <w:szCs w:val="22"/>
              </w:rPr>
            </w:pPr>
            <w:r>
              <w:rPr>
                <w:color w:val="000000"/>
                <w:kern w:val="0"/>
                <w:sz w:val="24"/>
                <w:szCs w:val="24"/>
              </w:rPr>
              <w:t>1,000</w:t>
            </w:r>
          </w:p>
        </w:tc>
        <w:tc>
          <w:tcPr>
            <w:tcW w:w="1472" w:type="dxa"/>
          </w:tcPr>
          <w:p>
            <w:pPr>
              <w:widowControl/>
              <w:spacing w:line="360" w:lineRule="auto"/>
              <w:jc w:val="right"/>
              <w:outlineLvl w:val="0"/>
              <w:rPr>
                <w:rFonts w:eastAsiaTheme="minorEastAsia"/>
                <w:sz w:val="24"/>
                <w:szCs w:val="22"/>
              </w:rPr>
            </w:pPr>
            <w:r>
              <w:rPr>
                <w:color w:val="000000"/>
                <w:kern w:val="0"/>
                <w:sz w:val="24"/>
                <w:szCs w:val="24"/>
              </w:rPr>
              <w:t>1.7391%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rPr>
              <w:t>上海火山石二期创业投资合伙企业（有限合伙）</w:t>
            </w:r>
          </w:p>
        </w:tc>
        <w:tc>
          <w:tcPr>
            <w:tcW w:w="1300" w:type="dxa"/>
          </w:tcPr>
          <w:p>
            <w:pPr>
              <w:widowControl/>
              <w:spacing w:line="360" w:lineRule="auto"/>
              <w:jc w:val="right"/>
              <w:outlineLvl w:val="0"/>
              <w:rPr>
                <w:rFonts w:eastAsiaTheme="minorEastAsia"/>
                <w:sz w:val="24"/>
                <w:szCs w:val="22"/>
              </w:rPr>
            </w:pPr>
            <w:r>
              <w:rPr>
                <w:rFonts w:hint="eastAsia"/>
                <w:color w:val="000000"/>
                <w:kern w:val="0"/>
                <w:sz w:val="24"/>
                <w:szCs w:val="24"/>
              </w:rPr>
              <w:t>1</w:t>
            </w:r>
            <w:r>
              <w:rPr>
                <w:color w:val="000000"/>
                <w:kern w:val="0"/>
                <w:sz w:val="24"/>
                <w:szCs w:val="24"/>
              </w:rPr>
              <w:t>,</w:t>
            </w:r>
            <w:r>
              <w:rPr>
                <w:rFonts w:hint="eastAsia"/>
                <w:color w:val="000000"/>
                <w:kern w:val="0"/>
                <w:sz w:val="24"/>
                <w:szCs w:val="24"/>
              </w:rPr>
              <w:t>000</w:t>
            </w:r>
          </w:p>
        </w:tc>
        <w:tc>
          <w:tcPr>
            <w:tcW w:w="1472" w:type="dxa"/>
          </w:tcPr>
          <w:p>
            <w:pPr>
              <w:widowControl/>
              <w:spacing w:line="360" w:lineRule="auto"/>
              <w:jc w:val="right"/>
              <w:outlineLvl w:val="0"/>
              <w:rPr>
                <w:rFonts w:eastAsiaTheme="minorEastAsia"/>
                <w:sz w:val="24"/>
                <w:szCs w:val="22"/>
              </w:rPr>
            </w:pPr>
            <w:r>
              <w:rPr>
                <w:color w:val="000000"/>
                <w:kern w:val="0"/>
                <w:sz w:val="24"/>
                <w:szCs w:val="24"/>
              </w:rPr>
              <w:t>1.7391%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19"/>
              <w:spacing w:line="360" w:lineRule="auto"/>
              <w:jc w:val="both"/>
              <w:rPr>
                <w:rFonts w:ascii="Times New Roman" w:hAnsi="Times New Roman" w:cs="Times New Roman" w:eastAsiaTheme="minorEastAsia"/>
                <w:b/>
                <w:bCs/>
              </w:rPr>
            </w:pPr>
            <w:r>
              <w:rPr>
                <w:rFonts w:hint="eastAsia" w:ascii="Times New Roman" w:hAnsi="Times New Roman" w:cs="Times New Roman" w:eastAsiaTheme="minorEastAsia"/>
                <w:b/>
                <w:bCs/>
              </w:rPr>
              <w:t>合计</w:t>
            </w:r>
          </w:p>
        </w:tc>
        <w:tc>
          <w:tcPr>
            <w:tcW w:w="1300" w:type="dxa"/>
          </w:tcPr>
          <w:p>
            <w:pPr>
              <w:pStyle w:val="19"/>
              <w:spacing w:line="360" w:lineRule="auto"/>
              <w:jc w:val="right"/>
              <w:rPr>
                <w:rFonts w:ascii="Times New Roman" w:hAnsi="Times New Roman" w:cs="Times New Roman" w:eastAsiaTheme="minorEastAsia"/>
                <w:b/>
                <w:bCs/>
              </w:rPr>
            </w:pPr>
            <w:r>
              <w:rPr>
                <w:rFonts w:ascii="Times New Roman" w:hAnsi="Times New Roman" w:cs="Times New Roman" w:eastAsiaTheme="minorEastAsia"/>
                <w:b/>
                <w:bCs/>
              </w:rPr>
              <w:t>7,500</w:t>
            </w:r>
          </w:p>
        </w:tc>
        <w:tc>
          <w:tcPr>
            <w:tcW w:w="1472" w:type="dxa"/>
          </w:tcPr>
          <w:p>
            <w:pPr>
              <w:pStyle w:val="19"/>
              <w:spacing w:line="360" w:lineRule="auto"/>
              <w:jc w:val="right"/>
              <w:rPr>
                <w:rFonts w:ascii="Times New Roman" w:hAnsi="Times New Roman" w:cs="Times New Roman" w:eastAsiaTheme="minorEastAsia"/>
                <w:b/>
                <w:bCs/>
              </w:rPr>
            </w:pPr>
            <w:r>
              <w:rPr>
                <w:rFonts w:ascii="Times New Roman" w:hAnsi="Times New Roman" w:cs="Times New Roman" w:eastAsiaTheme="minorEastAsia"/>
                <w:b/>
                <w:bCs/>
              </w:rPr>
              <w:t>13.0434%</w:t>
            </w:r>
          </w:p>
        </w:tc>
      </w:tr>
    </w:tbl>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控股股东、实际控制人孔旻先生为公司控股股东、实际控制人孔令钢年满18周岁的子女，因此上海芯钛及孔旻先生为公司关联方。上海芯钛股东陈宁生先生为公司董事，因此陈宁生先生为公司关联方。上海芯胜企业管理咨询中心（有限合伙）（以下简称“上海芯胜”）的执行事务合伙人孔旻先生为公司控股股东、实际控制人孔令钢年满18周岁的子女，因此上海芯胜为公司关联方，上海芯胜为上海芯钛的股东。本次对外投资构成关联交易。</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color w:val="000000"/>
          <w:kern w:val="2"/>
          <w:sz w:val="24"/>
          <w:szCs w:val="24"/>
          <w:lang w:val="en-US" w:bidi="ar-SA"/>
        </w:rPr>
        <w:t>过去</w:t>
      </w:r>
      <w:r>
        <w:rPr>
          <w:rFonts w:ascii="Times New Roman" w:hAnsi="Times New Roman" w:cs="Times New Roman"/>
          <w:color w:val="000000"/>
          <w:kern w:val="2"/>
          <w:sz w:val="24"/>
          <w:szCs w:val="24"/>
          <w:lang w:val="en-US" w:bidi="ar-SA"/>
        </w:rPr>
        <w:t>12</w:t>
      </w:r>
      <w:r>
        <w:rPr>
          <w:rFonts w:hint="eastAsia" w:ascii="Times New Roman" w:hAnsi="Times New Roman" w:cs="Times New Roman"/>
          <w:color w:val="000000"/>
          <w:kern w:val="2"/>
          <w:sz w:val="24"/>
          <w:szCs w:val="24"/>
          <w:lang w:val="en-US" w:bidi="ar-SA"/>
        </w:rPr>
        <w:t>个</w:t>
      </w:r>
      <w:r>
        <w:rPr>
          <w:rFonts w:ascii="Times New Roman" w:hAnsi="Times New Roman" w:cs="Times New Roman"/>
          <w:color w:val="000000"/>
          <w:kern w:val="2"/>
          <w:sz w:val="24"/>
          <w:szCs w:val="24"/>
          <w:lang w:val="en-US" w:bidi="ar-SA"/>
        </w:rPr>
        <w:t>月</w:t>
      </w:r>
      <w:r>
        <w:rPr>
          <w:rFonts w:hint="eastAsia" w:ascii="Times New Roman" w:hAnsi="Times New Roman" w:cs="Times New Roman"/>
          <w:color w:val="000000"/>
          <w:kern w:val="2"/>
          <w:sz w:val="24"/>
          <w:szCs w:val="24"/>
          <w:lang w:val="en-US" w:bidi="ar-SA"/>
        </w:rPr>
        <w:t>内</w:t>
      </w:r>
      <w:r>
        <w:rPr>
          <w:rFonts w:ascii="Times New Roman" w:hAnsi="Times New Roman" w:cs="Times New Roman"/>
          <w:color w:val="000000"/>
          <w:kern w:val="2"/>
          <w:sz w:val="24"/>
          <w:szCs w:val="24"/>
          <w:lang w:val="en-US" w:bidi="ar-SA"/>
        </w:rPr>
        <w:t>公司与上海芯钛</w:t>
      </w:r>
      <w:r>
        <w:rPr>
          <w:rFonts w:hint="eastAsia" w:ascii="Times New Roman" w:hAnsi="Times New Roman" w:cs="Times New Roman"/>
          <w:color w:val="000000"/>
          <w:kern w:val="2"/>
          <w:sz w:val="24"/>
          <w:szCs w:val="24"/>
          <w:lang w:val="en-US" w:bidi="ar-SA"/>
        </w:rPr>
        <w:t>、陈宁生、上海芯胜</w:t>
      </w:r>
      <w:r>
        <w:rPr>
          <w:rFonts w:ascii="Times New Roman" w:hAnsi="Times New Roman" w:cs="Times New Roman"/>
          <w:color w:val="000000"/>
          <w:kern w:val="2"/>
          <w:sz w:val="24"/>
          <w:szCs w:val="24"/>
          <w:lang w:val="en-US" w:bidi="ar-SA"/>
        </w:rPr>
        <w:t>及其关联方未进行</w:t>
      </w:r>
      <w:r>
        <w:rPr>
          <w:rFonts w:hint="eastAsia" w:ascii="Times New Roman" w:hAnsi="Times New Roman" w:cs="Times New Roman"/>
          <w:color w:val="000000"/>
          <w:kern w:val="2"/>
          <w:sz w:val="24"/>
          <w:szCs w:val="24"/>
          <w:lang w:val="en-US" w:bidi="ar-SA"/>
        </w:rPr>
        <w:t>除已披露的日常关联交易外的</w:t>
      </w:r>
      <w:r>
        <w:rPr>
          <w:rFonts w:ascii="Times New Roman" w:hAnsi="Times New Roman" w:cs="Times New Roman"/>
          <w:color w:val="000000"/>
          <w:kern w:val="2"/>
          <w:sz w:val="24"/>
          <w:szCs w:val="24"/>
          <w:lang w:val="en-US" w:bidi="ar-SA"/>
        </w:rPr>
        <w:t>关联交易，</w:t>
      </w:r>
      <w:r>
        <w:rPr>
          <w:rFonts w:hint="eastAsia" w:ascii="Times New Roman" w:hAnsi="Times New Roman" w:cs="Times New Roman"/>
          <w:color w:val="000000"/>
          <w:kern w:val="2"/>
          <w:sz w:val="24"/>
          <w:szCs w:val="24"/>
          <w:lang w:val="en-US" w:bidi="ar-SA"/>
        </w:rPr>
        <w:t>亦</w:t>
      </w:r>
      <w:r>
        <w:rPr>
          <w:rFonts w:ascii="Times New Roman" w:hAnsi="Times New Roman" w:cs="Times New Roman"/>
          <w:color w:val="000000"/>
          <w:kern w:val="2"/>
          <w:sz w:val="24"/>
          <w:szCs w:val="24"/>
          <w:lang w:val="en-US" w:bidi="ar-SA"/>
        </w:rPr>
        <w:t>未与不同关联人进行交易类别相关的交易</w:t>
      </w:r>
      <w:r>
        <w:rPr>
          <w:rFonts w:hint="eastAsia" w:ascii="Times New Roman" w:hAnsi="Times New Roman" w:cs="Times New Roman"/>
          <w:color w:val="000000"/>
          <w:kern w:val="2"/>
          <w:sz w:val="24"/>
          <w:szCs w:val="24"/>
          <w:lang w:val="en-US" w:bidi="ar-SA"/>
        </w:rPr>
        <w:t>。过去</w:t>
      </w:r>
      <w:r>
        <w:rPr>
          <w:rFonts w:ascii="Times New Roman" w:hAnsi="Times New Roman" w:cs="Times New Roman"/>
          <w:color w:val="000000"/>
          <w:kern w:val="2"/>
          <w:sz w:val="24"/>
          <w:szCs w:val="24"/>
          <w:lang w:val="en-US" w:bidi="ar-SA"/>
        </w:rPr>
        <w:t>12个月内公司与同一关联人或与不同关联人之间交易类别相关的关联交易未达到占公司最近一期经审计净资产绝对值5%以上。</w:t>
      </w:r>
    </w:p>
    <w:p>
      <w:pPr>
        <w:pStyle w:val="19"/>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本次关联交易不构成《上市公司重大资产重组管理办法》规定的重大资产重组。本次关联交易金额未超过3,000万元，且不超过公司最近一期经审计净资产额的5%，根据《上海证券交易所股票上市规则》的相关规定，</w:t>
      </w:r>
      <w:r>
        <w:rPr>
          <w:rFonts w:hint="eastAsia" w:ascii="Times New Roman" w:hAnsi="Times New Roman" w:cs="Times New Roman" w:eastAsiaTheme="minorEastAsia"/>
        </w:rPr>
        <w:t>本次关联交易无需提交公司股东大会审批。</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关联方介绍</w:t>
      </w:r>
    </w:p>
    <w:p>
      <w:pPr>
        <w:pStyle w:val="19"/>
        <w:numPr>
          <w:ilvl w:val="0"/>
          <w:numId w:val="3"/>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关联方关系介绍</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上海芯钛控股股东、实际控制人孔旻先生为公司控股股东、实际控制人孔令钢年满18周岁的子女，因此上海芯钛及孔旻先生为公司关联方。</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上海芯钛股东陈宁生先生为公司董事，因此陈宁生先生为公司关联方。</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上海芯胜的执行事务合伙人孔旻先生为公司控股股东、实际控制人孔令钢年满18周岁的子女，因此上海芯胜为公司关联方，上海芯胜为上海芯钛的股东。</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上述关联方都为本次公司对外投资的协议主体，其中上海芯钛为本次对外投资的标的。本次对外投资构成关联交易。</w:t>
      </w:r>
    </w:p>
    <w:p>
      <w:pPr>
        <w:pStyle w:val="19"/>
        <w:numPr>
          <w:ilvl w:val="0"/>
          <w:numId w:val="3"/>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关联人基本情况</w:t>
      </w:r>
    </w:p>
    <w:p>
      <w:pPr>
        <w:pStyle w:val="19"/>
        <w:numPr>
          <w:ilvl w:val="0"/>
          <w:numId w:val="4"/>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上海芯钛信息科技有限公司</w:t>
      </w:r>
    </w:p>
    <w:p>
      <w:pPr>
        <w:pStyle w:val="19"/>
        <w:numPr>
          <w:ilvl w:val="0"/>
          <w:numId w:val="5"/>
        </w:numPr>
        <w:spacing w:line="360" w:lineRule="auto"/>
        <w:ind w:left="420" w:leftChars="200" w:firstLine="0"/>
        <w:rPr>
          <w:rFonts w:ascii="Times New Roman" w:hAnsi="Times New Roman" w:cs="Times New Roman" w:eastAsiaTheme="minorEastAsia"/>
        </w:rPr>
      </w:pPr>
      <w:r>
        <w:rPr>
          <w:rFonts w:hint="eastAsia" w:ascii="Times New Roman" w:hAnsi="Times New Roman" w:cs="Times New Roman" w:eastAsiaTheme="minorEastAsia"/>
        </w:rPr>
        <w:t>基本情况：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上海芯钛信息科技有限公司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有限责任公司（自然人投资或控股）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法定代表人</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刘功哲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2645.5027万元人民币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2017年7月7日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2017年7月7日至2037年7月6日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上海市崇明区长兴镇潘园公路1800号3号楼14347室（上海泰和经济发展区）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从事信息、计算机、通讯、电子、集成电路科技领域内的技术开发、技术转让、技术咨询和技术服务，从事货物及技术的进出口业务。【依法须经批准的项目，经相关部门批准后方可开展经营活动】</w:t>
            </w:r>
          </w:p>
        </w:tc>
      </w:tr>
    </w:tbl>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定位于汽车半导体芯片设计研发和产品应用，聚焦在智能网联汽车产业，为汽车电子智能化、网联化发展提供芯片产品及应用方案支撑。目前公司已面向市场推出了汽车级安全芯片产品-Mizar系列M20、M300、M2000三款产品，该系列产品主要解决智能网联汽车业务的车云加密认证、车载安全通信加密认证、V2X消息认证等需求。Mizar系列产品设计研发、生产制造及封装测试全流程均达到了汽车半导体质量要求，量产产品已通过了第三方权威机构AEC-Q100 Grade1（-40度～125度）等级质量考核要求。2020年已完成Mizar芯片应用车型量产上市销售，实现了芯片销售收入。</w:t>
      </w:r>
    </w:p>
    <w:p>
      <w:pPr>
        <w:pStyle w:val="19"/>
        <w:numPr>
          <w:ilvl w:val="0"/>
          <w:numId w:val="5"/>
        </w:numPr>
        <w:spacing w:line="360" w:lineRule="auto"/>
        <w:ind w:left="0" w:firstLine="420" w:firstLineChars="175"/>
        <w:rPr>
          <w:rFonts w:ascii="Times New Roman" w:hAnsi="Times New Roman" w:cs="Times New Roman" w:eastAsiaTheme="minorEastAsia"/>
        </w:rPr>
      </w:pPr>
      <w:r>
        <w:rPr>
          <w:rFonts w:hint="eastAsia" w:hAnsi="宋体"/>
        </w:rPr>
        <w:t>上海芯钛与公司之间不存在任何产权、业务、资产、债权债务、人员等方面的其它关系。</w:t>
      </w:r>
    </w:p>
    <w:p>
      <w:pPr>
        <w:pStyle w:val="19"/>
        <w:numPr>
          <w:ilvl w:val="0"/>
          <w:numId w:val="5"/>
        </w:numPr>
        <w:spacing w:line="360" w:lineRule="auto"/>
        <w:ind w:left="420" w:leftChars="200" w:firstLine="0"/>
        <w:rPr>
          <w:rFonts w:ascii="Times New Roman" w:hAnsi="Times New Roman" w:cs="Times New Roman" w:eastAsiaTheme="minorEastAsia"/>
        </w:rPr>
      </w:pPr>
      <w:r>
        <w:rPr>
          <w:rFonts w:hint="eastAsia" w:hAnsi="宋体" w:eastAsiaTheme="minorEastAsia"/>
        </w:rPr>
        <w:t>上海芯钛最近一年又一期的主要财务指标如下：</w:t>
      </w:r>
    </w:p>
    <w:p>
      <w:pPr>
        <w:pStyle w:val="19"/>
        <w:spacing w:line="360" w:lineRule="auto"/>
        <w:jc w:val="right"/>
        <w:rPr>
          <w:rFonts w:ascii="Times New Roman" w:hAnsi="Times New Roman" w:cs="Times New Roman" w:eastAsiaTheme="minorEastAsia"/>
        </w:rPr>
      </w:pPr>
      <w:r>
        <w:rPr>
          <w:rFonts w:hint="eastAsia" w:hAnsi="宋体" w:eastAsiaTheme="minorEastAsia"/>
        </w:rPr>
        <w:t>单位：人民币 万元</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主要财务指标类别</w:t>
            </w:r>
          </w:p>
        </w:tc>
        <w:tc>
          <w:tcPr>
            <w:tcW w:w="2841"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2020年12月31日</w:t>
            </w:r>
          </w:p>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（2020年度）</w:t>
            </w:r>
          </w:p>
        </w:tc>
        <w:tc>
          <w:tcPr>
            <w:tcW w:w="2841"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2021年3月31日</w:t>
            </w:r>
          </w:p>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（2021年1-3月）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资产总额</w:t>
            </w:r>
          </w:p>
        </w:tc>
        <w:tc>
          <w:tcPr>
            <w:tcW w:w="284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1,101.68</w:t>
            </w:r>
          </w:p>
        </w:tc>
        <w:tc>
          <w:tcPr>
            <w:tcW w:w="284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1,406.26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资产净额</w:t>
            </w:r>
          </w:p>
        </w:tc>
        <w:tc>
          <w:tcPr>
            <w:tcW w:w="284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948.79</w:t>
            </w:r>
          </w:p>
        </w:tc>
        <w:tc>
          <w:tcPr>
            <w:tcW w:w="284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361.00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营业收入</w:t>
            </w:r>
          </w:p>
        </w:tc>
        <w:tc>
          <w:tcPr>
            <w:tcW w:w="284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438.19</w:t>
            </w:r>
          </w:p>
        </w:tc>
        <w:tc>
          <w:tcPr>
            <w:tcW w:w="284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175.96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净利润</w:t>
            </w:r>
          </w:p>
        </w:tc>
        <w:tc>
          <w:tcPr>
            <w:tcW w:w="284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-1,309.15</w:t>
            </w:r>
          </w:p>
        </w:tc>
        <w:tc>
          <w:tcPr>
            <w:tcW w:w="284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-587.78</w:t>
            </w:r>
          </w:p>
        </w:tc>
      </w:tr>
    </w:tbl>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上海芯钛2020年度财务数据经上海中惠会计师事务所有限公司审计，2021年1-3月财务数据未经审计。</w:t>
      </w:r>
    </w:p>
    <w:p>
      <w:pPr>
        <w:pStyle w:val="19"/>
        <w:numPr>
          <w:ilvl w:val="0"/>
          <w:numId w:val="4"/>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孔旻</w:t>
      </w:r>
    </w:p>
    <w:p>
      <w:pPr>
        <w:pStyle w:val="19"/>
        <w:numPr>
          <w:ilvl w:val="0"/>
          <w:numId w:val="6"/>
        </w:numPr>
        <w:spacing w:line="360" w:lineRule="auto"/>
        <w:ind w:left="0" w:firstLine="420" w:firstLineChars="175"/>
        <w:rPr>
          <w:rFonts w:ascii="Times New Roman" w:hAnsi="Times New Roman" w:cs="Times New Roman" w:eastAsiaTheme="minorEastAsia"/>
        </w:rPr>
      </w:pPr>
      <w:r>
        <w:rPr>
          <w:rFonts w:hint="eastAsia" w:ascii="Times New Roman" w:hAnsi="Times New Roman" w:cs="Times New Roman" w:eastAsiaTheme="minorEastAsia"/>
        </w:rPr>
        <w:t>基本情况：孔旻，男，中国国籍，常住于上海市静安区，2018年至今任上海格尔实业发展有限公司执行副总裁。</w:t>
      </w:r>
    </w:p>
    <w:p>
      <w:pPr>
        <w:pStyle w:val="19"/>
        <w:numPr>
          <w:ilvl w:val="0"/>
          <w:numId w:val="6"/>
        </w:numPr>
        <w:spacing w:line="360" w:lineRule="auto"/>
        <w:ind w:left="0" w:firstLine="420" w:firstLineChars="175"/>
        <w:rPr>
          <w:rFonts w:ascii="Times New Roman" w:hAnsi="Times New Roman" w:cs="Times New Roman" w:eastAsiaTheme="minorEastAsia"/>
        </w:rPr>
      </w:pPr>
      <w:r>
        <w:rPr>
          <w:rFonts w:hint="eastAsia" w:hAnsi="宋体"/>
        </w:rPr>
        <w:t>除上述已披露的事项外，孔旻先生与公司之间不存在任何产权、业务、资产、债权债务、人员等方面的其它关系。</w:t>
      </w:r>
    </w:p>
    <w:p>
      <w:pPr>
        <w:pStyle w:val="19"/>
        <w:numPr>
          <w:ilvl w:val="0"/>
          <w:numId w:val="4"/>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陈宁生</w:t>
      </w:r>
    </w:p>
    <w:p>
      <w:pPr>
        <w:pStyle w:val="19"/>
        <w:numPr>
          <w:ilvl w:val="0"/>
          <w:numId w:val="7"/>
        </w:numPr>
        <w:spacing w:line="360" w:lineRule="auto"/>
        <w:ind w:left="0" w:firstLine="420" w:firstLineChars="175"/>
        <w:rPr>
          <w:rFonts w:ascii="Times New Roman" w:hAnsi="Times New Roman" w:cs="Times New Roman" w:eastAsiaTheme="minorEastAsia"/>
        </w:rPr>
      </w:pPr>
      <w:r>
        <w:rPr>
          <w:rFonts w:hint="eastAsia" w:ascii="Times New Roman" w:hAnsi="Times New Roman" w:cs="Times New Roman" w:eastAsiaTheme="minorEastAsia"/>
        </w:rPr>
        <w:t>基本情况：陈宁生，男，中国国籍，常住于上海市徐汇区，2018年至今任公司董事。</w:t>
      </w:r>
    </w:p>
    <w:p>
      <w:pPr>
        <w:pStyle w:val="19"/>
        <w:numPr>
          <w:ilvl w:val="0"/>
          <w:numId w:val="7"/>
        </w:numPr>
        <w:spacing w:line="360" w:lineRule="auto"/>
        <w:ind w:left="0" w:firstLine="420" w:firstLineChars="175"/>
        <w:rPr>
          <w:rFonts w:ascii="Times New Roman" w:hAnsi="Times New Roman" w:cs="Times New Roman" w:eastAsiaTheme="minorEastAsia"/>
        </w:rPr>
      </w:pPr>
      <w:r>
        <w:rPr>
          <w:rFonts w:hint="eastAsia" w:ascii="Times New Roman" w:hAnsi="Times New Roman" w:cs="Times New Roman" w:eastAsiaTheme="minorEastAsia"/>
        </w:rPr>
        <w:t>陈宁生先生为上海格企投资管理有限公司（以下简称“上海格企”）的实际控制人。上海格企主要从事投资管理，企业管理咨询，市场营销策划，商务信息咨询。截至2020年12月31日，上海格企的总资产为7,108.32万元，净资产6,781.62万元，2020年实现营业收入0元，净利润-24.25万元，以上数据未经审计。</w:t>
      </w:r>
    </w:p>
    <w:p>
      <w:pPr>
        <w:pStyle w:val="19"/>
        <w:numPr>
          <w:ilvl w:val="0"/>
          <w:numId w:val="7"/>
        </w:numPr>
        <w:spacing w:line="360" w:lineRule="auto"/>
        <w:ind w:left="0" w:firstLine="420" w:firstLineChars="175"/>
        <w:rPr>
          <w:rFonts w:ascii="Times New Roman" w:hAnsi="Times New Roman" w:cs="Times New Roman" w:eastAsiaTheme="minorEastAsia"/>
        </w:rPr>
      </w:pPr>
      <w:r>
        <w:rPr>
          <w:rFonts w:hint="eastAsia" w:ascii="Times New Roman" w:hAnsi="Times New Roman" w:cs="Times New Roman" w:eastAsiaTheme="minorEastAsia"/>
        </w:rPr>
        <w:t>除上述已披露的事项外，陈宁生先生与公司之间不存在任何产权、业务、资产、债权债务、人员等方面的其它关系。</w:t>
      </w:r>
    </w:p>
    <w:p>
      <w:pPr>
        <w:pStyle w:val="19"/>
        <w:numPr>
          <w:ilvl w:val="0"/>
          <w:numId w:val="4"/>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上海芯胜企业管理咨询中心（有限合伙）</w:t>
      </w:r>
    </w:p>
    <w:p>
      <w:pPr>
        <w:pStyle w:val="19"/>
        <w:numPr>
          <w:ilvl w:val="0"/>
          <w:numId w:val="8"/>
        </w:numPr>
        <w:spacing w:line="360" w:lineRule="auto"/>
        <w:ind w:left="420" w:leftChars="200" w:firstLine="0"/>
        <w:rPr>
          <w:rFonts w:ascii="Times New Roman" w:hAnsi="Times New Roman" w:cs="Times New Roman" w:eastAsiaTheme="minorEastAsia"/>
        </w:rPr>
      </w:pPr>
      <w:r>
        <w:rPr>
          <w:rFonts w:hint="eastAsia" w:ascii="Times New Roman" w:hAnsi="Times New Roman" w:cs="Times New Roman" w:eastAsiaTheme="minorEastAsia"/>
        </w:rPr>
        <w:t>基本情况：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上海芯胜企业管理咨询中心（有限合伙）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有限合伙企业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执行事务合伙人</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孔旻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150.0000万元人民币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2018年7月3日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2018年7月3日至无固定期限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上海市崇明区陈家镇瀛东村53号3幢2592室（上海智慧岛数据产业园）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企业管理咨询，商务信息咨询，财务咨询，电子商务（不得从事增值信息、金融业务），市场营销策划，企业形象策划，网络、信息、电子科技专业领域内的技术开发、技术转让、技术咨询和技术服务，会务服务，展览展示服务，日用百货、五金交电、电子产品、通讯器材、办公用品及设备、计算机软硬件的销售。【依法须经批准的项目，经相关部门批准后方可开展经营活动】</w:t>
            </w:r>
          </w:p>
        </w:tc>
      </w:tr>
    </w:tbl>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上海芯胜的主要股东为孔旻先生及刘功哲先生，分别持有上海芯胜0.0667%及99.9333%股权。</w:t>
      </w:r>
    </w:p>
    <w:p>
      <w:pPr>
        <w:pStyle w:val="19"/>
        <w:numPr>
          <w:ilvl w:val="0"/>
          <w:numId w:val="8"/>
        </w:numPr>
        <w:spacing w:line="360" w:lineRule="auto"/>
        <w:ind w:left="0" w:firstLine="420" w:firstLineChars="175"/>
        <w:rPr>
          <w:rFonts w:ascii="Times New Roman" w:hAnsi="Times New Roman" w:cs="Times New Roman" w:eastAsiaTheme="minorEastAsia"/>
        </w:rPr>
      </w:pPr>
      <w:r>
        <w:rPr>
          <w:rFonts w:hint="eastAsia" w:ascii="Times New Roman" w:hAnsi="Times New Roman" w:cs="Times New Roman" w:eastAsiaTheme="minorEastAsia"/>
        </w:rPr>
        <w:t>上海芯胜仅为投资上海芯钛设立，无其他主营业务。</w:t>
      </w:r>
    </w:p>
    <w:p>
      <w:pPr>
        <w:pStyle w:val="19"/>
        <w:numPr>
          <w:ilvl w:val="0"/>
          <w:numId w:val="8"/>
        </w:numPr>
        <w:spacing w:line="360" w:lineRule="auto"/>
        <w:ind w:left="0" w:firstLine="420" w:firstLineChars="175"/>
        <w:rPr>
          <w:rFonts w:ascii="Times New Roman" w:hAnsi="Times New Roman" w:cs="Times New Roman" w:eastAsiaTheme="minorEastAsia"/>
        </w:rPr>
      </w:pPr>
      <w:r>
        <w:rPr>
          <w:rFonts w:hint="eastAsia" w:hAnsi="宋体"/>
        </w:rPr>
        <w:t>上海芯胜与公司之间不存在任何产权、业务、资产、债权债务、人员等方面的其它关系。</w:t>
      </w:r>
    </w:p>
    <w:p>
      <w:pPr>
        <w:pStyle w:val="19"/>
        <w:numPr>
          <w:ilvl w:val="0"/>
          <w:numId w:val="8"/>
        </w:numPr>
        <w:spacing w:line="360" w:lineRule="auto"/>
        <w:ind w:left="0" w:firstLine="420" w:firstLineChars="175"/>
        <w:rPr>
          <w:rFonts w:ascii="Times New Roman" w:hAnsi="Times New Roman" w:cs="Times New Roman" w:eastAsiaTheme="minorEastAsia"/>
        </w:rPr>
      </w:pPr>
      <w:r>
        <w:rPr>
          <w:rFonts w:hint="eastAsia" w:ascii="Times New Roman" w:hAnsi="Times New Roman" w:cs="Times New Roman" w:eastAsiaTheme="minorEastAsia"/>
        </w:rPr>
        <w:t>截至2020年12月31日，上海芯胜资产总计为195.13万元，资产净额为149.83万元，2020年度实现营业收入0元，净利润-0.13万元，以上数据未经审计。</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关联交易标的的基本情况</w:t>
      </w:r>
    </w:p>
    <w:p>
      <w:pPr>
        <w:pStyle w:val="19"/>
        <w:numPr>
          <w:ilvl w:val="0"/>
          <w:numId w:val="9"/>
        </w:numPr>
        <w:spacing w:before="156" w:beforeLines="50" w:after="156" w:afterLines="50" w:line="360" w:lineRule="auto"/>
        <w:rPr>
          <w:rFonts w:ascii="Times New Roman" w:hAnsi="Times New Roman" w:cs="Times New Roman" w:eastAsiaTheme="minorEastAsia"/>
        </w:rPr>
      </w:pPr>
      <w:r>
        <w:rPr>
          <w:rFonts w:hint="eastAsia" w:ascii="Times New Roman" w:hAnsi="Times New Roman" w:cs="Times New Roman" w:eastAsiaTheme="minorEastAsia"/>
        </w:rPr>
        <w:t>交易标的</w:t>
      </w:r>
    </w:p>
    <w:p>
      <w:pPr>
        <w:pStyle w:val="19"/>
        <w:numPr>
          <w:ilvl w:val="0"/>
          <w:numId w:val="10"/>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交易标的的名称：上海芯钛</w:t>
      </w:r>
    </w:p>
    <w:p>
      <w:pPr>
        <w:pStyle w:val="19"/>
        <w:numPr>
          <w:ilvl w:val="0"/>
          <w:numId w:val="10"/>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交易类别：对外投资，暨公司向关联方增资。</w:t>
      </w:r>
    </w:p>
    <w:p>
      <w:pPr>
        <w:pStyle w:val="19"/>
        <w:numPr>
          <w:ilvl w:val="0"/>
          <w:numId w:val="10"/>
        </w:numPr>
        <w:spacing w:line="360" w:lineRule="auto"/>
        <w:ind w:firstLine="480" w:firstLineChars="200"/>
        <w:rPr>
          <w:rFonts w:ascii="Times New Roman" w:hAnsi="Times New Roman" w:cs="Times New Roman" w:eastAsiaTheme="minorEastAsia"/>
        </w:rPr>
      </w:pPr>
      <w:r>
        <w:rPr>
          <w:rFonts w:hint="eastAsia" w:hAnsi="宋体"/>
        </w:rPr>
        <w:t>权属状况说明：经公司董事会对上海芯钛基本情况的核查，截至本公告披露日，上海芯钛产权清晰，不存在抵押、质押及其他任何限制转让的情况，不涉及诉讼、仲裁事项或查封、冻结等司法措施，不存在妨碍权属转移的其他情况。</w:t>
      </w:r>
    </w:p>
    <w:p>
      <w:pPr>
        <w:pStyle w:val="19"/>
        <w:numPr>
          <w:ilvl w:val="0"/>
          <w:numId w:val="10"/>
        </w:numPr>
        <w:spacing w:line="360" w:lineRule="auto"/>
        <w:ind w:firstLine="480" w:firstLineChars="200"/>
        <w:rPr>
          <w:rFonts w:ascii="Times New Roman" w:hAnsi="Times New Roman" w:cs="Times New Roman" w:eastAsiaTheme="minorEastAsia"/>
        </w:rPr>
      </w:pPr>
      <w:r>
        <w:rPr>
          <w:rFonts w:hint="eastAsia" w:hAnsi="宋体"/>
        </w:rPr>
        <w:t>交易标的的股权结构如下：</w:t>
      </w:r>
    </w:p>
    <w:p>
      <w:pPr>
        <w:pStyle w:val="19"/>
        <w:numPr>
          <w:ilvl w:val="0"/>
          <w:numId w:val="11"/>
        </w:numPr>
        <w:spacing w:line="360" w:lineRule="auto"/>
        <w:ind w:firstLine="420" w:firstLineChars="175"/>
        <w:rPr>
          <w:rFonts w:ascii="Times New Roman" w:hAnsi="Times New Roman" w:cs="Times New Roman" w:eastAsiaTheme="minorEastAsia"/>
        </w:rPr>
      </w:pPr>
      <w:r>
        <w:rPr>
          <w:rFonts w:hint="eastAsia" w:ascii="Times New Roman" w:hAnsi="Times New Roman" w:cs="Times New Roman" w:eastAsiaTheme="minorEastAsia"/>
        </w:rPr>
        <w:t>本次增资前上海芯钛的股权结构</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85"/>
        <w:gridCol w:w="1618"/>
        <w:gridCol w:w="1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rPr>
                <w:b/>
                <w:color w:val="000000"/>
                <w:sz w:val="24"/>
                <w:szCs w:val="24"/>
              </w:rPr>
            </w:pPr>
            <w:r>
              <w:rPr>
                <w:b/>
                <w:color w:val="000000"/>
                <w:sz w:val="24"/>
                <w:szCs w:val="24"/>
              </w:rPr>
              <w:t>股东名称/姓名</w:t>
            </w:r>
          </w:p>
        </w:tc>
        <w:tc>
          <w:tcPr>
            <w:tcW w:w="1618" w:type="dxa"/>
          </w:tcPr>
          <w:p>
            <w:pPr>
              <w:widowControl/>
              <w:jc w:val="center"/>
              <w:rPr>
                <w:b/>
                <w:color w:val="000000"/>
                <w:sz w:val="24"/>
                <w:szCs w:val="24"/>
              </w:rPr>
            </w:pPr>
            <w:r>
              <w:rPr>
                <w:b/>
                <w:color w:val="000000"/>
                <w:sz w:val="24"/>
                <w:szCs w:val="24"/>
              </w:rPr>
              <w:t>认缴出资额</w:t>
            </w:r>
          </w:p>
          <w:p>
            <w:pPr>
              <w:widowControl/>
              <w:jc w:val="center"/>
              <w:rPr>
                <w:b/>
                <w:color w:val="000000"/>
                <w:sz w:val="24"/>
                <w:szCs w:val="24"/>
              </w:rPr>
            </w:pPr>
            <w:r>
              <w:rPr>
                <w:b/>
                <w:color w:val="000000"/>
                <w:sz w:val="24"/>
                <w:szCs w:val="24"/>
              </w:rPr>
              <w:t>（万元）</w:t>
            </w:r>
          </w:p>
        </w:tc>
        <w:tc>
          <w:tcPr>
            <w:tcW w:w="1619" w:type="dxa"/>
          </w:tcPr>
          <w:p>
            <w:pPr>
              <w:widowControl/>
              <w:jc w:val="center"/>
              <w:rPr>
                <w:b/>
                <w:color w:val="000000"/>
                <w:sz w:val="24"/>
                <w:szCs w:val="24"/>
              </w:rPr>
            </w:pPr>
            <w:r>
              <w:rPr>
                <w:b/>
                <w:color w:val="000000"/>
                <w:sz w:val="24"/>
                <w:szCs w:val="24"/>
              </w:rPr>
              <w:t>股权比例</w:t>
            </w:r>
          </w:p>
          <w:p>
            <w:pPr>
              <w:widowControl/>
              <w:jc w:val="center"/>
              <w:rPr>
                <w:b/>
                <w:color w:val="000000"/>
                <w:sz w:val="24"/>
                <w:szCs w:val="24"/>
              </w:rPr>
            </w:pPr>
            <w:r>
              <w:rPr>
                <w:b/>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孔旻</w:t>
            </w:r>
          </w:p>
        </w:tc>
        <w:tc>
          <w:tcPr>
            <w:tcW w:w="1618" w:type="dxa"/>
          </w:tcPr>
          <w:p>
            <w:pPr>
              <w:widowControl/>
              <w:jc w:val="right"/>
              <w:textAlignment w:val="top"/>
              <w:rPr>
                <w:bCs/>
                <w:color w:val="000000"/>
                <w:sz w:val="24"/>
                <w:szCs w:val="24"/>
              </w:rPr>
            </w:pPr>
            <w:r>
              <w:rPr>
                <w:color w:val="000000"/>
                <w:kern w:val="0"/>
                <w:sz w:val="24"/>
                <w:szCs w:val="24"/>
                <w:lang w:bidi="ar"/>
              </w:rPr>
              <w:t>987.5</w:t>
            </w:r>
            <w:r>
              <w:rPr>
                <w:rFonts w:hint="eastAsia"/>
                <w:color w:val="000000"/>
                <w:kern w:val="0"/>
                <w:sz w:val="24"/>
                <w:szCs w:val="24"/>
                <w:lang w:bidi="ar"/>
              </w:rPr>
              <w:t>000</w:t>
            </w:r>
          </w:p>
        </w:tc>
        <w:tc>
          <w:tcPr>
            <w:tcW w:w="1619" w:type="dxa"/>
          </w:tcPr>
          <w:p>
            <w:pPr>
              <w:widowControl/>
              <w:jc w:val="right"/>
              <w:textAlignment w:val="top"/>
              <w:rPr>
                <w:bCs/>
                <w:color w:val="000000"/>
                <w:sz w:val="24"/>
                <w:szCs w:val="24"/>
              </w:rPr>
            </w:pPr>
            <w:r>
              <w:rPr>
                <w:color w:val="000000"/>
                <w:kern w:val="0"/>
                <w:sz w:val="24"/>
                <w:szCs w:val="24"/>
                <w:lang w:bidi="ar"/>
              </w:rPr>
              <w:t>37.3275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刘功哲</w:t>
            </w:r>
          </w:p>
        </w:tc>
        <w:tc>
          <w:tcPr>
            <w:tcW w:w="1618" w:type="dxa"/>
          </w:tcPr>
          <w:p>
            <w:pPr>
              <w:widowControl/>
              <w:jc w:val="right"/>
              <w:textAlignment w:val="top"/>
              <w:rPr>
                <w:bCs/>
                <w:color w:val="000000"/>
                <w:sz w:val="24"/>
                <w:szCs w:val="24"/>
              </w:rPr>
            </w:pPr>
            <w:r>
              <w:rPr>
                <w:color w:val="000000"/>
                <w:kern w:val="0"/>
                <w:sz w:val="24"/>
                <w:szCs w:val="24"/>
                <w:lang w:bidi="ar"/>
              </w:rPr>
              <w:t>485</w:t>
            </w:r>
            <w:r>
              <w:rPr>
                <w:rFonts w:hint="eastAsia"/>
                <w:color w:val="000000"/>
                <w:kern w:val="0"/>
                <w:sz w:val="24"/>
                <w:szCs w:val="24"/>
                <w:lang w:bidi="ar"/>
              </w:rPr>
              <w:t>.0000</w:t>
            </w:r>
          </w:p>
        </w:tc>
        <w:tc>
          <w:tcPr>
            <w:tcW w:w="1619" w:type="dxa"/>
          </w:tcPr>
          <w:p>
            <w:pPr>
              <w:widowControl/>
              <w:jc w:val="right"/>
              <w:textAlignment w:val="top"/>
              <w:rPr>
                <w:bCs/>
                <w:color w:val="000000"/>
                <w:sz w:val="24"/>
                <w:szCs w:val="24"/>
              </w:rPr>
            </w:pPr>
            <w:r>
              <w:rPr>
                <w:color w:val="000000"/>
                <w:kern w:val="0"/>
                <w:sz w:val="24"/>
                <w:szCs w:val="24"/>
                <w:lang w:bidi="ar"/>
              </w:rPr>
              <w:t>18.3330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朱肇恺</w:t>
            </w:r>
          </w:p>
        </w:tc>
        <w:tc>
          <w:tcPr>
            <w:tcW w:w="1618" w:type="dxa"/>
          </w:tcPr>
          <w:p>
            <w:pPr>
              <w:widowControl/>
              <w:jc w:val="right"/>
              <w:textAlignment w:val="top"/>
              <w:rPr>
                <w:bCs/>
                <w:color w:val="000000"/>
                <w:sz w:val="24"/>
                <w:szCs w:val="24"/>
              </w:rPr>
            </w:pPr>
            <w:r>
              <w:rPr>
                <w:color w:val="000000"/>
                <w:kern w:val="0"/>
                <w:sz w:val="24"/>
                <w:szCs w:val="24"/>
                <w:lang w:bidi="ar"/>
              </w:rPr>
              <w:t>375</w:t>
            </w:r>
            <w:r>
              <w:rPr>
                <w:rFonts w:hint="eastAsia"/>
                <w:color w:val="000000"/>
                <w:kern w:val="0"/>
                <w:sz w:val="24"/>
                <w:szCs w:val="24"/>
                <w:lang w:bidi="ar"/>
              </w:rPr>
              <w:t>.0000</w:t>
            </w:r>
          </w:p>
        </w:tc>
        <w:tc>
          <w:tcPr>
            <w:tcW w:w="1619" w:type="dxa"/>
          </w:tcPr>
          <w:p>
            <w:pPr>
              <w:widowControl/>
              <w:jc w:val="right"/>
              <w:textAlignment w:val="top"/>
              <w:rPr>
                <w:bCs/>
                <w:color w:val="000000"/>
                <w:sz w:val="24"/>
                <w:szCs w:val="24"/>
              </w:rPr>
            </w:pPr>
            <w:r>
              <w:rPr>
                <w:color w:val="000000"/>
                <w:kern w:val="0"/>
                <w:sz w:val="24"/>
                <w:szCs w:val="24"/>
                <w:lang w:bidi="ar"/>
              </w:rPr>
              <w:t>14.1750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上海芯胜企业管理咨询中心（有限合伙）</w:t>
            </w:r>
          </w:p>
        </w:tc>
        <w:tc>
          <w:tcPr>
            <w:tcW w:w="1618" w:type="dxa"/>
          </w:tcPr>
          <w:p>
            <w:pPr>
              <w:widowControl/>
              <w:jc w:val="right"/>
              <w:textAlignment w:val="top"/>
              <w:rPr>
                <w:bCs/>
                <w:color w:val="000000"/>
                <w:sz w:val="24"/>
                <w:szCs w:val="24"/>
              </w:rPr>
            </w:pPr>
            <w:r>
              <w:rPr>
                <w:color w:val="000000"/>
                <w:kern w:val="0"/>
                <w:sz w:val="24"/>
                <w:szCs w:val="24"/>
                <w:lang w:bidi="ar"/>
              </w:rPr>
              <w:t>195</w:t>
            </w:r>
            <w:r>
              <w:rPr>
                <w:rFonts w:hint="eastAsia"/>
                <w:color w:val="000000"/>
                <w:kern w:val="0"/>
                <w:sz w:val="24"/>
                <w:szCs w:val="24"/>
                <w:lang w:bidi="ar"/>
              </w:rPr>
              <w:t>.0000</w:t>
            </w:r>
          </w:p>
        </w:tc>
        <w:tc>
          <w:tcPr>
            <w:tcW w:w="1619" w:type="dxa"/>
          </w:tcPr>
          <w:p>
            <w:pPr>
              <w:widowControl/>
              <w:jc w:val="right"/>
              <w:textAlignment w:val="top"/>
              <w:rPr>
                <w:bCs/>
                <w:color w:val="000000"/>
                <w:sz w:val="24"/>
                <w:szCs w:val="24"/>
              </w:rPr>
            </w:pPr>
            <w:r>
              <w:rPr>
                <w:color w:val="000000"/>
                <w:kern w:val="0"/>
                <w:sz w:val="24"/>
                <w:szCs w:val="24"/>
                <w:lang w:bidi="ar"/>
              </w:rPr>
              <w:t>7.3710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李澜涛</w:t>
            </w:r>
          </w:p>
        </w:tc>
        <w:tc>
          <w:tcPr>
            <w:tcW w:w="1618" w:type="dxa"/>
          </w:tcPr>
          <w:p>
            <w:pPr>
              <w:widowControl/>
              <w:jc w:val="right"/>
              <w:textAlignment w:val="top"/>
              <w:rPr>
                <w:bCs/>
                <w:color w:val="000000"/>
                <w:sz w:val="24"/>
                <w:szCs w:val="24"/>
              </w:rPr>
            </w:pPr>
            <w:r>
              <w:rPr>
                <w:color w:val="000000"/>
                <w:kern w:val="0"/>
                <w:sz w:val="24"/>
                <w:szCs w:val="24"/>
                <w:lang w:bidi="ar"/>
              </w:rPr>
              <w:t>170</w:t>
            </w:r>
            <w:r>
              <w:rPr>
                <w:rFonts w:hint="eastAsia"/>
                <w:color w:val="000000"/>
                <w:kern w:val="0"/>
                <w:sz w:val="24"/>
                <w:szCs w:val="24"/>
                <w:lang w:bidi="ar"/>
              </w:rPr>
              <w:t>.0000</w:t>
            </w:r>
          </w:p>
        </w:tc>
        <w:tc>
          <w:tcPr>
            <w:tcW w:w="1619" w:type="dxa"/>
          </w:tcPr>
          <w:p>
            <w:pPr>
              <w:widowControl/>
              <w:jc w:val="right"/>
              <w:textAlignment w:val="top"/>
              <w:rPr>
                <w:bCs/>
                <w:color w:val="000000"/>
                <w:sz w:val="24"/>
                <w:szCs w:val="24"/>
              </w:rPr>
            </w:pPr>
            <w:r>
              <w:rPr>
                <w:color w:val="000000"/>
                <w:kern w:val="0"/>
                <w:sz w:val="24"/>
                <w:szCs w:val="24"/>
                <w:lang w:bidi="ar"/>
              </w:rPr>
              <w:t>6.4260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陈宁生</w:t>
            </w:r>
          </w:p>
        </w:tc>
        <w:tc>
          <w:tcPr>
            <w:tcW w:w="1618" w:type="dxa"/>
          </w:tcPr>
          <w:p>
            <w:pPr>
              <w:widowControl/>
              <w:jc w:val="right"/>
              <w:textAlignment w:val="top"/>
              <w:rPr>
                <w:bCs/>
                <w:color w:val="000000"/>
                <w:sz w:val="24"/>
                <w:szCs w:val="24"/>
              </w:rPr>
            </w:pPr>
            <w:r>
              <w:rPr>
                <w:color w:val="000000"/>
                <w:kern w:val="0"/>
                <w:sz w:val="24"/>
                <w:szCs w:val="24"/>
                <w:lang w:bidi="ar"/>
              </w:rPr>
              <w:t>145.5027</w:t>
            </w:r>
          </w:p>
        </w:tc>
        <w:tc>
          <w:tcPr>
            <w:tcW w:w="1619" w:type="dxa"/>
          </w:tcPr>
          <w:p>
            <w:pPr>
              <w:widowControl/>
              <w:jc w:val="right"/>
              <w:textAlignment w:val="top"/>
              <w:rPr>
                <w:bCs/>
                <w:color w:val="000000"/>
                <w:sz w:val="24"/>
                <w:szCs w:val="24"/>
              </w:rPr>
            </w:pPr>
            <w:r>
              <w:rPr>
                <w:color w:val="000000"/>
                <w:kern w:val="0"/>
                <w:sz w:val="24"/>
                <w:szCs w:val="24"/>
                <w:lang w:bidi="ar"/>
              </w:rPr>
              <w:t>5.5000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徐骏捷</w:t>
            </w:r>
          </w:p>
        </w:tc>
        <w:tc>
          <w:tcPr>
            <w:tcW w:w="1618" w:type="dxa"/>
          </w:tcPr>
          <w:p>
            <w:pPr>
              <w:widowControl/>
              <w:jc w:val="right"/>
              <w:textAlignment w:val="top"/>
              <w:rPr>
                <w:bCs/>
                <w:color w:val="000000"/>
                <w:sz w:val="24"/>
                <w:szCs w:val="24"/>
              </w:rPr>
            </w:pPr>
            <w:r>
              <w:rPr>
                <w:color w:val="000000"/>
                <w:kern w:val="0"/>
                <w:sz w:val="24"/>
                <w:szCs w:val="24"/>
                <w:lang w:bidi="ar"/>
              </w:rPr>
              <w:t>106.25</w:t>
            </w:r>
            <w:r>
              <w:rPr>
                <w:rFonts w:hint="eastAsia"/>
                <w:color w:val="000000"/>
                <w:kern w:val="0"/>
                <w:sz w:val="24"/>
                <w:szCs w:val="24"/>
                <w:lang w:bidi="ar"/>
              </w:rPr>
              <w:t>00</w:t>
            </w:r>
          </w:p>
        </w:tc>
        <w:tc>
          <w:tcPr>
            <w:tcW w:w="1619" w:type="dxa"/>
          </w:tcPr>
          <w:p>
            <w:pPr>
              <w:widowControl/>
              <w:jc w:val="right"/>
              <w:textAlignment w:val="top"/>
              <w:rPr>
                <w:bCs/>
                <w:color w:val="000000"/>
                <w:sz w:val="24"/>
                <w:szCs w:val="24"/>
              </w:rPr>
            </w:pPr>
            <w:r>
              <w:rPr>
                <w:color w:val="000000"/>
                <w:kern w:val="0"/>
                <w:sz w:val="24"/>
                <w:szCs w:val="24"/>
                <w:lang w:bidi="ar"/>
              </w:rPr>
              <w:t>4.0162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林宗芳</w:t>
            </w:r>
          </w:p>
        </w:tc>
        <w:tc>
          <w:tcPr>
            <w:tcW w:w="1618" w:type="dxa"/>
          </w:tcPr>
          <w:p>
            <w:pPr>
              <w:widowControl/>
              <w:jc w:val="right"/>
              <w:textAlignment w:val="top"/>
              <w:rPr>
                <w:bCs/>
                <w:color w:val="000000"/>
                <w:sz w:val="24"/>
                <w:szCs w:val="24"/>
              </w:rPr>
            </w:pPr>
            <w:r>
              <w:rPr>
                <w:color w:val="000000"/>
                <w:kern w:val="0"/>
                <w:sz w:val="24"/>
                <w:szCs w:val="24"/>
                <w:lang w:bidi="ar"/>
              </w:rPr>
              <w:t>106.25</w:t>
            </w:r>
            <w:r>
              <w:rPr>
                <w:rFonts w:hint="eastAsia"/>
                <w:color w:val="000000"/>
                <w:kern w:val="0"/>
                <w:sz w:val="24"/>
                <w:szCs w:val="24"/>
                <w:lang w:bidi="ar"/>
              </w:rPr>
              <w:t>00</w:t>
            </w:r>
          </w:p>
        </w:tc>
        <w:tc>
          <w:tcPr>
            <w:tcW w:w="1619" w:type="dxa"/>
          </w:tcPr>
          <w:p>
            <w:pPr>
              <w:widowControl/>
              <w:jc w:val="right"/>
              <w:textAlignment w:val="top"/>
              <w:rPr>
                <w:bCs/>
                <w:color w:val="000000"/>
                <w:sz w:val="24"/>
                <w:szCs w:val="24"/>
              </w:rPr>
            </w:pPr>
            <w:r>
              <w:rPr>
                <w:color w:val="000000"/>
                <w:kern w:val="0"/>
                <w:sz w:val="24"/>
                <w:szCs w:val="24"/>
                <w:lang w:bidi="ar"/>
              </w:rPr>
              <w:t>4.0162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textAlignment w:val="top"/>
              <w:rPr>
                <w:rFonts w:ascii="宋体" w:hAnsi="宋体" w:cs="宋体"/>
                <w:color w:val="000000"/>
                <w:kern w:val="0"/>
                <w:sz w:val="24"/>
                <w:szCs w:val="24"/>
              </w:rPr>
            </w:pPr>
            <w:r>
              <w:rPr>
                <w:rFonts w:hint="eastAsia" w:ascii="宋体" w:hAnsi="宋体" w:cs="宋体"/>
                <w:color w:val="000000"/>
                <w:kern w:val="0"/>
                <w:sz w:val="24"/>
                <w:szCs w:val="24"/>
                <w:lang w:bidi="ar"/>
              </w:rPr>
              <w:t>冯华</w:t>
            </w:r>
          </w:p>
        </w:tc>
        <w:tc>
          <w:tcPr>
            <w:tcW w:w="1618" w:type="dxa"/>
          </w:tcPr>
          <w:p>
            <w:pPr>
              <w:widowControl/>
              <w:jc w:val="right"/>
              <w:textAlignment w:val="top"/>
              <w:rPr>
                <w:bCs/>
                <w:color w:val="000000"/>
                <w:sz w:val="24"/>
                <w:szCs w:val="24"/>
              </w:rPr>
            </w:pPr>
            <w:r>
              <w:rPr>
                <w:color w:val="000000"/>
                <w:kern w:val="0"/>
                <w:sz w:val="24"/>
                <w:szCs w:val="24"/>
                <w:lang w:bidi="ar"/>
              </w:rPr>
              <w:t>75</w:t>
            </w:r>
            <w:r>
              <w:rPr>
                <w:rFonts w:hint="eastAsia"/>
                <w:color w:val="000000"/>
                <w:kern w:val="0"/>
                <w:sz w:val="24"/>
                <w:szCs w:val="24"/>
                <w:lang w:bidi="ar"/>
              </w:rPr>
              <w:t>.0000</w:t>
            </w:r>
          </w:p>
        </w:tc>
        <w:tc>
          <w:tcPr>
            <w:tcW w:w="1619" w:type="dxa"/>
          </w:tcPr>
          <w:p>
            <w:pPr>
              <w:widowControl/>
              <w:jc w:val="right"/>
              <w:textAlignment w:val="top"/>
              <w:rPr>
                <w:bCs/>
                <w:color w:val="000000"/>
                <w:sz w:val="24"/>
                <w:szCs w:val="24"/>
              </w:rPr>
            </w:pPr>
            <w:r>
              <w:rPr>
                <w:color w:val="000000"/>
                <w:kern w:val="0"/>
                <w:sz w:val="24"/>
                <w:szCs w:val="24"/>
                <w:lang w:bidi="ar"/>
              </w:rPr>
              <w:t>2.8350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合计</w:t>
            </w:r>
          </w:p>
        </w:tc>
        <w:tc>
          <w:tcPr>
            <w:tcW w:w="1618" w:type="dxa"/>
          </w:tcPr>
          <w:p>
            <w:pPr>
              <w:widowControl/>
              <w:jc w:val="right"/>
              <w:rPr>
                <w:b/>
                <w:bCs/>
                <w:color w:val="000000"/>
                <w:sz w:val="24"/>
                <w:szCs w:val="24"/>
              </w:rPr>
            </w:pPr>
            <w:r>
              <w:rPr>
                <w:b/>
                <w:bCs/>
                <w:color w:val="000000"/>
                <w:sz w:val="24"/>
                <w:szCs w:val="24"/>
              </w:rPr>
              <w:t>2</w:t>
            </w:r>
            <w:r>
              <w:rPr>
                <w:rFonts w:hint="eastAsia"/>
                <w:b/>
                <w:bCs/>
                <w:color w:val="000000"/>
                <w:sz w:val="24"/>
                <w:szCs w:val="24"/>
              </w:rPr>
              <w:t>,</w:t>
            </w:r>
            <w:r>
              <w:rPr>
                <w:b/>
                <w:bCs/>
                <w:color w:val="000000"/>
                <w:sz w:val="24"/>
                <w:szCs w:val="24"/>
              </w:rPr>
              <w:t>645.5027</w:t>
            </w:r>
          </w:p>
        </w:tc>
        <w:tc>
          <w:tcPr>
            <w:tcW w:w="1619" w:type="dxa"/>
          </w:tcPr>
          <w:p>
            <w:pPr>
              <w:widowControl/>
              <w:jc w:val="right"/>
              <w:rPr>
                <w:b/>
                <w:bCs/>
                <w:color w:val="000000"/>
                <w:sz w:val="24"/>
                <w:szCs w:val="24"/>
              </w:rPr>
            </w:pPr>
            <w:r>
              <w:rPr>
                <w:b/>
                <w:bCs/>
                <w:color w:val="000000"/>
                <w:sz w:val="24"/>
                <w:szCs w:val="24"/>
              </w:rPr>
              <w:t>100.00</w:t>
            </w:r>
          </w:p>
        </w:tc>
      </w:tr>
    </w:tbl>
    <w:p>
      <w:pPr>
        <w:pStyle w:val="19"/>
        <w:numPr>
          <w:ilvl w:val="0"/>
          <w:numId w:val="11"/>
        </w:numPr>
        <w:spacing w:line="360" w:lineRule="auto"/>
        <w:ind w:firstLine="420" w:firstLineChars="175"/>
        <w:rPr>
          <w:rFonts w:ascii="Times New Roman" w:hAnsi="Times New Roman" w:cs="Times New Roman" w:eastAsiaTheme="minorEastAsia"/>
        </w:rPr>
      </w:pPr>
      <w:r>
        <w:rPr>
          <w:rFonts w:hint="eastAsia" w:ascii="Times New Roman" w:hAnsi="Times New Roman" w:cs="Times New Roman" w:eastAsiaTheme="minorEastAsia"/>
        </w:rPr>
        <w:t>本次增资完成后上海芯钛的股权结构</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2"/>
        <w:gridCol w:w="1615"/>
        <w:gridCol w:w="1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tcPr>
          <w:p>
            <w:pPr>
              <w:widowControl/>
              <w:jc w:val="center"/>
              <w:rPr>
                <w:b/>
                <w:color w:val="000000"/>
                <w:sz w:val="24"/>
                <w:szCs w:val="24"/>
              </w:rPr>
            </w:pPr>
            <w:r>
              <w:rPr>
                <w:b/>
                <w:color w:val="000000"/>
                <w:sz w:val="24"/>
                <w:szCs w:val="24"/>
              </w:rPr>
              <w:t>股东名称/姓名</w:t>
            </w:r>
          </w:p>
        </w:tc>
        <w:tc>
          <w:tcPr>
            <w:tcW w:w="1615" w:type="dxa"/>
          </w:tcPr>
          <w:p>
            <w:pPr>
              <w:widowControl/>
              <w:jc w:val="center"/>
              <w:rPr>
                <w:b/>
                <w:color w:val="000000"/>
                <w:sz w:val="24"/>
                <w:szCs w:val="24"/>
              </w:rPr>
            </w:pPr>
            <w:r>
              <w:rPr>
                <w:b/>
                <w:color w:val="000000"/>
                <w:sz w:val="24"/>
                <w:szCs w:val="24"/>
              </w:rPr>
              <w:t>认缴出资额</w:t>
            </w:r>
          </w:p>
          <w:p>
            <w:pPr>
              <w:widowControl/>
              <w:jc w:val="center"/>
              <w:rPr>
                <w:b/>
                <w:color w:val="000000"/>
                <w:sz w:val="24"/>
                <w:szCs w:val="24"/>
              </w:rPr>
            </w:pPr>
            <w:r>
              <w:rPr>
                <w:b/>
                <w:color w:val="000000"/>
                <w:sz w:val="24"/>
                <w:szCs w:val="24"/>
              </w:rPr>
              <w:t>（万元）</w:t>
            </w:r>
          </w:p>
        </w:tc>
        <w:tc>
          <w:tcPr>
            <w:tcW w:w="1615" w:type="dxa"/>
          </w:tcPr>
          <w:p>
            <w:pPr>
              <w:widowControl/>
              <w:jc w:val="center"/>
              <w:rPr>
                <w:b/>
                <w:color w:val="000000"/>
                <w:sz w:val="24"/>
                <w:szCs w:val="24"/>
              </w:rPr>
            </w:pPr>
            <w:r>
              <w:rPr>
                <w:b/>
                <w:color w:val="000000"/>
                <w:sz w:val="24"/>
                <w:szCs w:val="24"/>
              </w:rPr>
              <w:t>股权比例</w:t>
            </w:r>
          </w:p>
          <w:p>
            <w:pPr>
              <w:widowControl/>
              <w:jc w:val="center"/>
              <w:rPr>
                <w:b/>
                <w:color w:val="000000"/>
                <w:sz w:val="24"/>
                <w:szCs w:val="24"/>
              </w:rPr>
            </w:pPr>
            <w:r>
              <w:rPr>
                <w:b/>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孔旻</w:t>
            </w:r>
          </w:p>
        </w:tc>
        <w:tc>
          <w:tcPr>
            <w:tcW w:w="1615" w:type="dxa"/>
            <w:vAlign w:val="center"/>
          </w:tcPr>
          <w:p>
            <w:pPr>
              <w:keepNext w:val="0"/>
              <w:keepLines w:val="0"/>
              <w:widowControl/>
              <w:suppressLineNumbers w:val="0"/>
              <w:jc w:val="right"/>
              <w:textAlignment w:val="center"/>
              <w:rPr>
                <w:rFonts w:hint="default"/>
                <w:bCs/>
                <w:color w:val="000000"/>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987.5</w:t>
            </w:r>
            <w:r>
              <w:rPr>
                <w:rFonts w:hint="eastAsia" w:cs="Times New Roman"/>
                <w:i w:val="0"/>
                <w:iCs w:val="0"/>
                <w:color w:val="000000"/>
                <w:kern w:val="0"/>
                <w:sz w:val="24"/>
                <w:szCs w:val="24"/>
                <w:u w:val="none"/>
                <w:lang w:val="en-US" w:eastAsia="zh-CN" w:bidi="ar"/>
              </w:rPr>
              <w:t>000</w:t>
            </w:r>
          </w:p>
        </w:tc>
        <w:tc>
          <w:tcPr>
            <w:tcW w:w="1615" w:type="dxa"/>
            <w:vAlign w:val="center"/>
          </w:tcPr>
          <w:p>
            <w:pPr>
              <w:keepNext w:val="0"/>
              <w:keepLines w:val="0"/>
              <w:widowControl/>
              <w:suppressLineNumbers w:val="0"/>
              <w:jc w:val="right"/>
              <w:textAlignment w:val="center"/>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32.4587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刘功哲</w:t>
            </w:r>
          </w:p>
        </w:tc>
        <w:tc>
          <w:tcPr>
            <w:tcW w:w="1615" w:type="dxa"/>
            <w:vAlign w:val="center"/>
          </w:tcPr>
          <w:p>
            <w:pPr>
              <w:keepNext w:val="0"/>
              <w:keepLines w:val="0"/>
              <w:widowControl/>
              <w:suppressLineNumbers w:val="0"/>
              <w:jc w:val="right"/>
              <w:textAlignment w:val="center"/>
              <w:rPr>
                <w:rFonts w:hint="default"/>
                <w:bCs/>
                <w:color w:val="000000"/>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485</w:t>
            </w:r>
            <w:r>
              <w:rPr>
                <w:rFonts w:hint="eastAsia" w:cs="Times New Roman"/>
                <w:i w:val="0"/>
                <w:iCs w:val="0"/>
                <w:color w:val="000000"/>
                <w:kern w:val="0"/>
                <w:sz w:val="24"/>
                <w:szCs w:val="24"/>
                <w:u w:val="none"/>
                <w:lang w:val="en-US" w:eastAsia="zh-CN" w:bidi="ar"/>
              </w:rPr>
              <w:t>.0000</w:t>
            </w:r>
          </w:p>
        </w:tc>
        <w:tc>
          <w:tcPr>
            <w:tcW w:w="1615" w:type="dxa"/>
            <w:vAlign w:val="center"/>
          </w:tcPr>
          <w:p>
            <w:pPr>
              <w:keepNext w:val="0"/>
              <w:keepLines w:val="0"/>
              <w:widowControl/>
              <w:suppressLineNumbers w:val="0"/>
              <w:jc w:val="right"/>
              <w:textAlignment w:val="center"/>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15.9418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朱肇恺</w:t>
            </w:r>
          </w:p>
        </w:tc>
        <w:tc>
          <w:tcPr>
            <w:tcW w:w="1615" w:type="dxa"/>
            <w:vAlign w:val="center"/>
          </w:tcPr>
          <w:p>
            <w:pPr>
              <w:keepNext w:val="0"/>
              <w:keepLines w:val="0"/>
              <w:widowControl/>
              <w:suppressLineNumbers w:val="0"/>
              <w:jc w:val="right"/>
              <w:textAlignment w:val="center"/>
              <w:rPr>
                <w:rFonts w:hint="default"/>
                <w:bCs/>
                <w:color w:val="000000"/>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375</w:t>
            </w:r>
            <w:r>
              <w:rPr>
                <w:rFonts w:hint="eastAsia" w:cs="Times New Roman"/>
                <w:i w:val="0"/>
                <w:iCs w:val="0"/>
                <w:color w:val="000000"/>
                <w:kern w:val="0"/>
                <w:sz w:val="24"/>
                <w:szCs w:val="24"/>
                <w:u w:val="none"/>
                <w:lang w:val="en-US" w:eastAsia="zh-CN" w:bidi="ar"/>
              </w:rPr>
              <w:t>.0000</w:t>
            </w:r>
          </w:p>
        </w:tc>
        <w:tc>
          <w:tcPr>
            <w:tcW w:w="1615" w:type="dxa"/>
            <w:vAlign w:val="center"/>
          </w:tcPr>
          <w:p>
            <w:pPr>
              <w:keepNext w:val="0"/>
              <w:keepLines w:val="0"/>
              <w:widowControl/>
              <w:suppressLineNumbers w:val="0"/>
              <w:jc w:val="right"/>
              <w:textAlignment w:val="center"/>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12.3261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上海芯胜企业管理咨询中心（有限合伙）</w:t>
            </w:r>
          </w:p>
        </w:tc>
        <w:tc>
          <w:tcPr>
            <w:tcW w:w="1615" w:type="dxa"/>
            <w:vAlign w:val="center"/>
          </w:tcPr>
          <w:p>
            <w:pPr>
              <w:keepNext w:val="0"/>
              <w:keepLines w:val="0"/>
              <w:widowControl/>
              <w:suppressLineNumbers w:val="0"/>
              <w:jc w:val="right"/>
              <w:textAlignment w:val="center"/>
              <w:rPr>
                <w:rFonts w:hint="default"/>
                <w:bCs/>
                <w:color w:val="000000"/>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195</w:t>
            </w:r>
            <w:r>
              <w:rPr>
                <w:rFonts w:hint="eastAsia" w:cs="Times New Roman"/>
                <w:i w:val="0"/>
                <w:iCs w:val="0"/>
                <w:color w:val="000000"/>
                <w:kern w:val="0"/>
                <w:sz w:val="24"/>
                <w:szCs w:val="24"/>
                <w:u w:val="none"/>
                <w:lang w:val="en-US" w:eastAsia="zh-CN" w:bidi="ar"/>
              </w:rPr>
              <w:t>.0000</w:t>
            </w:r>
          </w:p>
        </w:tc>
        <w:tc>
          <w:tcPr>
            <w:tcW w:w="1615" w:type="dxa"/>
            <w:vAlign w:val="center"/>
          </w:tcPr>
          <w:p>
            <w:pPr>
              <w:keepNext w:val="0"/>
              <w:keepLines w:val="0"/>
              <w:widowControl/>
              <w:suppressLineNumbers w:val="0"/>
              <w:jc w:val="right"/>
              <w:textAlignment w:val="center"/>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6.4096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李澜涛</w:t>
            </w:r>
          </w:p>
        </w:tc>
        <w:tc>
          <w:tcPr>
            <w:tcW w:w="1615" w:type="dxa"/>
            <w:vAlign w:val="center"/>
          </w:tcPr>
          <w:p>
            <w:pPr>
              <w:keepNext w:val="0"/>
              <w:keepLines w:val="0"/>
              <w:widowControl/>
              <w:suppressLineNumbers w:val="0"/>
              <w:jc w:val="right"/>
              <w:textAlignment w:val="center"/>
              <w:rPr>
                <w:rFonts w:hint="default"/>
                <w:bCs/>
                <w:color w:val="000000"/>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170</w:t>
            </w:r>
            <w:r>
              <w:rPr>
                <w:rFonts w:hint="eastAsia" w:cs="Times New Roman"/>
                <w:i w:val="0"/>
                <w:iCs w:val="0"/>
                <w:color w:val="000000"/>
                <w:kern w:val="0"/>
                <w:sz w:val="24"/>
                <w:szCs w:val="24"/>
                <w:u w:val="none"/>
                <w:lang w:val="en-US" w:eastAsia="zh-CN" w:bidi="ar"/>
              </w:rPr>
              <w:t>.0000</w:t>
            </w:r>
          </w:p>
        </w:tc>
        <w:tc>
          <w:tcPr>
            <w:tcW w:w="1615" w:type="dxa"/>
            <w:vAlign w:val="center"/>
          </w:tcPr>
          <w:p>
            <w:pPr>
              <w:keepNext w:val="0"/>
              <w:keepLines w:val="0"/>
              <w:widowControl/>
              <w:suppressLineNumbers w:val="0"/>
              <w:jc w:val="right"/>
              <w:textAlignment w:val="center"/>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5.5878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陈宁生</w:t>
            </w:r>
          </w:p>
        </w:tc>
        <w:tc>
          <w:tcPr>
            <w:tcW w:w="1615" w:type="dxa"/>
            <w:vAlign w:val="center"/>
          </w:tcPr>
          <w:p>
            <w:pPr>
              <w:keepNext w:val="0"/>
              <w:keepLines w:val="0"/>
              <w:widowControl/>
              <w:suppressLineNumbers w:val="0"/>
              <w:jc w:val="right"/>
              <w:textAlignment w:val="center"/>
              <w:rPr>
                <w:bCs/>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145.5027</w:t>
            </w:r>
          </w:p>
        </w:tc>
        <w:tc>
          <w:tcPr>
            <w:tcW w:w="1615" w:type="dxa"/>
            <w:vAlign w:val="center"/>
          </w:tcPr>
          <w:p>
            <w:pPr>
              <w:keepNext w:val="0"/>
              <w:keepLines w:val="0"/>
              <w:widowControl/>
              <w:suppressLineNumbers w:val="0"/>
              <w:jc w:val="right"/>
              <w:textAlignment w:val="center"/>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4.7826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徐骏捷</w:t>
            </w:r>
          </w:p>
        </w:tc>
        <w:tc>
          <w:tcPr>
            <w:tcW w:w="1615" w:type="dxa"/>
            <w:vAlign w:val="center"/>
          </w:tcPr>
          <w:p>
            <w:pPr>
              <w:keepNext w:val="0"/>
              <w:keepLines w:val="0"/>
              <w:widowControl/>
              <w:suppressLineNumbers w:val="0"/>
              <w:jc w:val="right"/>
              <w:textAlignment w:val="center"/>
              <w:rPr>
                <w:bCs/>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106.25</w:t>
            </w:r>
            <w:r>
              <w:rPr>
                <w:rFonts w:hint="eastAsia" w:cs="Times New Roman"/>
                <w:i w:val="0"/>
                <w:iCs w:val="0"/>
                <w:color w:val="000000"/>
                <w:kern w:val="0"/>
                <w:sz w:val="24"/>
                <w:szCs w:val="24"/>
                <w:u w:val="none"/>
                <w:lang w:val="en-US" w:eastAsia="zh-CN" w:bidi="ar"/>
              </w:rPr>
              <w:t>00</w:t>
            </w:r>
          </w:p>
        </w:tc>
        <w:tc>
          <w:tcPr>
            <w:tcW w:w="1615" w:type="dxa"/>
            <w:vAlign w:val="center"/>
          </w:tcPr>
          <w:p>
            <w:pPr>
              <w:keepNext w:val="0"/>
              <w:keepLines w:val="0"/>
              <w:widowControl/>
              <w:suppressLineNumbers w:val="0"/>
              <w:jc w:val="right"/>
              <w:textAlignment w:val="center"/>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3.4924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林宗芳</w:t>
            </w:r>
          </w:p>
        </w:tc>
        <w:tc>
          <w:tcPr>
            <w:tcW w:w="1615" w:type="dxa"/>
            <w:vAlign w:val="center"/>
          </w:tcPr>
          <w:p>
            <w:pPr>
              <w:keepNext w:val="0"/>
              <w:keepLines w:val="0"/>
              <w:widowControl/>
              <w:suppressLineNumbers w:val="0"/>
              <w:jc w:val="right"/>
              <w:textAlignment w:val="center"/>
              <w:rPr>
                <w:rFonts w:hint="default"/>
                <w:bCs/>
                <w:color w:val="000000"/>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106.25</w:t>
            </w:r>
            <w:r>
              <w:rPr>
                <w:rFonts w:hint="eastAsia" w:cs="Times New Roman"/>
                <w:i w:val="0"/>
                <w:iCs w:val="0"/>
                <w:color w:val="000000"/>
                <w:kern w:val="0"/>
                <w:sz w:val="24"/>
                <w:szCs w:val="24"/>
                <w:u w:val="none"/>
                <w:lang w:val="en-US" w:eastAsia="zh-CN" w:bidi="ar"/>
              </w:rPr>
              <w:t>00</w:t>
            </w:r>
          </w:p>
        </w:tc>
        <w:tc>
          <w:tcPr>
            <w:tcW w:w="1615" w:type="dxa"/>
            <w:vAlign w:val="center"/>
          </w:tcPr>
          <w:p>
            <w:pPr>
              <w:keepNext w:val="0"/>
              <w:keepLines w:val="0"/>
              <w:widowControl/>
              <w:suppressLineNumbers w:val="0"/>
              <w:jc w:val="right"/>
              <w:textAlignment w:val="center"/>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3.4924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eastAsia="宋体" w:cs="宋体"/>
                <w:bCs/>
                <w:color w:val="000000"/>
                <w:kern w:val="0"/>
                <w:sz w:val="24"/>
                <w:szCs w:val="24"/>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冯华</w:t>
            </w:r>
          </w:p>
        </w:tc>
        <w:tc>
          <w:tcPr>
            <w:tcW w:w="1615" w:type="dxa"/>
            <w:vAlign w:val="center"/>
          </w:tcPr>
          <w:p>
            <w:pPr>
              <w:keepNext w:val="0"/>
              <w:keepLines w:val="0"/>
              <w:widowControl/>
              <w:suppressLineNumbers w:val="0"/>
              <w:jc w:val="right"/>
              <w:textAlignment w:val="center"/>
              <w:rPr>
                <w:rFonts w:hint="default" w:ascii="Times New Roman" w:hAnsi="Times New Roman" w:eastAsia="宋体" w:cs="Times New Roman"/>
                <w:b/>
                <w:bCs/>
                <w:color w:val="000000"/>
                <w:kern w:val="2"/>
                <w:sz w:val="24"/>
                <w:szCs w:val="24"/>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75</w:t>
            </w:r>
            <w:r>
              <w:rPr>
                <w:rFonts w:hint="eastAsia" w:cs="Times New Roman"/>
                <w:i w:val="0"/>
                <w:iCs w:val="0"/>
                <w:color w:val="000000"/>
                <w:kern w:val="0"/>
                <w:sz w:val="24"/>
                <w:szCs w:val="24"/>
                <w:u w:val="none"/>
                <w:lang w:val="en-US" w:eastAsia="zh-CN" w:bidi="ar"/>
              </w:rPr>
              <w:t>.0000</w:t>
            </w:r>
          </w:p>
        </w:tc>
        <w:tc>
          <w:tcPr>
            <w:tcW w:w="1615" w:type="dxa"/>
            <w:vAlign w:val="center"/>
          </w:tcPr>
          <w:p>
            <w:pPr>
              <w:keepNext w:val="0"/>
              <w:keepLines w:val="0"/>
              <w:widowControl/>
              <w:suppressLineNumbers w:val="0"/>
              <w:jc w:val="right"/>
              <w:textAlignment w:val="center"/>
              <w:rPr>
                <w:rFonts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2.4652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福沃德投資控股有限公司</w:t>
            </w:r>
          </w:p>
        </w:tc>
        <w:tc>
          <w:tcPr>
            <w:tcW w:w="1615"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132.2742</w:t>
            </w:r>
          </w:p>
        </w:tc>
        <w:tc>
          <w:tcPr>
            <w:tcW w:w="1615" w:type="dxa"/>
            <w:vAlign w:val="top"/>
          </w:tcPr>
          <w:p>
            <w:pPr>
              <w:keepNext w:val="0"/>
              <w:keepLines w:val="0"/>
              <w:widowControl/>
              <w:suppressLineNumbers w:val="0"/>
              <w:jc w:val="right"/>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4.3478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eastAsia" w:ascii="宋体" w:hAnsi="宋体" w:eastAsia="宋体" w:cs="宋体"/>
                <w:i w:val="0"/>
                <w:iCs w:val="0"/>
                <w:color w:val="000000"/>
                <w:kern w:val="0"/>
                <w:sz w:val="24"/>
                <w:szCs w:val="24"/>
                <w:u w:val="none"/>
                <w:lang w:val="en-US" w:eastAsia="zh-CN" w:bidi="ar"/>
              </w:rPr>
              <w:t>嘉兴创荣股权投资合伙企业（有限合伙）</w:t>
            </w:r>
          </w:p>
        </w:tc>
        <w:tc>
          <w:tcPr>
            <w:tcW w:w="1615" w:type="dxa"/>
            <w:vAlign w:val="center"/>
          </w:tcPr>
          <w:p>
            <w:pPr>
              <w:keepNext w:val="0"/>
              <w:keepLines w:val="0"/>
              <w:widowControl/>
              <w:suppressLineNumbers w:val="0"/>
              <w:jc w:val="right"/>
              <w:textAlignment w:val="center"/>
              <w:rPr>
                <w:b/>
                <w:bCs/>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79.3645</w:t>
            </w:r>
          </w:p>
        </w:tc>
        <w:tc>
          <w:tcPr>
            <w:tcW w:w="1615" w:type="dxa"/>
            <w:vAlign w:val="top"/>
          </w:tcPr>
          <w:p>
            <w:pPr>
              <w:keepNext w:val="0"/>
              <w:keepLines w:val="0"/>
              <w:widowControl/>
              <w:suppressLineNumbers w:val="0"/>
              <w:jc w:val="right"/>
              <w:textAlignment w:val="top"/>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2.6087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深圳市投控东海中小微创业投资企业（有限合伙）</w:t>
            </w:r>
          </w:p>
        </w:tc>
        <w:tc>
          <w:tcPr>
            <w:tcW w:w="1615" w:type="dxa"/>
            <w:vAlign w:val="center"/>
          </w:tcPr>
          <w:p>
            <w:pPr>
              <w:keepNext w:val="0"/>
              <w:keepLines w:val="0"/>
              <w:widowControl/>
              <w:suppressLineNumbers w:val="0"/>
              <w:jc w:val="right"/>
              <w:textAlignment w:val="center"/>
              <w:rPr>
                <w:b/>
                <w:bCs/>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79.3645</w:t>
            </w:r>
          </w:p>
        </w:tc>
        <w:tc>
          <w:tcPr>
            <w:tcW w:w="1615" w:type="dxa"/>
            <w:vAlign w:val="top"/>
          </w:tcPr>
          <w:p>
            <w:pPr>
              <w:keepNext w:val="0"/>
              <w:keepLines w:val="0"/>
              <w:widowControl/>
              <w:suppressLineNumbers w:val="0"/>
              <w:jc w:val="right"/>
              <w:textAlignment w:val="top"/>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2.6087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bookmarkStart w:id="0" w:name="_GoBack"/>
            <w:bookmarkEnd w:id="0"/>
            <w:r>
              <w:rPr>
                <w:rFonts w:hint="default" w:ascii="Times New Roman" w:hAnsi="Times New Roman" w:eastAsia="宋体" w:cs="Times New Roman"/>
                <w:i w:val="0"/>
                <w:iCs w:val="0"/>
                <w:color w:val="000000"/>
                <w:kern w:val="0"/>
                <w:sz w:val="24"/>
                <w:szCs w:val="24"/>
                <w:u w:val="none"/>
                <w:lang w:val="en-US" w:eastAsia="zh-CN" w:bidi="ar"/>
              </w:rPr>
              <w:t>格尔软件股份有限公司</w:t>
            </w:r>
          </w:p>
        </w:tc>
        <w:tc>
          <w:tcPr>
            <w:tcW w:w="1615" w:type="dxa"/>
            <w:vAlign w:val="center"/>
          </w:tcPr>
          <w:p>
            <w:pPr>
              <w:keepNext w:val="0"/>
              <w:keepLines w:val="0"/>
              <w:widowControl/>
              <w:suppressLineNumbers w:val="0"/>
              <w:jc w:val="right"/>
              <w:textAlignment w:val="center"/>
              <w:rPr>
                <w:b/>
                <w:bCs/>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52.9097</w:t>
            </w:r>
          </w:p>
        </w:tc>
        <w:tc>
          <w:tcPr>
            <w:tcW w:w="1615" w:type="dxa"/>
            <w:vAlign w:val="top"/>
          </w:tcPr>
          <w:p>
            <w:pPr>
              <w:keepNext w:val="0"/>
              <w:keepLines w:val="0"/>
              <w:widowControl/>
              <w:suppressLineNumbers w:val="0"/>
              <w:jc w:val="right"/>
              <w:textAlignment w:val="top"/>
              <w:rPr>
                <w:color w:val="000000"/>
                <w:kern w:val="0"/>
                <w:sz w:val="24"/>
                <w:szCs w:val="24"/>
                <w:lang w:bidi="ar"/>
              </w:rPr>
            </w:pPr>
            <w:r>
              <w:rPr>
                <w:rFonts w:hint="default" w:ascii="Times New Roman" w:hAnsi="Times New Roman" w:eastAsia="宋体" w:cs="Times New Roman"/>
                <w:i w:val="0"/>
                <w:iCs w:val="0"/>
                <w:color w:val="000000"/>
                <w:kern w:val="0"/>
                <w:sz w:val="24"/>
                <w:szCs w:val="24"/>
                <w:u w:val="none"/>
                <w:lang w:val="en-US" w:eastAsia="zh-CN" w:bidi="ar"/>
              </w:rPr>
              <w:t>1.7391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vAlign w:val="top"/>
          </w:tcPr>
          <w:p>
            <w:pPr>
              <w:keepNext w:val="0"/>
              <w:keepLines w:val="0"/>
              <w:widowControl/>
              <w:suppressLineNumbers w:val="0"/>
              <w:jc w:val="center"/>
              <w:textAlignment w:val="top"/>
              <w:rPr>
                <w:rFonts w:ascii="宋体" w:hAnsi="宋体" w:cs="宋体"/>
                <w:bCs/>
                <w:color w:val="000000"/>
                <w:kern w:val="0"/>
                <w:sz w:val="24"/>
                <w:szCs w:val="24"/>
              </w:rPr>
            </w:pPr>
            <w:r>
              <w:rPr>
                <w:rFonts w:hint="eastAsia" w:ascii="宋体" w:hAnsi="宋体" w:eastAsia="宋体" w:cs="宋体"/>
                <w:i w:val="0"/>
                <w:iCs w:val="0"/>
                <w:color w:val="000000"/>
                <w:kern w:val="0"/>
                <w:sz w:val="24"/>
                <w:szCs w:val="24"/>
                <w:u w:val="none"/>
                <w:lang w:val="en-US" w:eastAsia="zh-CN" w:bidi="ar"/>
              </w:rPr>
              <w:t>上海火山石二期创业投资合伙企业（有限合伙）</w:t>
            </w:r>
          </w:p>
        </w:tc>
        <w:tc>
          <w:tcPr>
            <w:tcW w:w="1615" w:type="dxa"/>
            <w:vAlign w:val="center"/>
          </w:tcPr>
          <w:p>
            <w:pPr>
              <w:keepNext w:val="0"/>
              <w:keepLines w:val="0"/>
              <w:widowControl/>
              <w:suppressLineNumbers w:val="0"/>
              <w:jc w:val="right"/>
              <w:textAlignment w:val="center"/>
              <w:rPr>
                <w:b/>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52.9097</w:t>
            </w:r>
          </w:p>
        </w:tc>
        <w:tc>
          <w:tcPr>
            <w:tcW w:w="1615" w:type="dxa"/>
            <w:vAlign w:val="top"/>
          </w:tcPr>
          <w:p>
            <w:pPr>
              <w:keepNext w:val="0"/>
              <w:keepLines w:val="0"/>
              <w:widowControl/>
              <w:suppressLineNumbers w:val="0"/>
              <w:jc w:val="right"/>
              <w:textAlignment w:val="top"/>
              <w:rPr>
                <w:b/>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1.7391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2" w:type="dxa"/>
          </w:tcPr>
          <w:p>
            <w:pPr>
              <w:widowControl/>
              <w:jc w:val="center"/>
              <w:rPr>
                <w:b/>
                <w:color w:val="000000"/>
                <w:kern w:val="0"/>
                <w:sz w:val="24"/>
                <w:szCs w:val="24"/>
                <w:lang w:bidi="ar"/>
              </w:rPr>
            </w:pPr>
            <w:r>
              <w:rPr>
                <w:b/>
                <w:color w:val="000000"/>
                <w:sz w:val="24"/>
                <w:szCs w:val="24"/>
              </w:rPr>
              <w:t>总计</w:t>
            </w:r>
          </w:p>
        </w:tc>
        <w:tc>
          <w:tcPr>
            <w:tcW w:w="1615" w:type="dxa"/>
            <w:vAlign w:val="center"/>
          </w:tcPr>
          <w:p>
            <w:pPr>
              <w:widowControl/>
              <w:jc w:val="right"/>
              <w:textAlignment w:val="center"/>
              <w:rPr>
                <w:b/>
                <w:bCs/>
                <w:color w:val="000000"/>
                <w:kern w:val="0"/>
                <w:sz w:val="24"/>
                <w:szCs w:val="24"/>
                <w:lang w:bidi="ar"/>
              </w:rPr>
            </w:pPr>
            <w:r>
              <w:rPr>
                <w:b/>
                <w:bCs/>
                <w:color w:val="000000"/>
                <w:kern w:val="0"/>
                <w:sz w:val="24"/>
                <w:szCs w:val="24"/>
                <w:lang w:bidi="ar"/>
              </w:rPr>
              <w:t>3</w:t>
            </w:r>
            <w:r>
              <w:rPr>
                <w:rFonts w:hint="eastAsia"/>
                <w:b/>
                <w:bCs/>
                <w:color w:val="000000"/>
                <w:kern w:val="0"/>
                <w:sz w:val="24"/>
                <w:szCs w:val="24"/>
                <w:lang w:val="en-US" w:eastAsia="zh-CN" w:bidi="ar"/>
              </w:rPr>
              <w:t>,</w:t>
            </w:r>
            <w:r>
              <w:rPr>
                <w:b/>
                <w:bCs/>
                <w:color w:val="000000"/>
                <w:kern w:val="0"/>
                <w:sz w:val="24"/>
                <w:szCs w:val="24"/>
                <w:lang w:bidi="ar"/>
              </w:rPr>
              <w:t>042.3253</w:t>
            </w:r>
          </w:p>
        </w:tc>
        <w:tc>
          <w:tcPr>
            <w:tcW w:w="1615" w:type="dxa"/>
            <w:vAlign w:val="center"/>
          </w:tcPr>
          <w:p>
            <w:pPr>
              <w:widowControl/>
              <w:jc w:val="right"/>
              <w:textAlignment w:val="center"/>
              <w:rPr>
                <w:b/>
                <w:bCs/>
                <w:color w:val="000000"/>
                <w:kern w:val="0"/>
                <w:sz w:val="24"/>
                <w:szCs w:val="24"/>
                <w:lang w:bidi="ar"/>
              </w:rPr>
            </w:pPr>
            <w:r>
              <w:rPr>
                <w:b/>
                <w:bCs/>
                <w:color w:val="000000"/>
                <w:kern w:val="0"/>
                <w:sz w:val="24"/>
                <w:szCs w:val="24"/>
                <w:lang w:bidi="ar"/>
              </w:rPr>
              <w:t>100.0000</w:t>
            </w:r>
          </w:p>
        </w:tc>
      </w:tr>
    </w:tbl>
    <w:p>
      <w:pPr>
        <w:pStyle w:val="19"/>
        <w:numPr>
          <w:ilvl w:val="0"/>
          <w:numId w:val="10"/>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审计情况</w:t>
      </w:r>
    </w:p>
    <w:p>
      <w:pPr>
        <w:pStyle w:val="19"/>
        <w:spacing w:line="360" w:lineRule="auto"/>
        <w:ind w:firstLine="420"/>
        <w:rPr>
          <w:rFonts w:ascii="Times New Roman" w:hAnsi="Times New Roman" w:cs="Times New Roman" w:eastAsiaTheme="minorEastAsia"/>
          <w:highlight w:val="yellow"/>
        </w:rPr>
      </w:pPr>
      <w:r>
        <w:rPr>
          <w:rFonts w:hint="eastAsia" w:ascii="Times New Roman" w:hAnsi="Times New Roman" w:cs="Times New Roman" w:eastAsiaTheme="minorEastAsia"/>
        </w:rPr>
        <w:t>截至2020年12月31日，上海芯钛资产总计为1,101.68万元，负债合计为152.90万元，资产净额为938.79万元，营业收入为438.19万元，净利润为-1,309.15万元。上海芯钛2020年度财务数据经上海中惠会计师事务所有限公司审计，并出具了《上海芯钛信息科技有限公司2020年度审计报告》沪惠报审年报字（2021）0223号。</w:t>
      </w:r>
    </w:p>
    <w:p>
      <w:pPr>
        <w:pStyle w:val="19"/>
        <w:numPr>
          <w:ilvl w:val="0"/>
          <w:numId w:val="9"/>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关联交易价格确定的一般原则和方法</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本次公司对外</w:t>
      </w:r>
      <w:r>
        <w:rPr>
          <w:rFonts w:ascii="Times New Roman" w:hAnsi="Times New Roman" w:cs="Times New Roman" w:eastAsiaTheme="minorEastAsia"/>
        </w:rPr>
        <w:t>投资事项遵循市场原则，</w:t>
      </w:r>
      <w:r>
        <w:rPr>
          <w:rFonts w:hint="eastAsia" w:ascii="Times New Roman" w:hAnsi="Times New Roman" w:cs="Times New Roman" w:eastAsiaTheme="minorEastAsia"/>
        </w:rPr>
        <w:t>经多方共同合理协商确定增资价格，公司增资单价与其他投资方增资单价一致，具体增资情况如下：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4"/>
        <w:gridCol w:w="1657"/>
        <w:gridCol w:w="1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4" w:type="dxa"/>
          </w:tcPr>
          <w:p>
            <w:pPr>
              <w:pStyle w:val="19"/>
              <w:spacing w:line="360" w:lineRule="auto"/>
              <w:jc w:val="center"/>
              <w:rPr>
                <w:rFonts w:ascii="Times New Roman" w:hAnsi="Times New Roman" w:cs="Times New Roman" w:eastAsiaTheme="minorEastAsia"/>
                <w:b/>
                <w:bCs/>
              </w:rPr>
            </w:pPr>
            <w:r>
              <w:rPr>
                <w:rFonts w:hint="eastAsia" w:ascii="Times New Roman" w:hAnsi="Times New Roman" w:cs="Times New Roman" w:eastAsiaTheme="minorEastAsia"/>
                <w:b/>
                <w:bCs/>
              </w:rPr>
              <w:t>投资方</w:t>
            </w:r>
          </w:p>
        </w:tc>
        <w:tc>
          <w:tcPr>
            <w:tcW w:w="1657" w:type="dxa"/>
          </w:tcPr>
          <w:p>
            <w:pPr>
              <w:pStyle w:val="19"/>
              <w:spacing w:line="360" w:lineRule="auto"/>
              <w:jc w:val="center"/>
              <w:rPr>
                <w:rFonts w:ascii="Times New Roman" w:hAnsi="Times New Roman" w:cs="Times New Roman" w:eastAsiaTheme="minorEastAsia"/>
                <w:b/>
                <w:bCs/>
              </w:rPr>
            </w:pPr>
            <w:r>
              <w:rPr>
                <w:rFonts w:hint="eastAsia" w:ascii="Times New Roman" w:hAnsi="Times New Roman" w:cs="Times New Roman" w:eastAsiaTheme="minorEastAsia"/>
                <w:b/>
                <w:bCs/>
              </w:rPr>
              <w:t>增资款</w:t>
            </w:r>
          </w:p>
          <w:p>
            <w:pPr>
              <w:pStyle w:val="19"/>
              <w:spacing w:line="360" w:lineRule="auto"/>
              <w:jc w:val="center"/>
              <w:rPr>
                <w:rFonts w:ascii="Times New Roman" w:hAnsi="Times New Roman" w:cs="Times New Roman" w:eastAsiaTheme="minorEastAsia"/>
                <w:b/>
                <w:bCs/>
              </w:rPr>
            </w:pPr>
            <w:r>
              <w:rPr>
                <w:rFonts w:hint="eastAsia" w:ascii="Times New Roman" w:hAnsi="Times New Roman" w:cs="Times New Roman" w:eastAsiaTheme="minorEastAsia"/>
                <w:b/>
                <w:bCs/>
              </w:rPr>
              <w:t>（万元）</w:t>
            </w:r>
          </w:p>
        </w:tc>
        <w:tc>
          <w:tcPr>
            <w:tcW w:w="1481" w:type="dxa"/>
          </w:tcPr>
          <w:p>
            <w:pPr>
              <w:pStyle w:val="19"/>
              <w:spacing w:line="360" w:lineRule="auto"/>
              <w:jc w:val="center"/>
              <w:rPr>
                <w:rFonts w:ascii="Times New Roman" w:hAnsi="Times New Roman" w:cs="Times New Roman" w:eastAsiaTheme="minorEastAsia"/>
                <w:b/>
                <w:bCs/>
              </w:rPr>
            </w:pPr>
            <w:r>
              <w:rPr>
                <w:rFonts w:hint="eastAsia" w:ascii="Times New Roman" w:hAnsi="Times New Roman" w:cs="Times New Roman" w:eastAsiaTheme="minorEastAsia"/>
                <w:b/>
                <w:bCs/>
              </w:rPr>
              <w:t>增资完成后持股比例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4" w:type="dxa"/>
          </w:tcPr>
          <w:p>
            <w:pPr>
              <w:pStyle w:val="19"/>
              <w:spacing w:line="360" w:lineRule="auto"/>
              <w:jc w:val="both"/>
              <w:rPr>
                <w:rFonts w:ascii="Times New Roman" w:hAnsi="Times New Roman" w:cs="Times New Roman"/>
              </w:rPr>
            </w:pPr>
            <w:r>
              <w:rPr>
                <w:rFonts w:hint="eastAsia" w:ascii="Times New Roman" w:hAnsi="Times New Roman" w:cs="Times New Roman"/>
                <w:bCs/>
                <w:lang w:bidi="ar"/>
              </w:rPr>
              <w:t>福沃德投資控股有限公司</w:t>
            </w:r>
          </w:p>
        </w:tc>
        <w:tc>
          <w:tcPr>
            <w:tcW w:w="1657" w:type="dxa"/>
          </w:tcPr>
          <w:p>
            <w:pPr>
              <w:widowControl/>
              <w:spacing w:line="360" w:lineRule="auto"/>
              <w:jc w:val="right"/>
              <w:outlineLvl w:val="0"/>
              <w:rPr>
                <w:rFonts w:eastAsiaTheme="minorEastAsia"/>
              </w:rPr>
            </w:pPr>
            <w:r>
              <w:rPr>
                <w:color w:val="000000"/>
                <w:kern w:val="0"/>
                <w:sz w:val="24"/>
                <w:szCs w:val="24"/>
              </w:rPr>
              <w:t>2,500</w:t>
            </w:r>
          </w:p>
        </w:tc>
        <w:tc>
          <w:tcPr>
            <w:tcW w:w="1481" w:type="dxa"/>
          </w:tcPr>
          <w:p>
            <w:pPr>
              <w:widowControl/>
              <w:spacing w:line="360" w:lineRule="auto"/>
              <w:jc w:val="right"/>
              <w:outlineLvl w:val="0"/>
              <w:rPr>
                <w:rFonts w:eastAsiaTheme="minorEastAsia"/>
              </w:rPr>
            </w:pPr>
            <w:r>
              <w:rPr>
                <w:color w:val="000000"/>
                <w:kern w:val="0"/>
                <w:sz w:val="24"/>
                <w:szCs w:val="24"/>
              </w:rPr>
              <w:t>4.3478%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rPr>
              <w:t>嘉兴创荣股权投资合伙企业（有限合伙）</w:t>
            </w:r>
          </w:p>
        </w:tc>
        <w:tc>
          <w:tcPr>
            <w:tcW w:w="1657" w:type="dxa"/>
          </w:tcPr>
          <w:p>
            <w:pPr>
              <w:widowControl/>
              <w:spacing w:line="360" w:lineRule="auto"/>
              <w:jc w:val="right"/>
              <w:outlineLvl w:val="0"/>
              <w:rPr>
                <w:rFonts w:eastAsiaTheme="minorEastAsia"/>
              </w:rPr>
            </w:pPr>
            <w:r>
              <w:rPr>
                <w:color w:val="000000"/>
                <w:kern w:val="0"/>
                <w:sz w:val="24"/>
                <w:szCs w:val="24"/>
              </w:rPr>
              <w:t>1,500</w:t>
            </w:r>
          </w:p>
        </w:tc>
        <w:tc>
          <w:tcPr>
            <w:tcW w:w="1481" w:type="dxa"/>
          </w:tcPr>
          <w:p>
            <w:pPr>
              <w:widowControl/>
              <w:spacing w:line="360" w:lineRule="auto"/>
              <w:jc w:val="right"/>
              <w:outlineLvl w:val="0"/>
              <w:rPr>
                <w:rFonts w:eastAsiaTheme="minorEastAsia"/>
              </w:rPr>
            </w:pPr>
            <w:r>
              <w:rPr>
                <w:color w:val="000000"/>
                <w:kern w:val="0"/>
                <w:sz w:val="24"/>
                <w:szCs w:val="24"/>
              </w:rPr>
              <w:t>2.6087%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4" w:type="dxa"/>
          </w:tcPr>
          <w:p>
            <w:pPr>
              <w:pStyle w:val="19"/>
              <w:spacing w:line="360" w:lineRule="auto"/>
              <w:jc w:val="both"/>
              <w:rPr>
                <w:rFonts w:ascii="Times New Roman" w:hAnsi="Times New Roman" w:cs="Times New Roman" w:eastAsiaTheme="minorEastAsia"/>
              </w:rPr>
            </w:pPr>
            <w:r>
              <w:rPr>
                <w:rFonts w:ascii="Times New Roman" w:hAnsi="Times New Roman" w:cs="Times New Roman" w:eastAsiaTheme="minorEastAsia"/>
              </w:rPr>
              <w:t>深圳市投控东海中小微创业投资企业（有限合伙）</w:t>
            </w:r>
          </w:p>
        </w:tc>
        <w:tc>
          <w:tcPr>
            <w:tcW w:w="1657" w:type="dxa"/>
          </w:tcPr>
          <w:p>
            <w:pPr>
              <w:widowControl/>
              <w:spacing w:line="360" w:lineRule="auto"/>
              <w:jc w:val="right"/>
              <w:outlineLvl w:val="0"/>
              <w:rPr>
                <w:rFonts w:eastAsiaTheme="minorEastAsia"/>
                <w:sz w:val="24"/>
                <w:szCs w:val="22"/>
              </w:rPr>
            </w:pPr>
            <w:r>
              <w:rPr>
                <w:color w:val="000000"/>
                <w:kern w:val="0"/>
                <w:sz w:val="24"/>
                <w:szCs w:val="24"/>
              </w:rPr>
              <w:t>1,500</w:t>
            </w:r>
          </w:p>
        </w:tc>
        <w:tc>
          <w:tcPr>
            <w:tcW w:w="1481" w:type="dxa"/>
          </w:tcPr>
          <w:p>
            <w:pPr>
              <w:widowControl/>
              <w:spacing w:line="360" w:lineRule="auto"/>
              <w:jc w:val="right"/>
              <w:outlineLvl w:val="0"/>
              <w:rPr>
                <w:rFonts w:eastAsiaTheme="minorEastAsia"/>
                <w:sz w:val="24"/>
                <w:szCs w:val="22"/>
              </w:rPr>
            </w:pPr>
            <w:r>
              <w:rPr>
                <w:color w:val="000000"/>
                <w:kern w:val="0"/>
                <w:sz w:val="24"/>
                <w:szCs w:val="24"/>
              </w:rPr>
              <w:t>2.6087%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格尔软件股份有限公司</w:t>
            </w:r>
          </w:p>
        </w:tc>
        <w:tc>
          <w:tcPr>
            <w:tcW w:w="1657" w:type="dxa"/>
          </w:tcPr>
          <w:p>
            <w:pPr>
              <w:widowControl/>
              <w:spacing w:line="360" w:lineRule="auto"/>
              <w:jc w:val="right"/>
              <w:outlineLvl w:val="0"/>
              <w:rPr>
                <w:rFonts w:eastAsiaTheme="minorEastAsia"/>
                <w:sz w:val="24"/>
                <w:szCs w:val="22"/>
              </w:rPr>
            </w:pPr>
            <w:r>
              <w:rPr>
                <w:color w:val="000000"/>
                <w:kern w:val="0"/>
                <w:sz w:val="24"/>
                <w:szCs w:val="24"/>
              </w:rPr>
              <w:t>1,000</w:t>
            </w:r>
          </w:p>
        </w:tc>
        <w:tc>
          <w:tcPr>
            <w:tcW w:w="1481" w:type="dxa"/>
          </w:tcPr>
          <w:p>
            <w:pPr>
              <w:widowControl/>
              <w:spacing w:line="360" w:lineRule="auto"/>
              <w:jc w:val="right"/>
              <w:outlineLvl w:val="0"/>
              <w:rPr>
                <w:rFonts w:eastAsiaTheme="minorEastAsia"/>
                <w:sz w:val="24"/>
                <w:szCs w:val="22"/>
              </w:rPr>
            </w:pPr>
            <w:r>
              <w:rPr>
                <w:color w:val="000000"/>
                <w:kern w:val="0"/>
                <w:sz w:val="24"/>
                <w:szCs w:val="24"/>
              </w:rPr>
              <w:t>1.7391%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rPr>
              <w:t>上海火山石二期创业投资合伙企业（有限合伙）</w:t>
            </w:r>
          </w:p>
        </w:tc>
        <w:tc>
          <w:tcPr>
            <w:tcW w:w="1657" w:type="dxa"/>
          </w:tcPr>
          <w:p>
            <w:pPr>
              <w:widowControl/>
              <w:spacing w:line="360" w:lineRule="auto"/>
              <w:jc w:val="right"/>
              <w:outlineLvl w:val="0"/>
              <w:rPr>
                <w:rFonts w:eastAsiaTheme="minorEastAsia"/>
                <w:sz w:val="24"/>
                <w:szCs w:val="22"/>
              </w:rPr>
            </w:pPr>
            <w:r>
              <w:rPr>
                <w:rFonts w:hint="eastAsia"/>
                <w:color w:val="000000"/>
                <w:kern w:val="0"/>
                <w:sz w:val="24"/>
                <w:szCs w:val="24"/>
              </w:rPr>
              <w:t>1</w:t>
            </w:r>
            <w:r>
              <w:rPr>
                <w:color w:val="000000"/>
                <w:kern w:val="0"/>
                <w:sz w:val="24"/>
                <w:szCs w:val="24"/>
              </w:rPr>
              <w:t>,</w:t>
            </w:r>
            <w:r>
              <w:rPr>
                <w:rFonts w:hint="eastAsia"/>
                <w:color w:val="000000"/>
                <w:kern w:val="0"/>
                <w:sz w:val="24"/>
                <w:szCs w:val="24"/>
              </w:rPr>
              <w:t>000</w:t>
            </w:r>
          </w:p>
        </w:tc>
        <w:tc>
          <w:tcPr>
            <w:tcW w:w="1481" w:type="dxa"/>
          </w:tcPr>
          <w:p>
            <w:pPr>
              <w:widowControl/>
              <w:spacing w:line="360" w:lineRule="auto"/>
              <w:jc w:val="right"/>
              <w:outlineLvl w:val="0"/>
              <w:rPr>
                <w:rFonts w:eastAsiaTheme="minorEastAsia"/>
                <w:sz w:val="24"/>
                <w:szCs w:val="22"/>
              </w:rPr>
            </w:pPr>
            <w:r>
              <w:rPr>
                <w:color w:val="000000"/>
                <w:kern w:val="0"/>
                <w:sz w:val="24"/>
                <w:szCs w:val="24"/>
              </w:rPr>
              <w:t>1.7391%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4" w:type="dxa"/>
          </w:tcPr>
          <w:p>
            <w:pPr>
              <w:pStyle w:val="19"/>
              <w:spacing w:line="360" w:lineRule="auto"/>
              <w:jc w:val="both"/>
              <w:rPr>
                <w:rFonts w:ascii="Times New Roman" w:hAnsi="Times New Roman" w:cs="Times New Roman" w:eastAsiaTheme="minorEastAsia"/>
                <w:b/>
                <w:bCs/>
              </w:rPr>
            </w:pPr>
            <w:r>
              <w:rPr>
                <w:rFonts w:hint="eastAsia" w:ascii="Times New Roman" w:hAnsi="Times New Roman" w:cs="Times New Roman" w:eastAsiaTheme="minorEastAsia"/>
                <w:b/>
                <w:bCs/>
              </w:rPr>
              <w:t>合计</w:t>
            </w:r>
          </w:p>
        </w:tc>
        <w:tc>
          <w:tcPr>
            <w:tcW w:w="1657" w:type="dxa"/>
          </w:tcPr>
          <w:p>
            <w:pPr>
              <w:pStyle w:val="19"/>
              <w:spacing w:line="360" w:lineRule="auto"/>
              <w:jc w:val="right"/>
              <w:rPr>
                <w:rFonts w:ascii="Times New Roman" w:hAnsi="Times New Roman" w:cs="Times New Roman" w:eastAsiaTheme="minorEastAsia"/>
                <w:b/>
                <w:bCs/>
              </w:rPr>
            </w:pPr>
            <w:r>
              <w:rPr>
                <w:rFonts w:ascii="Times New Roman" w:hAnsi="Times New Roman" w:cs="Times New Roman" w:eastAsiaTheme="minorEastAsia"/>
                <w:b/>
                <w:bCs/>
              </w:rPr>
              <w:t>7,500</w:t>
            </w:r>
          </w:p>
        </w:tc>
        <w:tc>
          <w:tcPr>
            <w:tcW w:w="1481" w:type="dxa"/>
          </w:tcPr>
          <w:p>
            <w:pPr>
              <w:pStyle w:val="19"/>
              <w:spacing w:line="360" w:lineRule="auto"/>
              <w:jc w:val="right"/>
              <w:rPr>
                <w:rFonts w:ascii="Times New Roman" w:hAnsi="Times New Roman" w:cs="Times New Roman" w:eastAsiaTheme="minorEastAsia"/>
                <w:b/>
                <w:bCs/>
              </w:rPr>
            </w:pPr>
            <w:r>
              <w:rPr>
                <w:rFonts w:ascii="Times New Roman" w:hAnsi="Times New Roman" w:cs="Times New Roman" w:eastAsiaTheme="minorEastAsia"/>
                <w:b/>
                <w:bCs/>
              </w:rPr>
              <w:t>13.0434%</w:t>
            </w:r>
          </w:p>
        </w:tc>
      </w:tr>
    </w:tbl>
    <w:p>
      <w:pPr>
        <w:pStyle w:val="19"/>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同时公司</w:t>
      </w:r>
      <w:r>
        <w:rPr>
          <w:rFonts w:ascii="Times New Roman" w:hAnsi="Times New Roman" w:cs="Times New Roman"/>
        </w:rPr>
        <w:t>委托具有从事证券、期货业务资格的上海东洲资产评估有限公司以2020年10月31日作为估值基准日对上海芯钛股东全部权益价值进行了估值</w:t>
      </w:r>
      <w:r>
        <w:rPr>
          <w:rFonts w:hint="eastAsia" w:ascii="Times New Roman" w:hAnsi="Times New Roman" w:cs="Times New Roman"/>
        </w:rPr>
        <w:t>，</w:t>
      </w:r>
      <w:r>
        <w:rPr>
          <w:rFonts w:ascii="Times New Roman" w:hAnsi="Times New Roman" w:cs="Times New Roman"/>
        </w:rPr>
        <w:t>上海东洲资产评估有限公司出具了东洲报字【2020】第1898号《</w:t>
      </w:r>
      <w:r>
        <w:rPr>
          <w:rFonts w:hint="eastAsia" w:ascii="Times New Roman" w:hAnsi="Times New Roman" w:cs="Times New Roman"/>
        </w:rPr>
        <w:t>上海芯钛信息科技有限公司股东全部权益价值估值报告</w:t>
      </w:r>
      <w:r>
        <w:rPr>
          <w:rFonts w:ascii="Times New Roman" w:hAnsi="Times New Roman" w:cs="Times New Roman"/>
        </w:rPr>
        <w:t>》。</w:t>
      </w:r>
      <w:r>
        <w:rPr>
          <w:rFonts w:hint="eastAsia" w:ascii="Times New Roman" w:hAnsi="Times New Roman" w:cs="Times New Roman"/>
        </w:rPr>
        <w:t>估值结论为：“经估值，被估值单位的股东全部权益价值约为人民币50,480.00万元。大写：人民币伍亿零肆佰捌拾万元整。”估值结果与</w:t>
      </w:r>
      <w:r>
        <w:rPr>
          <w:color w:val="000000"/>
          <w:kern w:val="0"/>
          <w:sz w:val="24"/>
          <w:szCs w:val="24"/>
        </w:rPr>
        <w:t>投资前估值</w:t>
      </w:r>
      <w:r>
        <w:rPr>
          <w:rFonts w:hint="eastAsia"/>
          <w:color w:val="000000"/>
          <w:kern w:val="0"/>
          <w:sz w:val="24"/>
          <w:szCs w:val="24"/>
          <w:lang w:val="en-US" w:eastAsia="zh-CN"/>
        </w:rPr>
        <w:t>基本一致</w:t>
      </w:r>
      <w:r>
        <w:rPr>
          <w:rFonts w:hint="eastAsia" w:ascii="Times New Roman" w:hAnsi="Times New Roman" w:cs="Times New Roman"/>
        </w:rPr>
        <w:t>。</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协议其他主体的情况</w:t>
      </w:r>
    </w:p>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eastAsiaTheme="minorEastAsia"/>
        </w:rPr>
        <w:t>福沃德投資控股有限公司</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6"/>
        <w:gridCol w:w="6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0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648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福沃德投資控股有限公司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0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英文名称</w:t>
            </w:r>
          </w:p>
        </w:tc>
        <w:tc>
          <w:tcPr>
            <w:tcW w:w="648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Forward Investment Holding Limited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648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10,000 HKD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648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2020年3月9日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联系地址</w:t>
            </w:r>
          </w:p>
        </w:tc>
        <w:tc>
          <w:tcPr>
            <w:tcW w:w="6486" w:type="dxa"/>
          </w:tcPr>
          <w:p>
            <w:pPr>
              <w:pStyle w:val="19"/>
              <w:spacing w:line="360" w:lineRule="auto"/>
              <w:jc w:val="both"/>
              <w:rPr>
                <w:rFonts w:ascii="Times New Roman" w:hAnsi="Times New Roman" w:cs="Times New Roman" w:eastAsiaTheme="minorEastAsia"/>
              </w:rPr>
            </w:pPr>
            <w:r>
              <w:rPr>
                <w:rFonts w:ascii="Times New Roman" w:hAnsi="Times New Roman" w:cs="Times New Roman"/>
              </w:rPr>
              <w:t>Room 803, Lippo Sun Plaza, 28 Canton Road, Tsim Sha Tsui, Kowloon, Hong Kong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6486" w:type="dxa"/>
          </w:tcPr>
          <w:p>
            <w:pPr>
              <w:pStyle w:val="19"/>
              <w:spacing w:line="360" w:lineRule="auto"/>
              <w:jc w:val="both"/>
              <w:rPr>
                <w:rFonts w:ascii="Times New Roman" w:hAnsi="Times New Roman" w:cs="Times New Roman"/>
              </w:rPr>
            </w:pPr>
            <w:r>
              <w:rPr>
                <w:rFonts w:hint="eastAsia" w:ascii="Times New Roman" w:hAnsi="Times New Roman" w:cs="Times New Roman"/>
              </w:rPr>
              <w:t>汽车产业链上下游及汽车强相关新兴行业投资</w:t>
            </w:r>
          </w:p>
        </w:tc>
      </w:tr>
    </w:tbl>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eastAsiaTheme="minorEastAsia"/>
        </w:rPr>
        <w:t>嘉兴创荣股权投资合伙企业（有限合伙）</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1"/>
        <w:gridCol w:w="6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0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65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嘉兴创荣股权投资合伙企业（有限合伙）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65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执行事务合伙人</w:t>
            </w:r>
          </w:p>
        </w:tc>
        <w:tc>
          <w:tcPr>
            <w:tcW w:w="65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上海尚颀投资管理合伙企业（有限合伙）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65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8,000万元人民币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65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2021年6月18日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65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2021年6月18日至2031年6月17日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65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浙江省嘉兴市南湖区东栅街道南江路1856号基金小镇1号楼171室-67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651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股权投资及相关咨询服务。（除</w:t>
            </w:r>
            <w:r>
              <w:rPr>
                <w:rFonts w:ascii="Times New Roman" w:hAnsi="Times New Roman" w:cs="Times New Roman" w:eastAsiaTheme="minorEastAsia"/>
              </w:rPr>
              <w:t>依法须经批准的项目</w:t>
            </w:r>
            <w:r>
              <w:rPr>
                <w:rFonts w:hint="eastAsia" w:ascii="Times New Roman" w:hAnsi="Times New Roman" w:cs="Times New Roman" w:eastAsiaTheme="minorEastAsia"/>
              </w:rPr>
              <w:t>外，凭营业执照依法自主开展经营活动）</w:t>
            </w:r>
          </w:p>
        </w:tc>
      </w:tr>
    </w:tbl>
    <w:p>
      <w:pPr>
        <w:pStyle w:val="19"/>
        <w:numPr>
          <w:ilvl w:val="0"/>
          <w:numId w:val="12"/>
        </w:numPr>
        <w:spacing w:line="360" w:lineRule="auto"/>
        <w:ind w:left="420"/>
        <w:rPr>
          <w:rFonts w:ascii="Times New Roman" w:hAnsi="Times New Roman" w:cs="Times New Roman" w:eastAsiaTheme="minorEastAsia"/>
        </w:rPr>
      </w:pPr>
      <w:r>
        <w:rPr>
          <w:rFonts w:ascii="Times New Roman" w:hAnsi="Times New Roman" w:cs="Times New Roman" w:eastAsiaTheme="minorEastAsia"/>
        </w:rPr>
        <w:t>深圳市投控东海中小微创业投资企业（有限合伙）</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9"/>
        <w:gridCol w:w="6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019"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6503" w:type="dxa"/>
          </w:tcPr>
          <w:p>
            <w:pPr>
              <w:pStyle w:val="19"/>
              <w:spacing w:line="360" w:lineRule="auto"/>
              <w:jc w:val="both"/>
              <w:rPr>
                <w:rFonts w:ascii="Times New Roman" w:hAnsi="Times New Roman" w:cs="Times New Roman" w:eastAsiaTheme="minorEastAsia"/>
              </w:rPr>
            </w:pPr>
            <w:r>
              <w:rPr>
                <w:rFonts w:ascii="Times New Roman" w:hAnsi="Times New Roman" w:cs="Times New Roman" w:eastAsiaTheme="minorEastAsia"/>
              </w:rPr>
              <w:t>深圳市投控东海中小微创业投资企业（有限合伙）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6503"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有限合伙企业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执行事务合伙人</w:t>
            </w:r>
          </w:p>
        </w:tc>
        <w:tc>
          <w:tcPr>
            <w:tcW w:w="6503"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lang w:val="en-US" w:eastAsia="zh-CN"/>
              </w:rPr>
              <w:t>深圳</w:t>
            </w:r>
            <w:r>
              <w:rPr>
                <w:rFonts w:hint="eastAsia" w:ascii="Times New Roman" w:hAnsi="Times New Roman" w:cs="Times New Roman" w:eastAsiaTheme="minorEastAsia"/>
              </w:rPr>
              <w:t>市投控东海投资有限公司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6503"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105,050万元人民币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6503"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2018年11月8日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6503"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2018年11月8日至2026年2月28日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6503" w:type="dxa"/>
          </w:tcPr>
          <w:p>
            <w:pPr>
              <w:pStyle w:val="19"/>
              <w:spacing w:line="360" w:lineRule="auto"/>
              <w:jc w:val="both"/>
              <w:rPr>
                <w:rFonts w:ascii="Times New Roman" w:hAnsi="Times New Roman" w:cs="Times New Roman" w:eastAsiaTheme="minorEastAsia"/>
              </w:rPr>
            </w:pPr>
            <w:r>
              <w:rPr>
                <w:rFonts w:ascii="Times New Roman" w:hAnsi="Times New Roman" w:cs="Times New Roman" w:eastAsiaTheme="minorEastAsia"/>
              </w:rPr>
              <w:t>深圳市前海深港合作区前湾一路1号A栋201室</w:t>
            </w:r>
            <w:r>
              <w:rPr>
                <w:rFonts w:hint="eastAsia" w:ascii="Times New Roman" w:hAnsi="Times New Roman" w:cs="Times New Roman" w:eastAsiaTheme="minorEastAsia"/>
              </w:rPr>
              <w:t>（</w:t>
            </w:r>
            <w:r>
              <w:rPr>
                <w:rFonts w:ascii="Times New Roman" w:hAnsi="Times New Roman" w:cs="Times New Roman" w:eastAsiaTheme="minorEastAsia"/>
              </w:rPr>
              <w:t>入驻深圳市前海商务秘书有限公司</w:t>
            </w:r>
            <w:r>
              <w:rPr>
                <w:rFonts w:hint="eastAsia" w:ascii="Times New Roman" w:hAnsi="Times New Roman" w:cs="Times New Roman" w:eastAsiaTheme="minor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6503" w:type="dxa"/>
          </w:tcPr>
          <w:p>
            <w:pPr>
              <w:pStyle w:val="19"/>
              <w:spacing w:line="360" w:lineRule="auto"/>
              <w:jc w:val="both"/>
              <w:rPr>
                <w:rFonts w:ascii="Times New Roman" w:hAnsi="Times New Roman" w:cs="Times New Roman" w:eastAsiaTheme="minorEastAsia"/>
              </w:rPr>
            </w:pPr>
            <w:r>
              <w:rPr>
                <w:rFonts w:ascii="Times New Roman" w:hAnsi="Times New Roman" w:cs="Times New Roman" w:eastAsiaTheme="minorEastAsia"/>
              </w:rPr>
              <w:t>创业投资：创业投资业务；创业投资咨询业务；为创业企业提供创业管理服务业务。（依法须经批准的项目，经相关部门批准后方可开展经营活动）</w:t>
            </w:r>
          </w:p>
        </w:tc>
      </w:tr>
    </w:tbl>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rPr>
        <w:t>上海火山石二期创业投资合伙企业（有限合伙）</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7"/>
        <w:gridCol w:w="6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027"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649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rPr>
              <w:t>上海火山石二期创业投资合伙企业（有限合伙）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7"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649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有限合伙企业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7"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执行事务合伙人</w:t>
            </w:r>
          </w:p>
        </w:tc>
        <w:tc>
          <w:tcPr>
            <w:tcW w:w="6495" w:type="dxa"/>
          </w:tcPr>
          <w:p>
            <w:pPr>
              <w:pStyle w:val="19"/>
              <w:spacing w:line="360" w:lineRule="auto"/>
              <w:jc w:val="both"/>
              <w:rPr>
                <w:rFonts w:ascii="Times New Roman" w:hAnsi="Times New Roman" w:cs="Times New Roman" w:eastAsiaTheme="minorEastAsia"/>
              </w:rPr>
            </w:pPr>
            <w:r>
              <w:rPr>
                <w:rFonts w:ascii="Times New Roman" w:hAnsi="Times New Roman" w:cs="Times New Roman" w:eastAsiaTheme="minorEastAsia"/>
              </w:rPr>
              <w:t>上海炻力企业管理合伙企业（有限合伙）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7"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649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10,000万元人民币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7"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649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2021年2月4日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7"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649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2021年2月4日至2031年2月3日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7"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6495" w:type="dxa"/>
          </w:tcPr>
          <w:p>
            <w:pPr>
              <w:pStyle w:val="19"/>
              <w:spacing w:line="360" w:lineRule="auto"/>
              <w:jc w:val="both"/>
              <w:rPr>
                <w:rFonts w:ascii="Times New Roman" w:hAnsi="Times New Roman" w:cs="Times New Roman" w:eastAsiaTheme="minorEastAsia"/>
              </w:rPr>
            </w:pPr>
            <w:r>
              <w:rPr>
                <w:rFonts w:ascii="Times New Roman" w:hAnsi="Times New Roman" w:cs="Times New Roman" w:eastAsiaTheme="minorEastAsia"/>
              </w:rPr>
              <w:t>中国</w:t>
            </w:r>
            <w:r>
              <w:rPr>
                <w:rFonts w:hint="eastAsia" w:ascii="Times New Roman" w:hAnsi="Times New Roman" w:cs="Times New Roman" w:eastAsiaTheme="minorEastAsia"/>
              </w:rPr>
              <w:t>（</w:t>
            </w:r>
            <w:r>
              <w:rPr>
                <w:rFonts w:ascii="Times New Roman" w:hAnsi="Times New Roman" w:cs="Times New Roman" w:eastAsiaTheme="minorEastAsia"/>
              </w:rPr>
              <w:t>上海</w:t>
            </w:r>
            <w:r>
              <w:rPr>
                <w:rFonts w:hint="eastAsia" w:ascii="Times New Roman" w:hAnsi="Times New Roman" w:cs="Times New Roman" w:eastAsiaTheme="minorEastAsia"/>
              </w:rPr>
              <w:t>）</w:t>
            </w:r>
            <w:r>
              <w:rPr>
                <w:rFonts w:ascii="Times New Roman" w:hAnsi="Times New Roman" w:cs="Times New Roman" w:eastAsiaTheme="minorEastAsia"/>
              </w:rPr>
              <w:t>自由贸易试验区集创路200号、银冬路491号1幢109室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7"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6495" w:type="dxa"/>
          </w:tcPr>
          <w:p>
            <w:pPr>
              <w:pStyle w:val="19"/>
              <w:spacing w:line="360" w:lineRule="auto"/>
              <w:jc w:val="both"/>
              <w:rPr>
                <w:rFonts w:ascii="Times New Roman" w:hAnsi="Times New Roman" w:cs="Times New Roman" w:eastAsiaTheme="minorEastAsia"/>
              </w:rPr>
            </w:pPr>
            <w:r>
              <w:rPr>
                <w:rFonts w:ascii="Times New Roman" w:hAnsi="Times New Roman" w:cs="Times New Roman" w:eastAsiaTheme="minorEastAsia"/>
              </w:rPr>
              <w:t>创业投资，投资管理，投资咨询。（除依法须经批准的项目外，凭营业执照依法自主开展经营活动）</w:t>
            </w:r>
          </w:p>
        </w:tc>
      </w:tr>
    </w:tbl>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eastAsiaTheme="minorEastAsia"/>
        </w:rPr>
        <w:t>朱肇恺</w:t>
      </w:r>
    </w:p>
    <w:p>
      <w:pPr>
        <w:pStyle w:val="19"/>
        <w:numPr>
          <w:ilvl w:val="0"/>
          <w:numId w:val="13"/>
        </w:numPr>
        <w:spacing w:line="360" w:lineRule="auto"/>
        <w:ind w:firstLine="420" w:firstLineChars="175"/>
        <w:rPr>
          <w:rFonts w:ascii="Times New Roman" w:hAnsi="Times New Roman" w:cs="Times New Roman" w:eastAsiaTheme="minorEastAsia"/>
        </w:rPr>
      </w:pPr>
      <w:r>
        <w:rPr>
          <w:rFonts w:hint="eastAsia" w:ascii="Times New Roman" w:hAnsi="Times New Roman" w:cs="Times New Roman" w:eastAsiaTheme="minorEastAsia"/>
        </w:rPr>
        <w:t>基本情况：朱肇恺，男，中国国籍，常住于上海市静安区，2018年至今任上海九啸商务咨询中心总经理。</w:t>
      </w:r>
    </w:p>
    <w:p>
      <w:pPr>
        <w:pStyle w:val="19"/>
        <w:numPr>
          <w:ilvl w:val="0"/>
          <w:numId w:val="13"/>
        </w:numPr>
        <w:spacing w:line="360" w:lineRule="auto"/>
        <w:ind w:firstLine="420" w:firstLineChars="175"/>
        <w:rPr>
          <w:rFonts w:ascii="Times New Roman" w:hAnsi="Times New Roman" w:cs="Times New Roman" w:eastAsiaTheme="minorEastAsia"/>
        </w:rPr>
      </w:pPr>
      <w:r>
        <w:rPr>
          <w:rFonts w:hint="eastAsia" w:ascii="Times New Roman" w:hAnsi="Times New Roman" w:cs="Times New Roman" w:eastAsiaTheme="minorEastAsia"/>
        </w:rPr>
        <w:t>朱肇恺先生为上海九啸商务咨询中心（以下简称“上海九啸”）的实际控制人。上海九啸主要从事商务咨询，企业管理咨询，财务咨询，市场营销策划，企业形象策划，从事（网络、信息）科技专业领域内的技术开发、技术转让、技术咨询和技术服务，会务服务，展览展示服务，电子商务（不得从事增值信息、金融业务），日用百货、五金交电、电子产品、通讯设备、办公用品及设备、计算机软硬件的销售。截至2020年12月31日，上海九啸的总资产为83,844元，净资产73,761.79元，2020年实现营业收入414.24万元，净利润371.16万元，以上数据未经审计。</w:t>
      </w:r>
    </w:p>
    <w:p>
      <w:pPr>
        <w:pStyle w:val="19"/>
        <w:numPr>
          <w:ilvl w:val="0"/>
          <w:numId w:val="13"/>
        </w:numPr>
        <w:spacing w:line="360" w:lineRule="auto"/>
        <w:ind w:firstLine="420" w:firstLineChars="175"/>
        <w:rPr>
          <w:rFonts w:ascii="Times New Roman" w:hAnsi="Times New Roman" w:cs="Times New Roman" w:eastAsiaTheme="minorEastAsia"/>
        </w:rPr>
      </w:pPr>
      <w:r>
        <w:rPr>
          <w:rFonts w:hint="eastAsia" w:hAnsi="宋体"/>
        </w:rPr>
        <w:t>朱肇恺先生与公司之间不存在任何产权、业务、资产、债权债务、人员等方面的其它关系。</w:t>
      </w:r>
    </w:p>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eastAsiaTheme="minorEastAsia"/>
        </w:rPr>
        <w:t>林宗芳</w:t>
      </w:r>
    </w:p>
    <w:p>
      <w:pPr>
        <w:pStyle w:val="19"/>
        <w:numPr>
          <w:ilvl w:val="0"/>
          <w:numId w:val="14"/>
        </w:numPr>
        <w:spacing w:line="360" w:lineRule="auto"/>
        <w:ind w:firstLine="420" w:firstLineChars="175"/>
        <w:rPr>
          <w:rFonts w:ascii="Times New Roman" w:hAnsi="Times New Roman" w:cs="Times New Roman" w:eastAsiaTheme="minorEastAsia"/>
        </w:rPr>
      </w:pPr>
      <w:r>
        <w:rPr>
          <w:rFonts w:hint="eastAsia" w:ascii="Times New Roman" w:hAnsi="Times New Roman" w:cs="Times New Roman" w:eastAsiaTheme="minorEastAsia"/>
        </w:rPr>
        <w:t>基本情况：林宗芳，男，中国国籍，常住于上海市闵行区，2018年至今任上海芯钛信息科技有限公司研发总监。</w:t>
      </w:r>
    </w:p>
    <w:p>
      <w:pPr>
        <w:pStyle w:val="19"/>
        <w:numPr>
          <w:ilvl w:val="0"/>
          <w:numId w:val="14"/>
        </w:numPr>
        <w:spacing w:line="360" w:lineRule="auto"/>
        <w:ind w:firstLine="420" w:firstLineChars="175"/>
        <w:rPr>
          <w:rFonts w:ascii="Times New Roman" w:hAnsi="Times New Roman" w:cs="Times New Roman" w:eastAsiaTheme="minorEastAsia"/>
        </w:rPr>
      </w:pPr>
      <w:r>
        <w:rPr>
          <w:rFonts w:hint="eastAsia" w:hAnsi="宋体"/>
        </w:rPr>
        <w:t>林宗芳先生与公司之间不存在任何产权、业务、资产、债权债务、人员等方面的其它关系。</w:t>
      </w:r>
    </w:p>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eastAsiaTheme="minorEastAsia"/>
        </w:rPr>
        <w:t>冯华</w:t>
      </w:r>
    </w:p>
    <w:p>
      <w:pPr>
        <w:pStyle w:val="19"/>
        <w:numPr>
          <w:ilvl w:val="0"/>
          <w:numId w:val="15"/>
        </w:numPr>
        <w:spacing w:line="360" w:lineRule="auto"/>
        <w:ind w:firstLine="420" w:firstLineChars="175"/>
        <w:rPr>
          <w:rFonts w:ascii="Times New Roman" w:hAnsi="Times New Roman" w:cs="Times New Roman" w:eastAsiaTheme="minorEastAsia"/>
        </w:rPr>
      </w:pPr>
      <w:r>
        <w:rPr>
          <w:rFonts w:hint="eastAsia" w:ascii="Times New Roman" w:hAnsi="Times New Roman" w:cs="Times New Roman" w:eastAsiaTheme="minorEastAsia"/>
        </w:rPr>
        <w:t>基本情况：冯华，男，中国国籍，常住于湖南省长沙市开福区，2018年至今任上海芯钛信息科技有限公司SOC中心总经理。</w:t>
      </w:r>
    </w:p>
    <w:p>
      <w:pPr>
        <w:pStyle w:val="19"/>
        <w:numPr>
          <w:ilvl w:val="0"/>
          <w:numId w:val="15"/>
        </w:numPr>
        <w:spacing w:line="360" w:lineRule="auto"/>
        <w:ind w:firstLine="420" w:firstLineChars="175"/>
        <w:rPr>
          <w:rFonts w:ascii="Times New Roman" w:hAnsi="Times New Roman" w:cs="Times New Roman" w:eastAsiaTheme="minorEastAsia"/>
        </w:rPr>
      </w:pPr>
      <w:r>
        <w:rPr>
          <w:rFonts w:hint="eastAsia" w:hAnsi="宋体"/>
        </w:rPr>
        <w:t>冯华先生与公司之间不存在任何产权、业务、资产、债权债务、人员等方面的其它关系。</w:t>
      </w:r>
    </w:p>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eastAsiaTheme="minorEastAsia"/>
        </w:rPr>
        <w:t>刘功哲</w:t>
      </w:r>
    </w:p>
    <w:p>
      <w:pPr>
        <w:pStyle w:val="19"/>
        <w:numPr>
          <w:ilvl w:val="0"/>
          <w:numId w:val="16"/>
        </w:numPr>
        <w:spacing w:line="360" w:lineRule="auto"/>
        <w:ind w:left="0" w:firstLine="480" w:firstLineChars="200"/>
        <w:rPr>
          <w:rFonts w:ascii="Times New Roman" w:hAnsi="Times New Roman" w:cs="Times New Roman" w:eastAsiaTheme="minorEastAsia"/>
        </w:rPr>
      </w:pPr>
      <w:r>
        <w:rPr>
          <w:rFonts w:hint="eastAsia" w:ascii="Times New Roman" w:hAnsi="Times New Roman" w:cs="Times New Roman" w:eastAsiaTheme="minorEastAsia"/>
        </w:rPr>
        <w:t>基本情况：刘功哲，男，中国国籍，常住于上海市普陀区，2018年至今任上海芯钛信息科技有限公司总经理。</w:t>
      </w:r>
    </w:p>
    <w:p>
      <w:pPr>
        <w:pStyle w:val="19"/>
        <w:numPr>
          <w:ilvl w:val="0"/>
          <w:numId w:val="16"/>
        </w:numPr>
        <w:spacing w:line="360" w:lineRule="auto"/>
        <w:ind w:left="0" w:firstLine="480" w:firstLineChars="200"/>
        <w:rPr>
          <w:rFonts w:ascii="Times New Roman" w:hAnsi="Times New Roman" w:cs="Times New Roman" w:eastAsiaTheme="minorEastAsia"/>
        </w:rPr>
      </w:pPr>
      <w:r>
        <w:rPr>
          <w:rFonts w:hint="eastAsia" w:ascii="Times New Roman" w:hAnsi="Times New Roman" w:cs="Times New Roman" w:eastAsiaTheme="minorEastAsia"/>
        </w:rPr>
        <w:t>刘功哲先生为上海盈芯企业管理咨询中心（有限合伙）（以下简称“上海盈芯”）的执行事务合伙人。上海盈芯主要从事企业管理咨询，商务信息咨询，财务咨询，电子商务（不得从事增值信息、金融业务），市场营销策划，企业形象策划。截至2020年12月31日，上海盈芯的总资产为1,369.69元，净资产-1630.31元，2020年实现营业收入0元，净利润-1,363.11元，以上数据未经审计。</w:t>
      </w:r>
    </w:p>
    <w:p>
      <w:pPr>
        <w:pStyle w:val="19"/>
        <w:numPr>
          <w:ilvl w:val="0"/>
          <w:numId w:val="16"/>
        </w:numPr>
        <w:spacing w:line="360" w:lineRule="auto"/>
        <w:ind w:left="0" w:firstLine="480" w:firstLineChars="200"/>
        <w:rPr>
          <w:rFonts w:ascii="Times New Roman" w:hAnsi="Times New Roman" w:cs="Times New Roman" w:eastAsiaTheme="minorEastAsia"/>
        </w:rPr>
      </w:pPr>
      <w:r>
        <w:rPr>
          <w:rFonts w:hint="eastAsia" w:hAnsi="宋体"/>
        </w:rPr>
        <w:t>刘功哲先生与公司之间不存在任何产权、业务、资产、债权债务、人员等方面的其它关系。</w:t>
      </w:r>
    </w:p>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eastAsiaTheme="minorEastAsia"/>
        </w:rPr>
        <w:t>徐骏捷</w:t>
      </w:r>
    </w:p>
    <w:p>
      <w:pPr>
        <w:pStyle w:val="19"/>
        <w:numPr>
          <w:ilvl w:val="0"/>
          <w:numId w:val="17"/>
        </w:numPr>
        <w:spacing w:line="360" w:lineRule="auto"/>
        <w:ind w:left="0" w:firstLine="480" w:firstLineChars="200"/>
        <w:rPr>
          <w:rFonts w:ascii="Times New Roman" w:hAnsi="Times New Roman" w:cs="Times New Roman" w:eastAsiaTheme="minorEastAsia"/>
        </w:rPr>
      </w:pPr>
      <w:r>
        <w:rPr>
          <w:rFonts w:hint="eastAsia" w:ascii="Times New Roman" w:hAnsi="Times New Roman" w:cs="Times New Roman" w:eastAsiaTheme="minorEastAsia"/>
        </w:rPr>
        <w:t>基本情况：徐骏捷，男，中国国籍，常住于上海市杨浦区，2018年至今任上海芯钛信息科技有限公司监事、副总经理，运营管理部市场销售部负责人。</w:t>
      </w:r>
    </w:p>
    <w:p>
      <w:pPr>
        <w:pStyle w:val="19"/>
        <w:numPr>
          <w:ilvl w:val="0"/>
          <w:numId w:val="17"/>
        </w:numPr>
        <w:spacing w:line="360" w:lineRule="auto"/>
        <w:ind w:left="0" w:firstLine="480" w:firstLineChars="200"/>
        <w:rPr>
          <w:rFonts w:ascii="Times New Roman" w:hAnsi="Times New Roman" w:cs="Times New Roman" w:eastAsiaTheme="minorEastAsia"/>
        </w:rPr>
      </w:pPr>
      <w:r>
        <w:rPr>
          <w:rFonts w:hint="eastAsia" w:hAnsi="宋体"/>
        </w:rPr>
        <w:t>徐骏捷先生与公司之间不存在任何产权、业务、资产、债权债务、人员等方面的其它关系。</w:t>
      </w:r>
    </w:p>
    <w:p>
      <w:pPr>
        <w:pStyle w:val="19"/>
        <w:numPr>
          <w:ilvl w:val="0"/>
          <w:numId w:val="12"/>
        </w:numPr>
        <w:spacing w:line="360" w:lineRule="auto"/>
        <w:ind w:left="420"/>
        <w:rPr>
          <w:rFonts w:ascii="Times New Roman" w:hAnsi="Times New Roman" w:cs="Times New Roman" w:eastAsiaTheme="minorEastAsia"/>
        </w:rPr>
      </w:pPr>
      <w:r>
        <w:rPr>
          <w:rFonts w:hint="eastAsia" w:ascii="Times New Roman" w:hAnsi="Times New Roman" w:cs="Times New Roman" w:eastAsiaTheme="minorEastAsia"/>
        </w:rPr>
        <w:t>李澜涛</w:t>
      </w:r>
    </w:p>
    <w:p>
      <w:pPr>
        <w:pStyle w:val="19"/>
        <w:numPr>
          <w:ilvl w:val="0"/>
          <w:numId w:val="18"/>
        </w:numPr>
        <w:spacing w:line="360" w:lineRule="auto"/>
        <w:ind w:left="0" w:firstLine="480" w:firstLineChars="200"/>
        <w:rPr>
          <w:rFonts w:ascii="Times New Roman" w:hAnsi="Times New Roman" w:cs="Times New Roman" w:eastAsiaTheme="minorEastAsia"/>
        </w:rPr>
      </w:pPr>
      <w:r>
        <w:rPr>
          <w:rFonts w:hint="eastAsia" w:ascii="Times New Roman" w:hAnsi="Times New Roman" w:cs="Times New Roman" w:eastAsiaTheme="minorEastAsia"/>
        </w:rPr>
        <w:t>基本情况：李澜涛，男，中国国籍，常住于上海市长宁区，2018年至今任上海芯钛信息科技有限公司副总经理，产品业务部负责人。</w:t>
      </w:r>
    </w:p>
    <w:p>
      <w:pPr>
        <w:pStyle w:val="19"/>
        <w:numPr>
          <w:ilvl w:val="0"/>
          <w:numId w:val="18"/>
        </w:numPr>
        <w:spacing w:line="360" w:lineRule="auto"/>
        <w:ind w:left="0" w:firstLine="480" w:firstLineChars="200"/>
        <w:rPr>
          <w:rFonts w:ascii="Times New Roman" w:hAnsi="Times New Roman" w:cs="Times New Roman" w:eastAsiaTheme="minorEastAsia"/>
        </w:rPr>
      </w:pPr>
      <w:r>
        <w:rPr>
          <w:rFonts w:hint="eastAsia" w:hAnsi="宋体"/>
        </w:rPr>
        <w:t>李澜涛先生与公司之间不存在任何产权、业务、资产、债权债务、人员等方面的其它关系。</w:t>
      </w:r>
    </w:p>
    <w:p>
      <w:pPr>
        <w:pStyle w:val="19"/>
        <w:spacing w:line="360" w:lineRule="auto"/>
        <w:rPr>
          <w:rFonts w:ascii="Times New Roman" w:hAnsi="Times New Roman" w:cs="Times New Roman" w:eastAsiaTheme="minorEastAsia"/>
        </w:rPr>
      </w:pPr>
    </w:p>
    <w:p>
      <w:pPr>
        <w:pStyle w:val="19"/>
        <w:numPr>
          <w:ilvl w:val="0"/>
          <w:numId w:val="2"/>
        </w:numPr>
        <w:spacing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关联交易的主要内容和履约安排</w:t>
      </w:r>
    </w:p>
    <w:p>
      <w:pPr>
        <w:pStyle w:val="19"/>
        <w:numPr>
          <w:ilvl w:val="0"/>
          <w:numId w:val="19"/>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关联交易合同的主要条款</w:t>
      </w:r>
    </w:p>
    <w:p>
      <w:pPr>
        <w:pStyle w:val="19"/>
        <w:spacing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《上海芯钛信息科技有限公司增资协议》（以下简称“增资协议”）</w:t>
      </w:r>
    </w:p>
    <w:p>
      <w:pPr>
        <w:pStyle w:val="9"/>
        <w:widowControl/>
        <w:spacing w:line="360" w:lineRule="auto"/>
        <w:rPr>
          <w:rFonts w:hint="default" w:ascii="Times New Roman" w:hAnsi="Times New Roman"/>
          <w:color w:val="000000"/>
          <w:lang w:eastAsia="zh-TW"/>
        </w:rPr>
      </w:pPr>
      <w:r>
        <w:rPr>
          <w:rFonts w:hint="default" w:ascii="Times New Roman" w:hAnsi="Times New Roman"/>
          <w:b/>
          <w:color w:val="000000"/>
        </w:rPr>
        <w:t>甲方</w:t>
      </w:r>
      <w:r>
        <w:rPr>
          <w:rFonts w:hint="default" w:ascii="Times New Roman" w:hAnsi="Times New Roman"/>
          <w:color w:val="000000"/>
        </w:rPr>
        <w:t>：</w:t>
      </w:r>
      <w:r>
        <w:rPr>
          <w:rFonts w:hint="default" w:ascii="Times New Roman" w:hAnsi="Times New Roman"/>
          <w:color w:val="000000"/>
          <w:lang w:eastAsia="zh-TW"/>
        </w:rPr>
        <w:t>福沃德投資控股有限公司</w:t>
      </w:r>
    </w:p>
    <w:p>
      <w:pPr>
        <w:widowControl/>
        <w:spacing w:line="360" w:lineRule="auto"/>
        <w:jc w:val="left"/>
        <w:rPr>
          <w:color w:val="000000"/>
          <w:kern w:val="0"/>
          <w:sz w:val="24"/>
          <w:szCs w:val="24"/>
        </w:rPr>
      </w:pPr>
      <w:r>
        <w:rPr>
          <w:b/>
          <w:color w:val="000000"/>
          <w:kern w:val="0"/>
          <w:sz w:val="24"/>
          <w:szCs w:val="24"/>
        </w:rPr>
        <w:t>乙方</w:t>
      </w:r>
      <w:r>
        <w:rPr>
          <w:color w:val="000000"/>
          <w:kern w:val="0"/>
          <w:sz w:val="24"/>
          <w:szCs w:val="24"/>
        </w:rPr>
        <w:t>：</w:t>
      </w:r>
      <w:r>
        <w:rPr>
          <w:rFonts w:hint="eastAsia"/>
          <w:color w:val="000000"/>
          <w:kern w:val="0"/>
          <w:sz w:val="24"/>
          <w:szCs w:val="24"/>
        </w:rPr>
        <w:t>嘉兴创荣股权投资合伙企业（有限合伙）</w:t>
      </w:r>
    </w:p>
    <w:p>
      <w:pPr>
        <w:widowControl/>
        <w:spacing w:line="360" w:lineRule="auto"/>
        <w:jc w:val="left"/>
        <w:rPr>
          <w:color w:val="000000"/>
          <w:kern w:val="0"/>
          <w:sz w:val="24"/>
          <w:szCs w:val="24"/>
          <w:highlight w:val="yellow"/>
        </w:rPr>
      </w:pPr>
      <w:r>
        <w:rPr>
          <w:rFonts w:hint="eastAsia"/>
          <w:color w:val="000000"/>
          <w:kern w:val="0"/>
          <w:sz w:val="24"/>
          <w:szCs w:val="24"/>
        </w:rPr>
        <w:t>执行事务合伙人委派代表：冯戟</w:t>
      </w:r>
    </w:p>
    <w:p>
      <w:pPr>
        <w:widowControl/>
        <w:spacing w:line="360" w:lineRule="auto"/>
        <w:jc w:val="left"/>
        <w:rPr>
          <w:color w:val="000000"/>
          <w:kern w:val="0"/>
          <w:sz w:val="24"/>
          <w:szCs w:val="24"/>
        </w:rPr>
      </w:pPr>
      <w:r>
        <w:rPr>
          <w:b/>
          <w:color w:val="000000"/>
          <w:kern w:val="0"/>
          <w:sz w:val="24"/>
          <w:szCs w:val="24"/>
        </w:rPr>
        <w:t>丙方</w:t>
      </w:r>
      <w:r>
        <w:rPr>
          <w:color w:val="000000"/>
          <w:kern w:val="0"/>
          <w:sz w:val="24"/>
          <w:szCs w:val="24"/>
        </w:rPr>
        <w:t>：深圳市投控东海中小微创业投资企业（有限合伙）</w:t>
      </w:r>
    </w:p>
    <w:p>
      <w:pPr>
        <w:widowControl/>
        <w:spacing w:line="360" w:lineRule="auto"/>
        <w:jc w:val="left"/>
        <w:rPr>
          <w:color w:val="000000"/>
          <w:kern w:val="0"/>
          <w:sz w:val="24"/>
          <w:szCs w:val="24"/>
          <w:highlight w:val="yellow"/>
        </w:rPr>
      </w:pPr>
      <w:r>
        <w:rPr>
          <w:rFonts w:hint="eastAsia"/>
          <w:color w:val="000000"/>
          <w:kern w:val="0"/>
          <w:sz w:val="24"/>
          <w:szCs w:val="24"/>
        </w:rPr>
        <w:t>执行事务合伙人委派代表：蒋露洲</w:t>
      </w:r>
    </w:p>
    <w:p>
      <w:pPr>
        <w:widowControl/>
        <w:spacing w:line="360" w:lineRule="auto"/>
        <w:jc w:val="left"/>
        <w:rPr>
          <w:color w:val="000000"/>
          <w:kern w:val="0"/>
          <w:sz w:val="24"/>
          <w:szCs w:val="24"/>
        </w:rPr>
      </w:pPr>
      <w:r>
        <w:rPr>
          <w:b/>
          <w:color w:val="000000"/>
          <w:kern w:val="0"/>
          <w:sz w:val="24"/>
          <w:szCs w:val="24"/>
        </w:rPr>
        <w:t>丁方</w:t>
      </w:r>
      <w:r>
        <w:rPr>
          <w:color w:val="000000"/>
          <w:kern w:val="0"/>
          <w:sz w:val="24"/>
          <w:szCs w:val="24"/>
        </w:rPr>
        <w:t>：</w:t>
      </w:r>
      <w:r>
        <w:rPr>
          <w:color w:val="000000"/>
          <w:sz w:val="24"/>
          <w:szCs w:val="24"/>
        </w:rPr>
        <w:t>格尔软件股份有限公司</w:t>
      </w:r>
    </w:p>
    <w:p>
      <w:pPr>
        <w:widowControl/>
        <w:spacing w:line="360" w:lineRule="auto"/>
        <w:jc w:val="left"/>
        <w:rPr>
          <w:color w:val="000000"/>
          <w:kern w:val="0"/>
          <w:sz w:val="24"/>
          <w:szCs w:val="24"/>
        </w:rPr>
      </w:pPr>
      <w:r>
        <w:rPr>
          <w:color w:val="000000"/>
          <w:kern w:val="0"/>
          <w:sz w:val="24"/>
          <w:szCs w:val="24"/>
        </w:rPr>
        <w:t>法定代表人：孔令钢</w:t>
      </w:r>
    </w:p>
    <w:p>
      <w:pPr>
        <w:widowControl/>
        <w:spacing w:line="360" w:lineRule="auto"/>
        <w:jc w:val="left"/>
        <w:rPr>
          <w:color w:val="000000"/>
          <w:kern w:val="0"/>
          <w:sz w:val="24"/>
          <w:szCs w:val="24"/>
        </w:rPr>
      </w:pPr>
      <w:r>
        <w:rPr>
          <w:rFonts w:hint="eastAsia"/>
          <w:b/>
          <w:color w:val="000000"/>
          <w:kern w:val="0"/>
          <w:sz w:val="24"/>
          <w:szCs w:val="24"/>
        </w:rPr>
        <w:t>辛方</w:t>
      </w:r>
      <w:r>
        <w:rPr>
          <w:rFonts w:hint="eastAsia"/>
          <w:color w:val="000000"/>
          <w:kern w:val="0"/>
          <w:sz w:val="24"/>
          <w:szCs w:val="24"/>
        </w:rPr>
        <w:t>：上海火山石二期创业投资合伙企业（有限合伙）</w:t>
      </w:r>
    </w:p>
    <w:p>
      <w:pPr>
        <w:widowControl/>
        <w:spacing w:line="360" w:lineRule="auto"/>
        <w:jc w:val="left"/>
        <w:rPr>
          <w:color w:val="000000"/>
          <w:kern w:val="0"/>
          <w:sz w:val="24"/>
          <w:szCs w:val="24"/>
        </w:rPr>
      </w:pPr>
      <w:r>
        <w:rPr>
          <w:rFonts w:hint="eastAsia"/>
          <w:color w:val="000000"/>
          <w:kern w:val="0"/>
          <w:sz w:val="24"/>
          <w:szCs w:val="24"/>
        </w:rPr>
        <w:t>法定代表人：章苏阳</w:t>
      </w:r>
    </w:p>
    <w:p>
      <w:pPr>
        <w:widowControl/>
        <w:spacing w:line="360" w:lineRule="auto"/>
        <w:jc w:val="left"/>
        <w:rPr>
          <w:color w:val="000000"/>
          <w:kern w:val="0"/>
          <w:sz w:val="24"/>
          <w:szCs w:val="24"/>
        </w:rPr>
      </w:pPr>
      <w:r>
        <w:rPr>
          <w:b/>
          <w:color w:val="000000"/>
          <w:kern w:val="0"/>
          <w:sz w:val="24"/>
          <w:szCs w:val="24"/>
        </w:rPr>
        <w:t>戊方</w:t>
      </w:r>
      <w:r>
        <w:rPr>
          <w:color w:val="000000"/>
          <w:kern w:val="0"/>
          <w:sz w:val="24"/>
          <w:szCs w:val="24"/>
        </w:rPr>
        <w:t>：上海芯钛信息科技有限公司</w:t>
      </w:r>
    </w:p>
    <w:p>
      <w:pPr>
        <w:widowControl/>
        <w:spacing w:line="360" w:lineRule="auto"/>
        <w:jc w:val="left"/>
        <w:rPr>
          <w:color w:val="000000"/>
          <w:kern w:val="0"/>
          <w:sz w:val="24"/>
          <w:szCs w:val="24"/>
        </w:rPr>
      </w:pPr>
      <w:r>
        <w:rPr>
          <w:color w:val="000000"/>
          <w:kern w:val="0"/>
          <w:sz w:val="24"/>
          <w:szCs w:val="24"/>
        </w:rPr>
        <w:t>法定代表人：刘功哲</w:t>
      </w:r>
    </w:p>
    <w:p>
      <w:pPr>
        <w:widowControl/>
        <w:spacing w:line="360" w:lineRule="auto"/>
        <w:jc w:val="left"/>
        <w:rPr>
          <w:color w:val="000000"/>
          <w:kern w:val="0"/>
          <w:sz w:val="24"/>
          <w:szCs w:val="24"/>
        </w:rPr>
      </w:pPr>
      <w:r>
        <w:rPr>
          <w:b/>
          <w:color w:val="000000"/>
          <w:kern w:val="0"/>
          <w:sz w:val="24"/>
          <w:szCs w:val="24"/>
        </w:rPr>
        <w:t>己方</w:t>
      </w:r>
      <w:r>
        <w:rPr>
          <w:color w:val="000000"/>
          <w:kern w:val="0"/>
          <w:sz w:val="24"/>
          <w:szCs w:val="24"/>
        </w:rPr>
        <w:t>：孔旻</w:t>
      </w:r>
    </w:p>
    <w:p>
      <w:pPr>
        <w:widowControl/>
        <w:spacing w:line="360" w:lineRule="auto"/>
        <w:jc w:val="left"/>
        <w:rPr>
          <w:b/>
          <w:color w:val="000000"/>
          <w:kern w:val="0"/>
          <w:sz w:val="24"/>
          <w:szCs w:val="24"/>
        </w:rPr>
      </w:pPr>
      <w:r>
        <w:rPr>
          <w:b/>
          <w:color w:val="000000"/>
          <w:kern w:val="0"/>
          <w:sz w:val="24"/>
          <w:szCs w:val="24"/>
        </w:rPr>
        <w:t>庚方：</w:t>
      </w:r>
    </w:p>
    <w:p>
      <w:pPr>
        <w:widowControl/>
        <w:spacing w:line="360" w:lineRule="auto"/>
        <w:jc w:val="left"/>
        <w:rPr>
          <w:color w:val="000000"/>
          <w:kern w:val="0"/>
          <w:sz w:val="24"/>
          <w:szCs w:val="24"/>
        </w:rPr>
      </w:pPr>
      <w:r>
        <w:rPr>
          <w:color w:val="000000"/>
          <w:kern w:val="0"/>
          <w:sz w:val="24"/>
          <w:szCs w:val="24"/>
        </w:rPr>
        <w:t>刘功哲</w:t>
      </w:r>
      <w:r>
        <w:rPr>
          <w:rFonts w:hint="eastAsia"/>
          <w:color w:val="000000"/>
          <w:kern w:val="0"/>
          <w:sz w:val="24"/>
          <w:szCs w:val="24"/>
        </w:rPr>
        <w:t>；</w:t>
      </w:r>
      <w:r>
        <w:rPr>
          <w:color w:val="000000"/>
          <w:kern w:val="0"/>
          <w:sz w:val="24"/>
          <w:szCs w:val="24"/>
        </w:rPr>
        <w:t>朱肇恺</w:t>
      </w:r>
      <w:r>
        <w:rPr>
          <w:rFonts w:hint="eastAsia"/>
          <w:color w:val="000000"/>
          <w:kern w:val="0"/>
          <w:sz w:val="24"/>
          <w:szCs w:val="24"/>
        </w:rPr>
        <w:t>；</w:t>
      </w:r>
      <w:r>
        <w:rPr>
          <w:color w:val="000000"/>
          <w:kern w:val="0"/>
          <w:sz w:val="24"/>
          <w:szCs w:val="24"/>
        </w:rPr>
        <w:t>上海芯胜企业管理咨询中心（有限合伙）</w:t>
      </w:r>
      <w:r>
        <w:rPr>
          <w:rFonts w:hint="eastAsia"/>
          <w:color w:val="000000"/>
          <w:kern w:val="0"/>
          <w:sz w:val="24"/>
          <w:szCs w:val="24"/>
        </w:rPr>
        <w:t>；</w:t>
      </w:r>
      <w:r>
        <w:rPr>
          <w:color w:val="000000"/>
          <w:kern w:val="0"/>
          <w:sz w:val="24"/>
          <w:szCs w:val="24"/>
        </w:rPr>
        <w:t>李澜涛</w:t>
      </w:r>
      <w:r>
        <w:rPr>
          <w:rFonts w:hint="eastAsia"/>
          <w:color w:val="000000"/>
          <w:kern w:val="0"/>
          <w:sz w:val="24"/>
          <w:szCs w:val="24"/>
        </w:rPr>
        <w:t>；</w:t>
      </w:r>
      <w:r>
        <w:rPr>
          <w:color w:val="000000"/>
          <w:kern w:val="0"/>
          <w:sz w:val="24"/>
          <w:szCs w:val="24"/>
        </w:rPr>
        <w:t>陈宁生</w:t>
      </w:r>
      <w:r>
        <w:rPr>
          <w:rFonts w:hint="eastAsia"/>
          <w:color w:val="000000"/>
          <w:kern w:val="0"/>
          <w:sz w:val="24"/>
          <w:szCs w:val="24"/>
        </w:rPr>
        <w:t>；</w:t>
      </w:r>
      <w:r>
        <w:rPr>
          <w:color w:val="000000"/>
          <w:kern w:val="0"/>
          <w:sz w:val="24"/>
          <w:szCs w:val="24"/>
        </w:rPr>
        <w:t>林宗芳</w:t>
      </w:r>
      <w:r>
        <w:rPr>
          <w:rFonts w:hint="eastAsia"/>
          <w:color w:val="000000"/>
          <w:kern w:val="0"/>
          <w:sz w:val="24"/>
          <w:szCs w:val="24"/>
        </w:rPr>
        <w:t>；</w:t>
      </w:r>
      <w:r>
        <w:rPr>
          <w:color w:val="000000"/>
          <w:kern w:val="0"/>
          <w:sz w:val="24"/>
          <w:szCs w:val="24"/>
        </w:rPr>
        <w:t>徐骏捷</w:t>
      </w:r>
      <w:r>
        <w:rPr>
          <w:rFonts w:hint="eastAsia"/>
          <w:color w:val="000000"/>
          <w:kern w:val="0"/>
          <w:sz w:val="24"/>
          <w:szCs w:val="24"/>
        </w:rPr>
        <w:t>；</w:t>
      </w:r>
      <w:r>
        <w:rPr>
          <w:color w:val="000000"/>
          <w:kern w:val="0"/>
          <w:sz w:val="24"/>
          <w:szCs w:val="24"/>
        </w:rPr>
        <w:t>冯华</w:t>
      </w:r>
    </w:p>
    <w:p>
      <w:pPr>
        <w:widowControl/>
        <w:spacing w:line="360" w:lineRule="auto"/>
        <w:ind w:firstLine="480" w:firstLineChars="200"/>
        <w:rPr>
          <w:color w:val="000000"/>
          <w:kern w:val="0"/>
          <w:sz w:val="24"/>
          <w:szCs w:val="24"/>
        </w:rPr>
      </w:pPr>
      <w:r>
        <w:rPr>
          <w:color w:val="000000"/>
          <w:kern w:val="0"/>
          <w:sz w:val="24"/>
          <w:szCs w:val="24"/>
        </w:rPr>
        <w:t>甲方将指定其关联方在中国境内拟设立的私募股权投资基金</w:t>
      </w:r>
      <w:r>
        <w:rPr>
          <w:rFonts w:hint="eastAsia"/>
          <w:color w:val="000000"/>
          <w:kern w:val="0"/>
          <w:sz w:val="24"/>
          <w:szCs w:val="24"/>
        </w:rPr>
        <w:t>或经戊方书面同意的其他第三方</w:t>
      </w:r>
      <w:r>
        <w:rPr>
          <w:color w:val="000000"/>
          <w:kern w:val="0"/>
          <w:sz w:val="24"/>
          <w:szCs w:val="24"/>
        </w:rPr>
        <w:t>作为本次投资的投资方。</w:t>
      </w:r>
    </w:p>
    <w:p>
      <w:pPr>
        <w:widowControl/>
        <w:numPr>
          <w:ilvl w:val="0"/>
          <w:numId w:val="20"/>
        </w:numPr>
        <w:spacing w:line="360" w:lineRule="auto"/>
        <w:ind w:firstLine="0"/>
        <w:outlineLvl w:val="0"/>
        <w:rPr>
          <w:b/>
          <w:bCs/>
          <w:color w:val="000000"/>
          <w:kern w:val="0"/>
          <w:sz w:val="24"/>
          <w:szCs w:val="24"/>
        </w:rPr>
      </w:pPr>
      <w:r>
        <w:rPr>
          <w:b/>
          <w:bCs/>
          <w:color w:val="000000"/>
          <w:kern w:val="0"/>
          <w:sz w:val="24"/>
          <w:szCs w:val="24"/>
        </w:rPr>
        <w:t>本次投资</w:t>
      </w:r>
    </w:p>
    <w:p>
      <w:pPr>
        <w:widowControl/>
        <w:numPr>
          <w:ilvl w:val="0"/>
          <w:numId w:val="21"/>
        </w:numPr>
        <w:spacing w:line="360" w:lineRule="auto"/>
        <w:ind w:left="420" w:hanging="420"/>
        <w:jc w:val="left"/>
        <w:outlineLvl w:val="0"/>
        <w:rPr>
          <w:color w:val="000000"/>
          <w:kern w:val="0"/>
          <w:sz w:val="24"/>
          <w:szCs w:val="24"/>
        </w:rPr>
      </w:pPr>
      <w:r>
        <w:rPr>
          <w:color w:val="000000"/>
          <w:kern w:val="0"/>
          <w:sz w:val="24"/>
          <w:szCs w:val="24"/>
        </w:rPr>
        <w:t>本次投资安排</w:t>
      </w:r>
    </w:p>
    <w:p>
      <w:pPr>
        <w:widowControl/>
        <w:spacing w:line="360" w:lineRule="auto"/>
        <w:jc w:val="left"/>
        <w:outlineLvl w:val="0"/>
        <w:rPr>
          <w:color w:val="000000"/>
          <w:kern w:val="0"/>
          <w:sz w:val="24"/>
          <w:szCs w:val="24"/>
        </w:rPr>
      </w:pPr>
      <w:r>
        <w:rPr>
          <w:color w:val="000000"/>
          <w:kern w:val="0"/>
          <w:sz w:val="24"/>
          <w:szCs w:val="24"/>
        </w:rPr>
        <w:t>1.1</w:t>
      </w:r>
      <w:r>
        <w:rPr>
          <w:rFonts w:hint="eastAsia"/>
          <w:color w:val="000000"/>
          <w:kern w:val="0"/>
          <w:sz w:val="24"/>
          <w:szCs w:val="24"/>
        </w:rPr>
        <w:t>目标公司及现有股东同意将目标公司注册资本由人民币26,455,027元增至人民币30,423,253元（新增部分以下简称为“新增注册资本”），并且目标公司及现有股东同意由各投资方按照本协议的条款和条件认购新增注册资本且现有股东放弃对本次增资的优先认购权，各投资方同意根据本协议的条款和条件认购新增注册资本。</w:t>
      </w:r>
    </w:p>
    <w:p>
      <w:pPr>
        <w:widowControl/>
        <w:spacing w:line="360" w:lineRule="auto"/>
        <w:jc w:val="left"/>
        <w:outlineLvl w:val="0"/>
        <w:rPr>
          <w:color w:val="000000"/>
          <w:kern w:val="0"/>
          <w:sz w:val="24"/>
          <w:szCs w:val="24"/>
        </w:rPr>
      </w:pPr>
      <w:r>
        <w:rPr>
          <w:color w:val="000000"/>
          <w:kern w:val="0"/>
          <w:sz w:val="24"/>
          <w:szCs w:val="24"/>
        </w:rPr>
        <w:t>1.2受制于本协议的条款和条件，各投资方同意分别以下表所示的对价（“增资款”）认购各投资方对应的下表所示的目标公司新增注册资本（增资款中与各投资方认购的新增注册资本相等的部分计入公司注册资本，超出部分全部计入公司的资本公积金）。每一投资方认缴的新增注册资本、应支付的增资款以及本次投资完成后其各自在目标公司中的持股比例具体如下：</w:t>
      </w:r>
    </w:p>
    <w:tbl>
      <w:tblPr>
        <w:tblStyle w:val="1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2126"/>
        <w:gridCol w:w="283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247" w:type="dxa"/>
            <w:shd w:val="clear" w:color="auto" w:fill="auto"/>
            <w:vAlign w:val="center"/>
          </w:tcPr>
          <w:p>
            <w:pPr>
              <w:widowControl/>
              <w:jc w:val="center"/>
              <w:outlineLvl w:val="0"/>
              <w:rPr>
                <w:b/>
                <w:color w:val="000000"/>
                <w:kern w:val="0"/>
                <w:sz w:val="24"/>
                <w:szCs w:val="24"/>
              </w:rPr>
            </w:pPr>
            <w:r>
              <w:rPr>
                <w:b/>
                <w:color w:val="000000"/>
                <w:kern w:val="0"/>
                <w:sz w:val="24"/>
                <w:szCs w:val="24"/>
              </w:rPr>
              <w:t>投资方</w:t>
            </w:r>
          </w:p>
        </w:tc>
        <w:tc>
          <w:tcPr>
            <w:tcW w:w="2126" w:type="dxa"/>
            <w:shd w:val="clear" w:color="auto" w:fill="auto"/>
            <w:vAlign w:val="center"/>
          </w:tcPr>
          <w:p>
            <w:pPr>
              <w:widowControl/>
              <w:jc w:val="center"/>
              <w:outlineLvl w:val="0"/>
              <w:rPr>
                <w:b/>
                <w:color w:val="000000"/>
                <w:kern w:val="0"/>
                <w:sz w:val="24"/>
                <w:szCs w:val="24"/>
              </w:rPr>
            </w:pPr>
            <w:r>
              <w:rPr>
                <w:b/>
                <w:color w:val="000000"/>
                <w:kern w:val="0"/>
                <w:sz w:val="24"/>
                <w:szCs w:val="24"/>
              </w:rPr>
              <w:t>增资款</w:t>
            </w:r>
          </w:p>
          <w:p>
            <w:pPr>
              <w:widowControl/>
              <w:jc w:val="center"/>
              <w:outlineLvl w:val="0"/>
              <w:rPr>
                <w:b/>
                <w:color w:val="000000"/>
                <w:kern w:val="0"/>
                <w:sz w:val="24"/>
                <w:szCs w:val="24"/>
              </w:rPr>
            </w:pPr>
            <w:r>
              <w:rPr>
                <w:b/>
                <w:color w:val="000000"/>
                <w:kern w:val="0"/>
                <w:sz w:val="24"/>
                <w:szCs w:val="24"/>
              </w:rPr>
              <w:t>（人民币万元）</w:t>
            </w:r>
          </w:p>
        </w:tc>
        <w:tc>
          <w:tcPr>
            <w:tcW w:w="2835" w:type="dxa"/>
            <w:shd w:val="clear" w:color="auto" w:fill="auto"/>
            <w:vAlign w:val="center"/>
          </w:tcPr>
          <w:p>
            <w:pPr>
              <w:widowControl/>
              <w:jc w:val="center"/>
              <w:outlineLvl w:val="0"/>
              <w:rPr>
                <w:b/>
                <w:color w:val="000000"/>
                <w:kern w:val="0"/>
                <w:sz w:val="24"/>
                <w:szCs w:val="24"/>
              </w:rPr>
            </w:pPr>
            <w:r>
              <w:rPr>
                <w:b/>
                <w:color w:val="000000"/>
                <w:kern w:val="0"/>
                <w:sz w:val="24"/>
                <w:szCs w:val="24"/>
              </w:rPr>
              <w:t>认购公司新增注册资本</w:t>
            </w:r>
          </w:p>
          <w:p>
            <w:pPr>
              <w:widowControl/>
              <w:jc w:val="center"/>
              <w:outlineLvl w:val="0"/>
              <w:rPr>
                <w:b/>
                <w:color w:val="000000"/>
                <w:kern w:val="0"/>
                <w:sz w:val="24"/>
                <w:szCs w:val="24"/>
              </w:rPr>
            </w:pPr>
            <w:r>
              <w:rPr>
                <w:b/>
                <w:color w:val="000000"/>
                <w:kern w:val="0"/>
                <w:sz w:val="24"/>
                <w:szCs w:val="24"/>
              </w:rPr>
              <w:t>（人民币万元）</w:t>
            </w:r>
          </w:p>
        </w:tc>
        <w:tc>
          <w:tcPr>
            <w:tcW w:w="1985" w:type="dxa"/>
            <w:shd w:val="clear" w:color="auto" w:fill="auto"/>
            <w:vAlign w:val="center"/>
          </w:tcPr>
          <w:p>
            <w:pPr>
              <w:widowControl/>
              <w:jc w:val="center"/>
              <w:outlineLvl w:val="0"/>
              <w:rPr>
                <w:b/>
                <w:color w:val="000000"/>
                <w:kern w:val="0"/>
                <w:sz w:val="24"/>
                <w:szCs w:val="24"/>
              </w:rPr>
            </w:pPr>
            <w:r>
              <w:rPr>
                <w:rFonts w:hint="eastAsia"/>
                <w:b/>
                <w:color w:val="000000"/>
                <w:kern w:val="0"/>
                <w:sz w:val="24"/>
                <w:szCs w:val="24"/>
              </w:rPr>
              <w:t>本次投资完成后</w:t>
            </w:r>
            <w:r>
              <w:rPr>
                <w:b/>
                <w:color w:val="000000"/>
                <w:kern w:val="0"/>
                <w:sz w:val="24"/>
                <w:szCs w:val="24"/>
              </w:rPr>
              <w:t>持股比例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shd w:val="clear" w:color="auto" w:fill="auto"/>
          </w:tcPr>
          <w:p>
            <w:pPr>
              <w:widowControl/>
              <w:jc w:val="center"/>
              <w:outlineLvl w:val="0"/>
              <w:rPr>
                <w:color w:val="000000"/>
                <w:kern w:val="0"/>
                <w:sz w:val="24"/>
                <w:szCs w:val="24"/>
              </w:rPr>
            </w:pPr>
            <w:r>
              <w:rPr>
                <w:color w:val="000000"/>
                <w:kern w:val="0"/>
                <w:sz w:val="24"/>
                <w:szCs w:val="24"/>
              </w:rPr>
              <w:t>甲方</w:t>
            </w:r>
          </w:p>
        </w:tc>
        <w:tc>
          <w:tcPr>
            <w:tcW w:w="2126" w:type="dxa"/>
            <w:shd w:val="clear" w:color="auto" w:fill="auto"/>
          </w:tcPr>
          <w:p>
            <w:pPr>
              <w:widowControl/>
              <w:jc w:val="center"/>
              <w:outlineLvl w:val="0"/>
              <w:rPr>
                <w:color w:val="000000"/>
                <w:kern w:val="0"/>
                <w:sz w:val="24"/>
                <w:szCs w:val="24"/>
              </w:rPr>
            </w:pPr>
            <w:r>
              <w:rPr>
                <w:color w:val="000000"/>
                <w:kern w:val="0"/>
                <w:sz w:val="24"/>
                <w:szCs w:val="24"/>
              </w:rPr>
              <w:t>2,500</w:t>
            </w:r>
          </w:p>
        </w:tc>
        <w:tc>
          <w:tcPr>
            <w:tcW w:w="2835" w:type="dxa"/>
            <w:shd w:val="clear" w:color="auto" w:fill="auto"/>
            <w:vAlign w:val="center"/>
          </w:tcPr>
          <w:p>
            <w:pPr>
              <w:widowControl/>
              <w:jc w:val="center"/>
              <w:textAlignment w:val="center"/>
              <w:rPr>
                <w:b/>
                <w:color w:val="000000"/>
                <w:sz w:val="24"/>
                <w:szCs w:val="24"/>
              </w:rPr>
            </w:pPr>
            <w:r>
              <w:rPr>
                <w:color w:val="000000"/>
                <w:kern w:val="0"/>
                <w:sz w:val="24"/>
                <w:szCs w:val="24"/>
                <w:lang w:bidi="ar"/>
              </w:rPr>
              <w:t>132.2742</w:t>
            </w:r>
          </w:p>
        </w:tc>
        <w:tc>
          <w:tcPr>
            <w:tcW w:w="1985" w:type="dxa"/>
            <w:shd w:val="clear" w:color="auto" w:fill="auto"/>
          </w:tcPr>
          <w:p>
            <w:pPr>
              <w:widowControl/>
              <w:jc w:val="center"/>
              <w:outlineLvl w:val="0"/>
              <w:rPr>
                <w:color w:val="000000"/>
                <w:kern w:val="0"/>
                <w:sz w:val="24"/>
                <w:szCs w:val="24"/>
              </w:rPr>
            </w:pPr>
            <w:r>
              <w:rPr>
                <w:color w:val="000000"/>
                <w:kern w:val="0"/>
                <w:sz w:val="24"/>
                <w:szCs w:val="24"/>
              </w:rPr>
              <w:t>4.3478%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shd w:val="clear" w:color="auto" w:fill="auto"/>
          </w:tcPr>
          <w:p>
            <w:pPr>
              <w:widowControl/>
              <w:jc w:val="center"/>
              <w:outlineLvl w:val="0"/>
              <w:rPr>
                <w:color w:val="000000"/>
                <w:kern w:val="0"/>
                <w:sz w:val="24"/>
                <w:szCs w:val="24"/>
              </w:rPr>
            </w:pPr>
            <w:r>
              <w:rPr>
                <w:color w:val="000000"/>
                <w:kern w:val="0"/>
                <w:sz w:val="24"/>
                <w:szCs w:val="24"/>
              </w:rPr>
              <w:t>乙方</w:t>
            </w:r>
          </w:p>
        </w:tc>
        <w:tc>
          <w:tcPr>
            <w:tcW w:w="2126" w:type="dxa"/>
            <w:shd w:val="clear" w:color="auto" w:fill="auto"/>
          </w:tcPr>
          <w:p>
            <w:pPr>
              <w:widowControl/>
              <w:jc w:val="center"/>
              <w:outlineLvl w:val="0"/>
              <w:rPr>
                <w:color w:val="000000"/>
                <w:kern w:val="0"/>
                <w:sz w:val="24"/>
                <w:szCs w:val="24"/>
              </w:rPr>
            </w:pPr>
            <w:r>
              <w:rPr>
                <w:color w:val="000000"/>
                <w:kern w:val="0"/>
                <w:sz w:val="24"/>
                <w:szCs w:val="24"/>
              </w:rPr>
              <w:t>1,500</w:t>
            </w:r>
          </w:p>
        </w:tc>
        <w:tc>
          <w:tcPr>
            <w:tcW w:w="2835" w:type="dxa"/>
            <w:shd w:val="clear" w:color="auto" w:fill="auto"/>
            <w:vAlign w:val="center"/>
          </w:tcPr>
          <w:p>
            <w:pPr>
              <w:widowControl/>
              <w:jc w:val="center"/>
              <w:textAlignment w:val="center"/>
              <w:rPr>
                <w:b/>
                <w:color w:val="000000"/>
                <w:sz w:val="24"/>
                <w:szCs w:val="24"/>
              </w:rPr>
            </w:pPr>
            <w:r>
              <w:rPr>
                <w:color w:val="000000"/>
                <w:kern w:val="0"/>
                <w:sz w:val="24"/>
                <w:szCs w:val="24"/>
                <w:lang w:bidi="ar"/>
              </w:rPr>
              <w:t>79.3645</w:t>
            </w:r>
          </w:p>
        </w:tc>
        <w:tc>
          <w:tcPr>
            <w:tcW w:w="1985" w:type="dxa"/>
            <w:shd w:val="clear" w:color="auto" w:fill="auto"/>
          </w:tcPr>
          <w:p>
            <w:pPr>
              <w:widowControl/>
              <w:jc w:val="center"/>
              <w:outlineLvl w:val="0"/>
              <w:rPr>
                <w:color w:val="000000"/>
                <w:kern w:val="0"/>
                <w:sz w:val="24"/>
                <w:szCs w:val="24"/>
              </w:rPr>
            </w:pPr>
            <w:r>
              <w:rPr>
                <w:color w:val="000000"/>
                <w:kern w:val="0"/>
                <w:sz w:val="24"/>
                <w:szCs w:val="24"/>
              </w:rPr>
              <w:t>2.6087%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shd w:val="clear" w:color="auto" w:fill="auto"/>
          </w:tcPr>
          <w:p>
            <w:pPr>
              <w:widowControl/>
              <w:jc w:val="center"/>
              <w:outlineLvl w:val="0"/>
              <w:rPr>
                <w:color w:val="000000"/>
                <w:kern w:val="0"/>
                <w:sz w:val="24"/>
                <w:szCs w:val="24"/>
              </w:rPr>
            </w:pPr>
            <w:r>
              <w:rPr>
                <w:color w:val="000000"/>
                <w:kern w:val="0"/>
                <w:sz w:val="24"/>
                <w:szCs w:val="24"/>
              </w:rPr>
              <w:t>丙方</w:t>
            </w:r>
          </w:p>
        </w:tc>
        <w:tc>
          <w:tcPr>
            <w:tcW w:w="2126" w:type="dxa"/>
            <w:shd w:val="clear" w:color="auto" w:fill="auto"/>
          </w:tcPr>
          <w:p>
            <w:pPr>
              <w:widowControl/>
              <w:jc w:val="center"/>
              <w:outlineLvl w:val="0"/>
              <w:rPr>
                <w:color w:val="000000"/>
                <w:kern w:val="0"/>
                <w:sz w:val="24"/>
                <w:szCs w:val="24"/>
              </w:rPr>
            </w:pPr>
            <w:r>
              <w:rPr>
                <w:color w:val="000000"/>
                <w:kern w:val="0"/>
                <w:sz w:val="24"/>
                <w:szCs w:val="24"/>
              </w:rPr>
              <w:t>1,500</w:t>
            </w:r>
          </w:p>
        </w:tc>
        <w:tc>
          <w:tcPr>
            <w:tcW w:w="2835" w:type="dxa"/>
            <w:shd w:val="clear" w:color="auto" w:fill="auto"/>
            <w:vAlign w:val="center"/>
          </w:tcPr>
          <w:p>
            <w:pPr>
              <w:widowControl/>
              <w:jc w:val="center"/>
              <w:textAlignment w:val="center"/>
              <w:rPr>
                <w:b/>
                <w:color w:val="000000"/>
                <w:sz w:val="24"/>
                <w:szCs w:val="24"/>
              </w:rPr>
            </w:pPr>
            <w:r>
              <w:rPr>
                <w:color w:val="000000"/>
                <w:kern w:val="0"/>
                <w:sz w:val="24"/>
                <w:szCs w:val="24"/>
                <w:lang w:bidi="ar"/>
              </w:rPr>
              <w:t>79.3645</w:t>
            </w:r>
          </w:p>
        </w:tc>
        <w:tc>
          <w:tcPr>
            <w:tcW w:w="1985" w:type="dxa"/>
            <w:shd w:val="clear" w:color="auto" w:fill="auto"/>
          </w:tcPr>
          <w:p>
            <w:pPr>
              <w:widowControl/>
              <w:jc w:val="center"/>
              <w:outlineLvl w:val="0"/>
              <w:rPr>
                <w:color w:val="000000"/>
                <w:kern w:val="0"/>
                <w:sz w:val="24"/>
                <w:szCs w:val="24"/>
              </w:rPr>
            </w:pPr>
            <w:r>
              <w:rPr>
                <w:color w:val="000000"/>
                <w:kern w:val="0"/>
                <w:sz w:val="24"/>
                <w:szCs w:val="24"/>
              </w:rPr>
              <w:t>2.6087%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shd w:val="clear" w:color="auto" w:fill="auto"/>
          </w:tcPr>
          <w:p>
            <w:pPr>
              <w:widowControl/>
              <w:jc w:val="center"/>
              <w:outlineLvl w:val="0"/>
              <w:rPr>
                <w:color w:val="000000"/>
                <w:kern w:val="0"/>
                <w:sz w:val="24"/>
                <w:szCs w:val="24"/>
              </w:rPr>
            </w:pPr>
            <w:r>
              <w:rPr>
                <w:color w:val="000000"/>
                <w:kern w:val="0"/>
                <w:sz w:val="24"/>
                <w:szCs w:val="24"/>
              </w:rPr>
              <w:t>丁方</w:t>
            </w:r>
          </w:p>
        </w:tc>
        <w:tc>
          <w:tcPr>
            <w:tcW w:w="2126" w:type="dxa"/>
            <w:shd w:val="clear" w:color="auto" w:fill="auto"/>
          </w:tcPr>
          <w:p>
            <w:pPr>
              <w:widowControl/>
              <w:jc w:val="center"/>
              <w:outlineLvl w:val="0"/>
              <w:rPr>
                <w:color w:val="000000"/>
                <w:kern w:val="0"/>
                <w:sz w:val="24"/>
                <w:szCs w:val="24"/>
              </w:rPr>
            </w:pPr>
            <w:r>
              <w:rPr>
                <w:color w:val="000000"/>
                <w:kern w:val="0"/>
                <w:sz w:val="24"/>
                <w:szCs w:val="24"/>
              </w:rPr>
              <w:t>1,000</w:t>
            </w:r>
          </w:p>
        </w:tc>
        <w:tc>
          <w:tcPr>
            <w:tcW w:w="2835" w:type="dxa"/>
            <w:shd w:val="clear" w:color="auto" w:fill="auto"/>
            <w:vAlign w:val="center"/>
          </w:tcPr>
          <w:p>
            <w:pPr>
              <w:widowControl/>
              <w:jc w:val="center"/>
              <w:textAlignment w:val="center"/>
              <w:rPr>
                <w:b/>
                <w:color w:val="000000"/>
                <w:sz w:val="24"/>
                <w:szCs w:val="24"/>
              </w:rPr>
            </w:pPr>
            <w:r>
              <w:rPr>
                <w:rFonts w:hint="eastAsia"/>
                <w:color w:val="000000"/>
                <w:kern w:val="0"/>
                <w:sz w:val="24"/>
                <w:szCs w:val="24"/>
                <w:lang w:bidi="ar"/>
              </w:rPr>
              <w:t>52.9097</w:t>
            </w:r>
          </w:p>
        </w:tc>
        <w:tc>
          <w:tcPr>
            <w:tcW w:w="1985" w:type="dxa"/>
            <w:shd w:val="clear" w:color="auto" w:fill="auto"/>
          </w:tcPr>
          <w:p>
            <w:pPr>
              <w:widowControl/>
              <w:jc w:val="center"/>
              <w:outlineLvl w:val="0"/>
              <w:rPr>
                <w:color w:val="000000"/>
                <w:kern w:val="0"/>
                <w:sz w:val="24"/>
                <w:szCs w:val="24"/>
              </w:rPr>
            </w:pPr>
            <w:r>
              <w:rPr>
                <w:color w:val="000000"/>
                <w:kern w:val="0"/>
                <w:sz w:val="24"/>
                <w:szCs w:val="24"/>
              </w:rPr>
              <w:t>1.7391%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shd w:val="clear" w:color="auto" w:fill="auto"/>
          </w:tcPr>
          <w:p>
            <w:pPr>
              <w:widowControl/>
              <w:jc w:val="center"/>
              <w:outlineLvl w:val="0"/>
              <w:rPr>
                <w:color w:val="000000"/>
                <w:kern w:val="0"/>
                <w:sz w:val="24"/>
                <w:szCs w:val="24"/>
              </w:rPr>
            </w:pPr>
            <w:r>
              <w:rPr>
                <w:rFonts w:hint="eastAsia"/>
                <w:color w:val="000000"/>
                <w:kern w:val="0"/>
                <w:sz w:val="24"/>
                <w:szCs w:val="24"/>
              </w:rPr>
              <w:t>辛方</w:t>
            </w:r>
          </w:p>
        </w:tc>
        <w:tc>
          <w:tcPr>
            <w:tcW w:w="2126" w:type="dxa"/>
            <w:shd w:val="clear" w:color="auto" w:fill="auto"/>
          </w:tcPr>
          <w:p>
            <w:pPr>
              <w:widowControl/>
              <w:jc w:val="center"/>
              <w:outlineLvl w:val="0"/>
              <w:rPr>
                <w:color w:val="000000"/>
                <w:kern w:val="0"/>
                <w:sz w:val="24"/>
                <w:szCs w:val="24"/>
              </w:rPr>
            </w:pPr>
            <w:r>
              <w:rPr>
                <w:rFonts w:hint="eastAsia"/>
                <w:color w:val="000000"/>
                <w:kern w:val="0"/>
                <w:sz w:val="24"/>
                <w:szCs w:val="24"/>
              </w:rPr>
              <w:t>1</w:t>
            </w:r>
            <w:r>
              <w:rPr>
                <w:color w:val="000000"/>
                <w:kern w:val="0"/>
                <w:sz w:val="24"/>
                <w:szCs w:val="24"/>
              </w:rPr>
              <w:t>,</w:t>
            </w:r>
            <w:r>
              <w:rPr>
                <w:rFonts w:hint="eastAsia"/>
                <w:color w:val="000000"/>
                <w:kern w:val="0"/>
                <w:sz w:val="24"/>
                <w:szCs w:val="24"/>
              </w:rPr>
              <w:t>000</w:t>
            </w:r>
          </w:p>
        </w:tc>
        <w:tc>
          <w:tcPr>
            <w:tcW w:w="2835" w:type="dxa"/>
            <w:shd w:val="clear" w:color="auto" w:fill="auto"/>
            <w:vAlign w:val="center"/>
          </w:tcPr>
          <w:p>
            <w:pPr>
              <w:widowControl/>
              <w:jc w:val="center"/>
              <w:textAlignment w:val="center"/>
              <w:rPr>
                <w:color w:val="000000"/>
                <w:kern w:val="0"/>
                <w:sz w:val="24"/>
                <w:szCs w:val="24"/>
                <w:lang w:bidi="ar"/>
              </w:rPr>
            </w:pPr>
            <w:r>
              <w:rPr>
                <w:rFonts w:hint="eastAsia"/>
                <w:color w:val="000000"/>
                <w:kern w:val="0"/>
                <w:sz w:val="24"/>
                <w:szCs w:val="24"/>
                <w:lang w:bidi="ar"/>
              </w:rPr>
              <w:t>52.9097</w:t>
            </w:r>
          </w:p>
        </w:tc>
        <w:tc>
          <w:tcPr>
            <w:tcW w:w="1985" w:type="dxa"/>
            <w:shd w:val="clear" w:color="auto" w:fill="auto"/>
          </w:tcPr>
          <w:p>
            <w:pPr>
              <w:widowControl/>
              <w:jc w:val="center"/>
              <w:outlineLvl w:val="0"/>
              <w:rPr>
                <w:color w:val="000000"/>
                <w:kern w:val="0"/>
                <w:sz w:val="24"/>
                <w:szCs w:val="24"/>
              </w:rPr>
            </w:pPr>
            <w:r>
              <w:rPr>
                <w:color w:val="000000"/>
                <w:kern w:val="0"/>
                <w:sz w:val="24"/>
                <w:szCs w:val="24"/>
              </w:rPr>
              <w:t>1.7391%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shd w:val="clear" w:color="auto" w:fill="auto"/>
          </w:tcPr>
          <w:p>
            <w:pPr>
              <w:widowControl/>
              <w:jc w:val="center"/>
              <w:outlineLvl w:val="0"/>
              <w:rPr>
                <w:b/>
                <w:color w:val="000000"/>
                <w:kern w:val="0"/>
                <w:sz w:val="24"/>
                <w:szCs w:val="24"/>
              </w:rPr>
            </w:pPr>
            <w:r>
              <w:rPr>
                <w:b/>
                <w:color w:val="000000"/>
                <w:kern w:val="0"/>
                <w:sz w:val="24"/>
                <w:szCs w:val="24"/>
              </w:rPr>
              <w:t>合计</w:t>
            </w:r>
          </w:p>
        </w:tc>
        <w:tc>
          <w:tcPr>
            <w:tcW w:w="2126" w:type="dxa"/>
            <w:shd w:val="clear" w:color="auto" w:fill="auto"/>
          </w:tcPr>
          <w:p>
            <w:pPr>
              <w:widowControl/>
              <w:jc w:val="center"/>
              <w:outlineLvl w:val="0"/>
              <w:rPr>
                <w:b/>
                <w:color w:val="000000"/>
                <w:kern w:val="0"/>
                <w:sz w:val="24"/>
                <w:szCs w:val="24"/>
              </w:rPr>
            </w:pPr>
            <w:r>
              <w:rPr>
                <w:color w:val="000000"/>
                <w:kern w:val="0"/>
                <w:sz w:val="24"/>
                <w:szCs w:val="24"/>
              </w:rPr>
              <w:t>7,500</w:t>
            </w:r>
          </w:p>
        </w:tc>
        <w:tc>
          <w:tcPr>
            <w:tcW w:w="2835" w:type="dxa"/>
            <w:shd w:val="clear" w:color="auto" w:fill="auto"/>
          </w:tcPr>
          <w:p>
            <w:pPr>
              <w:widowControl/>
              <w:jc w:val="center"/>
              <w:outlineLvl w:val="0"/>
              <w:rPr>
                <w:color w:val="000000"/>
                <w:kern w:val="0"/>
                <w:sz w:val="24"/>
                <w:szCs w:val="24"/>
              </w:rPr>
            </w:pPr>
            <w:r>
              <w:rPr>
                <w:color w:val="000000"/>
                <w:kern w:val="0"/>
                <w:sz w:val="24"/>
                <w:szCs w:val="24"/>
              </w:rPr>
              <w:t>396.8226</w:t>
            </w:r>
          </w:p>
        </w:tc>
        <w:tc>
          <w:tcPr>
            <w:tcW w:w="1985" w:type="dxa"/>
            <w:shd w:val="clear" w:color="auto" w:fill="auto"/>
          </w:tcPr>
          <w:p>
            <w:pPr>
              <w:widowControl/>
              <w:jc w:val="center"/>
              <w:outlineLvl w:val="0"/>
              <w:rPr>
                <w:b/>
                <w:color w:val="000000"/>
                <w:kern w:val="0"/>
                <w:sz w:val="24"/>
                <w:szCs w:val="24"/>
              </w:rPr>
            </w:pPr>
            <w:r>
              <w:rPr>
                <w:color w:val="000000"/>
                <w:kern w:val="0"/>
                <w:sz w:val="24"/>
                <w:szCs w:val="24"/>
              </w:rPr>
              <w:t>13.0434%</w:t>
            </w:r>
          </w:p>
        </w:tc>
      </w:tr>
    </w:tbl>
    <w:p>
      <w:pPr>
        <w:widowControl/>
        <w:numPr>
          <w:ilvl w:val="0"/>
          <w:numId w:val="21"/>
        </w:numPr>
        <w:spacing w:line="360" w:lineRule="auto"/>
        <w:ind w:left="420" w:hanging="420"/>
        <w:jc w:val="left"/>
        <w:outlineLvl w:val="0"/>
        <w:rPr>
          <w:color w:val="000000"/>
          <w:kern w:val="0"/>
          <w:sz w:val="24"/>
          <w:szCs w:val="24"/>
        </w:rPr>
      </w:pPr>
      <w:r>
        <w:rPr>
          <w:color w:val="000000"/>
          <w:kern w:val="0"/>
          <w:sz w:val="24"/>
          <w:szCs w:val="24"/>
        </w:rPr>
        <w:t>估值与股权比例</w:t>
      </w:r>
    </w:p>
    <w:p>
      <w:pPr>
        <w:widowControl/>
        <w:spacing w:line="360" w:lineRule="auto"/>
        <w:jc w:val="left"/>
        <w:outlineLvl w:val="0"/>
        <w:rPr>
          <w:color w:val="000000"/>
          <w:kern w:val="0"/>
          <w:sz w:val="24"/>
          <w:szCs w:val="24"/>
        </w:rPr>
      </w:pPr>
      <w:r>
        <w:rPr>
          <w:color w:val="000000"/>
          <w:kern w:val="0"/>
          <w:sz w:val="24"/>
          <w:szCs w:val="24"/>
        </w:rPr>
        <w:t>2.1各方同意，本次投资的目标公司投资前估值按人民币5亿元确定。</w:t>
      </w:r>
    </w:p>
    <w:p>
      <w:pPr>
        <w:widowControl/>
        <w:numPr>
          <w:ilvl w:val="0"/>
          <w:numId w:val="21"/>
        </w:numPr>
        <w:spacing w:line="360" w:lineRule="auto"/>
        <w:jc w:val="left"/>
        <w:outlineLvl w:val="0"/>
        <w:rPr>
          <w:color w:val="000000"/>
          <w:kern w:val="0"/>
          <w:sz w:val="24"/>
          <w:szCs w:val="24"/>
        </w:rPr>
      </w:pPr>
      <w:r>
        <w:rPr>
          <w:rFonts w:hint="eastAsia"/>
          <w:color w:val="000000"/>
          <w:kern w:val="0"/>
          <w:sz w:val="24"/>
          <w:szCs w:val="24"/>
        </w:rPr>
        <w:t>股东权利</w:t>
      </w:r>
    </w:p>
    <w:p>
      <w:pPr>
        <w:widowControl/>
        <w:spacing w:line="360" w:lineRule="auto"/>
        <w:jc w:val="left"/>
        <w:outlineLvl w:val="0"/>
        <w:rPr>
          <w:color w:val="000000"/>
          <w:kern w:val="0"/>
          <w:sz w:val="24"/>
          <w:szCs w:val="24"/>
        </w:rPr>
      </w:pPr>
      <w:r>
        <w:rPr>
          <w:rFonts w:hint="eastAsia"/>
          <w:color w:val="000000"/>
          <w:kern w:val="0"/>
          <w:sz w:val="24"/>
          <w:szCs w:val="24"/>
        </w:rPr>
        <w:t>3.1</w:t>
      </w:r>
      <w:r>
        <w:rPr>
          <w:color w:val="000000"/>
          <w:kern w:val="0"/>
          <w:sz w:val="24"/>
          <w:szCs w:val="24"/>
        </w:rPr>
        <w:t>自交割日起，投资方成为目标公司的股东。投资方依法律法规的规定以及交易文件的约定享有已实缴注册资本股权所对应的股东权利。目标公司于交割日的资本公积、滚存未分配利润等由现有股东及投资方依据届时其于目标公司的实缴出资比例享有。</w:t>
      </w:r>
    </w:p>
    <w:p>
      <w:pPr>
        <w:widowControl/>
        <w:spacing w:line="360" w:lineRule="auto"/>
        <w:jc w:val="left"/>
        <w:outlineLvl w:val="0"/>
        <w:rPr>
          <w:color w:val="000000"/>
          <w:kern w:val="0"/>
          <w:sz w:val="24"/>
          <w:szCs w:val="24"/>
        </w:rPr>
      </w:pPr>
      <w:r>
        <w:rPr>
          <w:color w:val="000000"/>
          <w:kern w:val="0"/>
          <w:sz w:val="24"/>
          <w:szCs w:val="24"/>
        </w:rPr>
        <w:t>3.2自交割日起，目标公司的损益由现有股东及投资方依据届时其于目标公司的实缴出资比例享有和分担。</w:t>
      </w:r>
    </w:p>
    <w:p>
      <w:pPr>
        <w:widowControl/>
        <w:numPr>
          <w:ilvl w:val="0"/>
          <w:numId w:val="21"/>
        </w:numPr>
        <w:spacing w:line="360" w:lineRule="auto"/>
        <w:ind w:left="425" w:hanging="425"/>
        <w:jc w:val="left"/>
        <w:outlineLvl w:val="0"/>
        <w:rPr>
          <w:color w:val="000000"/>
          <w:kern w:val="0"/>
          <w:sz w:val="24"/>
          <w:szCs w:val="24"/>
        </w:rPr>
      </w:pPr>
      <w:r>
        <w:rPr>
          <w:color w:val="000000"/>
          <w:kern w:val="0"/>
          <w:sz w:val="24"/>
          <w:szCs w:val="24"/>
        </w:rPr>
        <w:t>增资款的用途</w:t>
      </w:r>
    </w:p>
    <w:p>
      <w:pPr>
        <w:widowControl/>
        <w:spacing w:line="360" w:lineRule="auto"/>
        <w:jc w:val="left"/>
        <w:outlineLvl w:val="0"/>
        <w:rPr>
          <w:color w:val="000000"/>
          <w:kern w:val="0"/>
          <w:sz w:val="24"/>
          <w:szCs w:val="24"/>
        </w:rPr>
      </w:pPr>
      <w:r>
        <w:rPr>
          <w:color w:val="000000"/>
          <w:kern w:val="0"/>
          <w:sz w:val="24"/>
          <w:szCs w:val="24"/>
        </w:rPr>
        <w:t>增资款应用于目标公司的业务开发及市场拓展或其他的合理商业用途，非经投资方书面同意不得用于其他任何用途或目的。</w:t>
      </w:r>
    </w:p>
    <w:p>
      <w:pPr>
        <w:widowControl/>
        <w:numPr>
          <w:ilvl w:val="0"/>
          <w:numId w:val="20"/>
        </w:numPr>
        <w:spacing w:line="360" w:lineRule="auto"/>
        <w:ind w:firstLine="0"/>
        <w:outlineLvl w:val="0"/>
        <w:rPr>
          <w:b/>
          <w:bCs/>
          <w:color w:val="000000"/>
          <w:kern w:val="0"/>
          <w:sz w:val="24"/>
          <w:szCs w:val="24"/>
        </w:rPr>
      </w:pPr>
      <w:r>
        <w:rPr>
          <w:b/>
          <w:bCs/>
          <w:color w:val="000000"/>
          <w:kern w:val="0"/>
          <w:sz w:val="24"/>
          <w:szCs w:val="24"/>
        </w:rPr>
        <w:t>本次投资款的支付</w:t>
      </w:r>
    </w:p>
    <w:p>
      <w:pPr>
        <w:widowControl/>
        <w:numPr>
          <w:ilvl w:val="0"/>
          <w:numId w:val="22"/>
        </w:numPr>
        <w:spacing w:line="360" w:lineRule="auto"/>
        <w:ind w:left="420" w:hanging="420"/>
        <w:jc w:val="left"/>
        <w:outlineLvl w:val="0"/>
        <w:rPr>
          <w:color w:val="000000"/>
          <w:kern w:val="0"/>
          <w:sz w:val="24"/>
          <w:szCs w:val="24"/>
        </w:rPr>
      </w:pPr>
      <w:r>
        <w:rPr>
          <w:color w:val="000000"/>
          <w:kern w:val="0"/>
          <w:sz w:val="24"/>
          <w:szCs w:val="24"/>
        </w:rPr>
        <w:t>增资款的缴付</w:t>
      </w:r>
    </w:p>
    <w:p>
      <w:pPr>
        <w:widowControl/>
        <w:spacing w:line="360" w:lineRule="auto"/>
        <w:ind w:left="1" w:firstLine="0" w:firstLineChars="0"/>
        <w:jc w:val="left"/>
        <w:rPr>
          <w:color w:val="000000"/>
          <w:kern w:val="0"/>
          <w:sz w:val="24"/>
          <w:szCs w:val="24"/>
          <w:highlight w:val="yellow"/>
        </w:rPr>
      </w:pPr>
      <w:r>
        <w:rPr>
          <w:color w:val="000000"/>
          <w:kern w:val="0"/>
          <w:sz w:val="24"/>
          <w:szCs w:val="24"/>
        </w:rPr>
        <w:t>1.1</w:t>
      </w:r>
      <w:r>
        <w:rPr>
          <w:rFonts w:hint="eastAsia"/>
          <w:color w:val="000000"/>
          <w:kern w:val="0"/>
          <w:sz w:val="24"/>
          <w:szCs w:val="24"/>
        </w:rPr>
        <w:t>为避免疑义，各投资方于本协议项下缴纳增资款的义务是分别且独立的，各投资方的交割不以其他投资方的交割为前提。</w:t>
      </w:r>
      <w:r>
        <w:rPr>
          <w:color w:val="000000"/>
          <w:kern w:val="0"/>
          <w:sz w:val="24"/>
          <w:szCs w:val="24"/>
        </w:rPr>
        <w:t>各投资方应在本协议所述的交割条件达成后的10个工作日内，</w:t>
      </w:r>
      <w:r>
        <w:rPr>
          <w:rFonts w:hint="eastAsia"/>
          <w:color w:val="000000"/>
          <w:kern w:val="0"/>
          <w:sz w:val="24"/>
          <w:szCs w:val="24"/>
        </w:rPr>
        <w:t>且不晚于2021年9月30日，</w:t>
      </w:r>
      <w:r>
        <w:rPr>
          <w:color w:val="000000"/>
          <w:kern w:val="0"/>
          <w:sz w:val="24"/>
          <w:szCs w:val="24"/>
        </w:rPr>
        <w:t>将各自增资款转入目标公司账户。</w:t>
      </w:r>
    </w:p>
    <w:p>
      <w:pPr>
        <w:widowControl/>
        <w:numPr>
          <w:ilvl w:val="0"/>
          <w:numId w:val="22"/>
        </w:numPr>
        <w:spacing w:line="360" w:lineRule="auto"/>
        <w:ind w:left="420" w:hanging="420"/>
        <w:jc w:val="left"/>
        <w:outlineLvl w:val="0"/>
        <w:rPr>
          <w:color w:val="000000"/>
          <w:kern w:val="0"/>
          <w:sz w:val="24"/>
          <w:szCs w:val="24"/>
        </w:rPr>
      </w:pPr>
      <w:r>
        <w:rPr>
          <w:color w:val="000000"/>
          <w:kern w:val="0"/>
          <w:sz w:val="24"/>
          <w:szCs w:val="24"/>
        </w:rPr>
        <w:t>验资及工商变更登记</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color w:val="000000"/>
          <w:kern w:val="0"/>
          <w:sz w:val="24"/>
          <w:szCs w:val="24"/>
        </w:rPr>
      </w:pPr>
      <w:r>
        <w:rPr>
          <w:color w:val="000000"/>
          <w:kern w:val="0"/>
          <w:sz w:val="24"/>
          <w:szCs w:val="24"/>
        </w:rPr>
        <w:t>2.1各投资方缴付全部增资款之日起十五（15）个工作日内，目标公司应当完成本次增资的验资并将验资报告的扫描件交付给各投资方。</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color w:val="000000"/>
          <w:kern w:val="0"/>
          <w:sz w:val="24"/>
          <w:szCs w:val="24"/>
        </w:rPr>
      </w:pPr>
      <w:r>
        <w:rPr>
          <w:color w:val="000000"/>
          <w:kern w:val="0"/>
          <w:sz w:val="24"/>
          <w:szCs w:val="24"/>
        </w:rPr>
        <w:t>2.2目标公司应在交割日后五（5）个工作日内开始办理关于本次投资的工商变更登记手续的相关文件，随后尽快（但在任何情况下不晚于交割日后的十五（15）个工作日内）取得目标公司新的营业执照。</w:t>
      </w:r>
    </w:p>
    <w:p>
      <w:pPr>
        <w:widowControl/>
        <w:numPr>
          <w:ilvl w:val="0"/>
          <w:numId w:val="20"/>
        </w:numPr>
        <w:spacing w:line="360" w:lineRule="auto"/>
        <w:ind w:firstLine="0"/>
        <w:outlineLvl w:val="0"/>
        <w:rPr>
          <w:b/>
          <w:bCs/>
          <w:color w:val="000000"/>
          <w:kern w:val="0"/>
          <w:sz w:val="24"/>
          <w:szCs w:val="24"/>
        </w:rPr>
      </w:pPr>
      <w:r>
        <w:rPr>
          <w:b/>
          <w:bCs/>
          <w:color w:val="000000"/>
          <w:kern w:val="0"/>
          <w:sz w:val="24"/>
          <w:szCs w:val="24"/>
        </w:rPr>
        <w:t>违约责任</w:t>
      </w:r>
    </w:p>
    <w:p>
      <w:pPr>
        <w:widowControl/>
        <w:numPr>
          <w:ilvl w:val="0"/>
          <w:numId w:val="23"/>
        </w:numPr>
        <w:spacing w:line="360" w:lineRule="auto"/>
        <w:jc w:val="left"/>
        <w:rPr>
          <w:color w:val="000000"/>
          <w:kern w:val="0"/>
          <w:sz w:val="24"/>
          <w:szCs w:val="24"/>
        </w:rPr>
      </w:pPr>
      <w:r>
        <w:rPr>
          <w:color w:val="000000"/>
          <w:kern w:val="0"/>
          <w:sz w:val="24"/>
          <w:szCs w:val="24"/>
        </w:rPr>
        <w:t>一般性违约责任</w:t>
      </w:r>
    </w:p>
    <w:p>
      <w:pPr>
        <w:widowControl/>
        <w:spacing w:line="360" w:lineRule="auto"/>
        <w:ind w:firstLine="420"/>
        <w:jc w:val="left"/>
        <w:rPr>
          <w:color w:val="000000"/>
          <w:kern w:val="0"/>
          <w:sz w:val="24"/>
          <w:szCs w:val="24"/>
        </w:rPr>
      </w:pPr>
      <w:r>
        <w:rPr>
          <w:color w:val="000000"/>
          <w:kern w:val="0"/>
          <w:sz w:val="24"/>
          <w:szCs w:val="24"/>
        </w:rPr>
        <w:t>各方在履行本协议的过程中应遵守国家的法律、法规及本协议的约定。若任何一方未能遵守或履行本协议项下约定的义务、责任或承诺、陈述或保证，所引起的经济损失与法律责任，违约方须承担责任。为避免疑问，如任一方因任何原因未能根据本协议的约定完成交割，其不构成本协议项下的违约，该方不承担任何违约责任。</w:t>
      </w:r>
    </w:p>
    <w:p>
      <w:pPr>
        <w:widowControl/>
        <w:numPr>
          <w:ilvl w:val="0"/>
          <w:numId w:val="20"/>
        </w:numPr>
        <w:spacing w:line="360" w:lineRule="auto"/>
        <w:ind w:firstLine="0"/>
        <w:outlineLvl w:val="0"/>
        <w:rPr>
          <w:b/>
          <w:bCs/>
          <w:color w:val="000000"/>
          <w:kern w:val="0"/>
          <w:sz w:val="24"/>
          <w:szCs w:val="24"/>
        </w:rPr>
      </w:pPr>
      <w:r>
        <w:rPr>
          <w:b/>
          <w:bCs/>
          <w:color w:val="000000"/>
          <w:kern w:val="0"/>
          <w:sz w:val="24"/>
          <w:szCs w:val="24"/>
        </w:rPr>
        <w:t>管辖与争议解决</w:t>
      </w:r>
    </w:p>
    <w:p>
      <w:pPr>
        <w:widowControl/>
        <w:numPr>
          <w:ilvl w:val="0"/>
          <w:numId w:val="24"/>
        </w:numPr>
        <w:spacing w:line="360" w:lineRule="auto"/>
        <w:jc w:val="left"/>
        <w:rPr>
          <w:color w:val="000000"/>
          <w:kern w:val="0"/>
          <w:sz w:val="24"/>
          <w:szCs w:val="24"/>
        </w:rPr>
      </w:pPr>
      <w:r>
        <w:rPr>
          <w:color w:val="000000"/>
          <w:kern w:val="0"/>
          <w:sz w:val="24"/>
          <w:szCs w:val="24"/>
        </w:rPr>
        <w:t>本协议受中华人民共和国有关法律、法规、条例、规则的管辖和保护。</w:t>
      </w:r>
    </w:p>
    <w:p>
      <w:pPr>
        <w:widowControl/>
        <w:numPr>
          <w:ilvl w:val="0"/>
          <w:numId w:val="24"/>
        </w:numPr>
        <w:spacing w:line="360" w:lineRule="auto"/>
        <w:ind w:left="0" w:firstLine="0"/>
        <w:jc w:val="left"/>
        <w:rPr>
          <w:color w:val="000000"/>
          <w:kern w:val="0"/>
          <w:sz w:val="24"/>
          <w:szCs w:val="24"/>
        </w:rPr>
      </w:pPr>
      <w:r>
        <w:rPr>
          <w:color w:val="000000"/>
          <w:kern w:val="0"/>
          <w:sz w:val="24"/>
          <w:szCs w:val="24"/>
        </w:rPr>
        <w:t>凡因执行本协议所发生的或与本协议有关的一切争议，各方应通过友好协商解决。协商解决不成的，任何一方当事人均可向原告所在地有管辖权的人民法院提起诉讼。</w:t>
      </w:r>
    </w:p>
    <w:p>
      <w:pPr>
        <w:widowControl/>
        <w:numPr>
          <w:ilvl w:val="0"/>
          <w:numId w:val="20"/>
        </w:numPr>
        <w:spacing w:line="360" w:lineRule="auto"/>
        <w:ind w:firstLine="0"/>
        <w:outlineLvl w:val="0"/>
        <w:rPr>
          <w:b/>
          <w:bCs/>
          <w:color w:val="000000"/>
          <w:kern w:val="0"/>
          <w:sz w:val="24"/>
          <w:szCs w:val="24"/>
        </w:rPr>
      </w:pPr>
      <w:r>
        <w:rPr>
          <w:b/>
          <w:bCs/>
          <w:color w:val="000000"/>
          <w:kern w:val="0"/>
          <w:sz w:val="24"/>
          <w:szCs w:val="24"/>
        </w:rPr>
        <w:t>生效、变更及终止</w:t>
      </w:r>
    </w:p>
    <w:p>
      <w:pPr>
        <w:widowControl/>
        <w:numPr>
          <w:ilvl w:val="0"/>
          <w:numId w:val="25"/>
        </w:numPr>
        <w:spacing w:line="360" w:lineRule="auto"/>
        <w:jc w:val="left"/>
        <w:outlineLvl w:val="0"/>
        <w:rPr>
          <w:bCs/>
          <w:color w:val="000000"/>
          <w:kern w:val="0"/>
          <w:sz w:val="24"/>
          <w:szCs w:val="24"/>
        </w:rPr>
      </w:pPr>
      <w:r>
        <w:rPr>
          <w:color w:val="000000"/>
          <w:kern w:val="0"/>
          <w:sz w:val="24"/>
          <w:szCs w:val="24"/>
        </w:rPr>
        <w:t>本协议一经各方签字及加盖公章后即发生效力</w:t>
      </w:r>
      <w:r>
        <w:rPr>
          <w:bCs/>
          <w:color w:val="000000"/>
          <w:kern w:val="0"/>
          <w:sz w:val="24"/>
          <w:szCs w:val="24"/>
        </w:rPr>
        <w:t>。</w:t>
      </w:r>
    </w:p>
    <w:p>
      <w:pPr>
        <w:widowControl/>
        <w:numPr>
          <w:ilvl w:val="0"/>
          <w:numId w:val="25"/>
        </w:numPr>
        <w:spacing w:line="360" w:lineRule="auto"/>
        <w:ind w:left="0" w:firstLine="0"/>
        <w:jc w:val="left"/>
        <w:outlineLvl w:val="0"/>
        <w:rPr>
          <w:color w:val="000000"/>
          <w:kern w:val="0"/>
          <w:sz w:val="24"/>
          <w:szCs w:val="24"/>
        </w:rPr>
      </w:pPr>
      <w:r>
        <w:rPr>
          <w:color w:val="000000"/>
          <w:kern w:val="0"/>
          <w:sz w:val="24"/>
          <w:szCs w:val="24"/>
        </w:rPr>
        <w:t>若各方拟对本协议各方之间的权利义务等任何内容做出修改的，应经相关方协商一致并签订书面补充协议。</w:t>
      </w:r>
    </w:p>
    <w:p>
      <w:pPr>
        <w:widowControl/>
        <w:numPr>
          <w:ilvl w:val="0"/>
          <w:numId w:val="25"/>
        </w:numPr>
        <w:spacing w:line="360" w:lineRule="auto"/>
        <w:ind w:left="0" w:firstLine="0"/>
        <w:jc w:val="left"/>
        <w:outlineLvl w:val="0"/>
        <w:rPr>
          <w:color w:val="000000"/>
          <w:kern w:val="0"/>
          <w:sz w:val="24"/>
          <w:szCs w:val="24"/>
        </w:rPr>
      </w:pPr>
      <w:r>
        <w:rPr>
          <w:color w:val="000000"/>
          <w:kern w:val="0"/>
          <w:sz w:val="24"/>
          <w:szCs w:val="24"/>
        </w:rPr>
        <w:t>本协议在交割日前可根据以下条款终止：</w:t>
      </w:r>
    </w:p>
    <w:p>
      <w:pPr>
        <w:widowControl/>
        <w:numPr>
          <w:ilvl w:val="0"/>
          <w:numId w:val="26"/>
        </w:numPr>
        <w:spacing w:line="360" w:lineRule="auto"/>
        <w:ind w:left="425" w:hanging="425"/>
        <w:outlineLvl w:val="0"/>
        <w:rPr>
          <w:color w:val="000000"/>
          <w:kern w:val="0"/>
          <w:sz w:val="24"/>
          <w:szCs w:val="24"/>
        </w:rPr>
      </w:pPr>
      <w:r>
        <w:rPr>
          <w:color w:val="000000"/>
          <w:kern w:val="0"/>
          <w:sz w:val="24"/>
          <w:szCs w:val="24"/>
        </w:rPr>
        <w:t>投资方中的任一投资方作为一方，任一承诺方作为另一方，如一方发生任何违约行为，并在另一方要求其更正之日起三十（30）日内不予更正，则该方有权书面通知另一方单方解除本协议在该方及另一方之间的效力；</w:t>
      </w:r>
    </w:p>
    <w:p>
      <w:pPr>
        <w:widowControl/>
        <w:numPr>
          <w:ilvl w:val="0"/>
          <w:numId w:val="26"/>
        </w:numPr>
        <w:spacing w:line="360" w:lineRule="auto"/>
        <w:ind w:left="425" w:hanging="425"/>
        <w:outlineLvl w:val="0"/>
        <w:rPr>
          <w:color w:val="000000"/>
          <w:kern w:val="0"/>
          <w:sz w:val="24"/>
          <w:szCs w:val="24"/>
        </w:rPr>
      </w:pPr>
      <w:r>
        <w:rPr>
          <w:color w:val="000000"/>
          <w:kern w:val="0"/>
          <w:sz w:val="24"/>
          <w:szCs w:val="24"/>
        </w:rPr>
        <w:t>如任何政府部门发布命令、法令或裁定、或已采取任何其他行动，限制、阻止或以其他方式禁止本协议拟议的本次投资，而且该等命令、法令、裁定或其他行动均为最终的并且不可申请复议、起诉或上诉，则任何一方均可终止本协议。如某一投资方主张终止的，则该等终止仅在该投资方及各承诺方之间生效；</w:t>
      </w:r>
    </w:p>
    <w:p>
      <w:pPr>
        <w:widowControl/>
        <w:numPr>
          <w:ilvl w:val="0"/>
          <w:numId w:val="26"/>
        </w:numPr>
        <w:spacing w:line="360" w:lineRule="auto"/>
        <w:ind w:left="425" w:hanging="425"/>
        <w:jc w:val="left"/>
        <w:outlineLvl w:val="0"/>
        <w:rPr>
          <w:color w:val="000000"/>
          <w:kern w:val="0"/>
          <w:sz w:val="24"/>
          <w:szCs w:val="24"/>
        </w:rPr>
      </w:pPr>
      <w:r>
        <w:rPr>
          <w:color w:val="000000"/>
          <w:kern w:val="0"/>
          <w:sz w:val="24"/>
          <w:szCs w:val="24"/>
        </w:rPr>
        <w:t>经各方书面同意终止本协议。</w:t>
      </w:r>
    </w:p>
    <w:p>
      <w:pPr>
        <w:widowControl/>
        <w:numPr>
          <w:ilvl w:val="0"/>
          <w:numId w:val="25"/>
        </w:numPr>
        <w:spacing w:line="360" w:lineRule="auto"/>
        <w:jc w:val="left"/>
        <w:outlineLvl w:val="0"/>
        <w:rPr>
          <w:color w:val="000000"/>
          <w:kern w:val="0"/>
          <w:sz w:val="24"/>
          <w:szCs w:val="24"/>
        </w:rPr>
      </w:pPr>
      <w:r>
        <w:rPr>
          <w:color w:val="000000"/>
          <w:kern w:val="0"/>
          <w:sz w:val="24"/>
          <w:szCs w:val="24"/>
        </w:rPr>
        <w:t>终止的效力</w:t>
      </w:r>
    </w:p>
    <w:p>
      <w:pPr>
        <w:widowControl/>
        <w:spacing w:line="360" w:lineRule="auto"/>
        <w:ind w:firstLine="420"/>
        <w:jc w:val="left"/>
        <w:outlineLvl w:val="0"/>
        <w:rPr>
          <w:color w:val="000000"/>
          <w:kern w:val="0"/>
          <w:sz w:val="24"/>
          <w:szCs w:val="24"/>
        </w:rPr>
      </w:pPr>
      <w:r>
        <w:rPr>
          <w:color w:val="000000"/>
          <w:kern w:val="0"/>
          <w:sz w:val="24"/>
          <w:szCs w:val="24"/>
        </w:rPr>
        <w:t>为避免歧义，公司或现有股东依据本条终止本协议时，公司或现有股东作出的终止的决定对投资方有约束力。如存在多个投资方，任一投资方选择依据本条终止本协议时，仅代表终止其自身在本协议项下权利义务，不影响本协议在公司、现有股东及其他投资方之间的效力。</w:t>
      </w:r>
    </w:p>
    <w:p>
      <w:pPr>
        <w:pStyle w:val="19"/>
        <w:numPr>
          <w:ilvl w:val="0"/>
          <w:numId w:val="19"/>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关联交易的履约安排</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公司董事会授权管理层签署本次交易相关的《增资协议》等文件，并处理本次交易相关的手续事宜，包括但不限于支付增资款、办理工商变更登记手事项等。本次《增资协议》中已对双方的权利义务进行了明确，并对各协议主体发生的违约情形做出了违约赔偿安排。截至本公告披露日，公司尚未支付增资款项，公司将严格按照合同约定的付款进度进行款项支付。</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该关联交易的目的以及对上市公司的影响</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上海芯钛聚焦在智能网联汽车产业，推动自主创新的汽车芯片产品应用，通过Mizar安全芯片产品在汽车电子行业的不断应用，形成汽车信息安全体系整体构建能力，为汽车智能化和网联化提供信息安全整体解决方案。</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本次公司参与对上海芯钛的增资，有利于公司车联网安全行业的整体布局，发挥车联网产业协同效应，进一步完善公司车联网信息安全整体解决方案，并可引入了更多的车联网市场机会。公司面向车联网的软件系统和平台产品与上海芯钛产品的结合，加强并补足了公司在汽车硬件信息安全方面的能力和产品不足，形成车联网云端到车端的整体解决方案能力，推动公司车联网业务板块的稳定发展，将进一步提升公司综合实力，对公司战略发展具有积极意义。</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本次交易拟使用自有资金，不会影响公司正常的生产经营活动，不会对公司现金流及经营业绩产生重大不利影响。</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本次交易不会导致公司主营业务发生变更，公司主营业务中不涉及芯片的研发、生产、设计及销售。</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本次交易不会导致公司合并报表范围发生变化，不存在损害上市公司及股东利益的情况，不会对公司财务状况产生重大不利影响。</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风险提示</w:t>
      </w:r>
    </w:p>
    <w:p>
      <w:pPr>
        <w:pStyle w:val="19"/>
        <w:numPr>
          <w:ilvl w:val="0"/>
          <w:numId w:val="27"/>
        </w:numPr>
        <w:spacing w:line="360" w:lineRule="auto"/>
        <w:rPr>
          <w:rFonts w:ascii="Times New Roman" w:hAnsi="Times New Roman" w:cs="Times New Roman" w:eastAsiaTheme="minorEastAsia"/>
        </w:rPr>
      </w:pPr>
      <w:r>
        <w:rPr>
          <w:rFonts w:hint="eastAsia" w:hAnsi="宋体"/>
          <w:bCs/>
        </w:rPr>
        <w:t>本次交易完成后，存在能否完成相关工商审批手续的不确定性；</w:t>
      </w:r>
    </w:p>
    <w:p>
      <w:pPr>
        <w:pStyle w:val="19"/>
        <w:numPr>
          <w:ilvl w:val="0"/>
          <w:numId w:val="27"/>
        </w:numPr>
        <w:spacing w:line="360" w:lineRule="auto"/>
        <w:rPr>
          <w:rFonts w:ascii="Times New Roman" w:hAnsi="Times New Roman" w:cs="Times New Roman" w:eastAsiaTheme="minorEastAsia"/>
        </w:rPr>
      </w:pPr>
      <w:r>
        <w:rPr>
          <w:rFonts w:hint="eastAsia" w:hAnsi="宋体"/>
          <w:bCs/>
        </w:rPr>
        <w:t>本次交易涉及多个投资方，其他投资方存在更换投资主体的可能性，交易实施进度及最终实施结果存在一定的不确定性；</w:t>
      </w:r>
    </w:p>
    <w:p>
      <w:pPr>
        <w:pStyle w:val="19"/>
        <w:numPr>
          <w:ilvl w:val="0"/>
          <w:numId w:val="27"/>
        </w:numPr>
        <w:spacing w:line="360" w:lineRule="auto"/>
        <w:rPr>
          <w:rFonts w:ascii="Times New Roman" w:hAnsi="Times New Roman" w:cs="Times New Roman" w:eastAsiaTheme="minorEastAsia"/>
        </w:rPr>
      </w:pPr>
      <w:r>
        <w:rPr>
          <w:rFonts w:hint="eastAsia" w:hAnsi="宋体"/>
          <w:bCs/>
        </w:rPr>
        <w:t>本次交易尚未完成交割，最终交割存在一定的不确定性；</w:t>
      </w:r>
    </w:p>
    <w:p>
      <w:pPr>
        <w:pStyle w:val="19"/>
        <w:numPr>
          <w:ilvl w:val="0"/>
          <w:numId w:val="27"/>
        </w:numPr>
        <w:spacing w:line="360" w:lineRule="auto"/>
        <w:rPr>
          <w:rFonts w:ascii="Times New Roman" w:hAnsi="Times New Roman" w:cs="Times New Roman" w:eastAsiaTheme="minorEastAsia"/>
        </w:rPr>
      </w:pPr>
      <w:r>
        <w:rPr>
          <w:rFonts w:hint="eastAsia" w:hAnsi="宋体"/>
          <w:bCs/>
        </w:rPr>
        <w:t>上海芯钛尚未盈利，</w:t>
      </w:r>
      <w:r>
        <w:rPr>
          <w:rFonts w:ascii="Times New Roman" w:hAnsi="Times New Roman" w:cs="Times New Roman"/>
          <w:bCs/>
        </w:rPr>
        <w:t>是否能顺利运营并达成预期目标存在一定的不确定性</w:t>
      </w:r>
      <w:r>
        <w:rPr>
          <w:rFonts w:hint="eastAsia" w:ascii="Times New Roman" w:hAnsi="Times New Roman" w:cs="Times New Roman"/>
          <w:bCs/>
        </w:rPr>
        <w:t>，并可能对本次投资的投资收益产生不利影响</w:t>
      </w:r>
      <w:r>
        <w:rPr>
          <w:rFonts w:hint="eastAsia" w:hAnsi="宋体"/>
          <w:bCs/>
        </w:rPr>
        <w:t>；</w:t>
      </w:r>
    </w:p>
    <w:p>
      <w:pPr>
        <w:pStyle w:val="19"/>
        <w:numPr>
          <w:ilvl w:val="0"/>
          <w:numId w:val="27"/>
        </w:numPr>
        <w:spacing w:line="360" w:lineRule="auto"/>
        <w:rPr>
          <w:rFonts w:ascii="Times New Roman" w:hAnsi="Times New Roman" w:cs="Times New Roman" w:eastAsiaTheme="minorEastAsia"/>
        </w:rPr>
      </w:pPr>
      <w:r>
        <w:rPr>
          <w:rFonts w:hint="eastAsia" w:hAnsi="宋体"/>
          <w:bCs/>
        </w:rPr>
        <w:t>本次交易完成后</w:t>
      </w:r>
      <w:r>
        <w:rPr>
          <w:rFonts w:ascii="Times New Roman" w:hAnsi="Times New Roman" w:cs="Times New Roman"/>
          <w:bCs/>
        </w:rPr>
        <w:t>，公司持有上海芯钛</w:t>
      </w:r>
      <w:r>
        <w:rPr>
          <w:rFonts w:ascii="Times New Roman" w:hAnsi="Times New Roman" w:cs="Times New Roman"/>
        </w:rPr>
        <w:t>1.7391</w:t>
      </w:r>
      <w:r>
        <w:rPr>
          <w:rFonts w:ascii="Times New Roman" w:hAnsi="Times New Roman" w:cs="Times New Roman"/>
          <w:bCs/>
        </w:rPr>
        <w:t>%股权，上海芯钛</w:t>
      </w:r>
      <w:r>
        <w:rPr>
          <w:rFonts w:hint="eastAsia" w:ascii="Times New Roman" w:hAnsi="Times New Roman" w:cs="Times New Roman"/>
          <w:bCs/>
        </w:rPr>
        <w:t>仍</w:t>
      </w:r>
      <w:r>
        <w:rPr>
          <w:rFonts w:ascii="Times New Roman" w:hAnsi="Times New Roman" w:cs="Times New Roman"/>
          <w:bCs/>
        </w:rPr>
        <w:t>由原管理团队负责运营，公司对其经营管理不具有控制权。</w:t>
      </w:r>
      <w:r>
        <w:rPr>
          <w:rFonts w:hint="eastAsia" w:ascii="Times New Roman" w:hAnsi="Times New Roman" w:cs="Times New Roman"/>
          <w:bCs/>
        </w:rPr>
        <w:t>上海芯钛的经营管理是否高效存在一定的不确定性。公司将进一步督促上海芯钛健全和完善治理结构，关注其运营、管理情况，不断完善内部控制、监督机制和风险防范机制，积极防范相关风险，推动上海芯钛的稳健发展；</w:t>
      </w:r>
    </w:p>
    <w:p>
      <w:pPr>
        <w:pStyle w:val="19"/>
        <w:numPr>
          <w:ilvl w:val="0"/>
          <w:numId w:val="27"/>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上海芯钛进行芯片研发需要长期的资本投入，新产品是否能满足市场需求存在不确定</w:t>
      </w:r>
      <w:r>
        <w:rPr>
          <w:rFonts w:hint="eastAsia" w:ascii="Times New Roman" w:hAnsi="Times New Roman" w:cs="Times New Roman" w:eastAsiaTheme="minorEastAsia"/>
          <w:lang w:val="en-US" w:eastAsia="zh-CN"/>
        </w:rPr>
        <w:t>性</w:t>
      </w:r>
      <w:r>
        <w:rPr>
          <w:rFonts w:hint="eastAsia" w:ascii="Times New Roman" w:hAnsi="Times New Roman" w:cs="Times New Roman" w:eastAsiaTheme="minorEastAsia"/>
        </w:rPr>
        <w:t>，因此本次投资的投资收益具有不确定性；</w:t>
      </w:r>
    </w:p>
    <w:p>
      <w:pPr>
        <w:pStyle w:val="19"/>
        <w:numPr>
          <w:ilvl w:val="0"/>
          <w:numId w:val="27"/>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公司从未从事有关芯片研发、生产、设计及销售相关的业务，若芯片整体行业发展不及预期，可能对本次投资的投资收益产生不利影响；</w:t>
      </w:r>
    </w:p>
    <w:p>
      <w:pPr>
        <w:pStyle w:val="19"/>
        <w:numPr>
          <w:ilvl w:val="0"/>
          <w:numId w:val="27"/>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随着车联网安全、车载芯片等领域的逐步发展，现有其他行业龙头进入车载芯片领域，可能导致上海芯钛所处行业竞争加剧。若上海芯钛的技术研发未紧跟产业发展节奏，可能导致其出现市场占有率下滑的风险；</w:t>
      </w:r>
    </w:p>
    <w:p>
      <w:pPr>
        <w:pStyle w:val="19"/>
        <w:numPr>
          <w:ilvl w:val="0"/>
          <w:numId w:val="27"/>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本次投资过程中可能存在市场、经济与政策法律变化等不可预见因素的影响，敬请广大投资者理性投资，注意风险。</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该关联交易应当履行的审议程序</w:t>
      </w:r>
    </w:p>
    <w:p>
      <w:pPr>
        <w:pStyle w:val="19"/>
        <w:numPr>
          <w:ilvl w:val="0"/>
          <w:numId w:val="28"/>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董事会审议情况</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公司于2021年7月9日召开第七届董事会第十七次会议，出席会议董事9名，在关联董事孔令钢先生、陆海天先生、陈宁生先生回避表决的情况下，由其余6名非关联董事审议通过了《关于公司对外投资暨关联交易的议案》。表决结果为：赞成6票，反对0票，弃权0票。根据上海证券交易所《股票上市规则》及《公司章程》的规定，本议案无需提交公司股东大会审议。</w:t>
      </w:r>
    </w:p>
    <w:p>
      <w:pPr>
        <w:pStyle w:val="19"/>
        <w:numPr>
          <w:ilvl w:val="0"/>
          <w:numId w:val="28"/>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独立董事意见</w:t>
      </w:r>
    </w:p>
    <w:p>
      <w:pPr>
        <w:pStyle w:val="19"/>
        <w:numPr>
          <w:ilvl w:val="0"/>
          <w:numId w:val="29"/>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独立董事事前认可</w:t>
      </w:r>
    </w:p>
    <w:p>
      <w:pPr>
        <w:pStyle w:val="19"/>
        <w:spacing w:line="360" w:lineRule="auto"/>
        <w:ind w:firstLine="420"/>
        <w:rPr>
          <w:rFonts w:ascii="Times New Roman" w:hAnsi="Times New Roman" w:cs="Times New Roman" w:eastAsiaTheme="minorEastAsia"/>
        </w:rPr>
      </w:pPr>
      <w:r>
        <w:rPr>
          <w:rFonts w:hint="eastAsia" w:cs="宋体"/>
          <w:color w:val="000000"/>
          <w:kern w:val="0"/>
          <w:sz w:val="24"/>
          <w:szCs w:val="24"/>
          <w:lang w:val="en-US" w:eastAsia="zh-CN" w:bidi="ar"/>
        </w:rPr>
        <w:t>公司本次对关联方上海芯钛信息科技有限公司进行增资，是为加强车联网安全行业布局，推动公司自身稳定发展，发挥车联网产业协同效应，有利于公司进一步增强自身竞争力。本次对外投资暨关联交易事项不存在影响公司独立性的情形，未损害公司及股东利益。本次拟提交董事会审议事项材料齐全，我们同意将该事项提交公司第七届董事会第十七次会议审议。</w:t>
      </w:r>
    </w:p>
    <w:p>
      <w:pPr>
        <w:pStyle w:val="19"/>
        <w:numPr>
          <w:ilvl w:val="0"/>
          <w:numId w:val="29"/>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独立董事意见</w:t>
      </w:r>
    </w:p>
    <w:p>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20" w:firstLineChars="0"/>
        <w:jc w:val="both"/>
        <w:textAlignment w:val="auto"/>
        <w:rPr>
          <w:rFonts w:hint="eastAsia" w:ascii="Times New Roman" w:hAnsi="Times New Roman" w:cs="Times New Roman" w:eastAsiaTheme="minorEastAsia"/>
        </w:rPr>
      </w:pPr>
      <w:r>
        <w:rPr>
          <w:rFonts w:hint="eastAsia" w:ascii="Times New Roman" w:hAnsi="Times New Roman" w:cs="Times New Roman" w:eastAsiaTheme="minorEastAsia"/>
          <w:lang w:val="en-US" w:eastAsia="zh-CN"/>
        </w:rPr>
        <w:t>公司本次对外投资暨关联交易</w:t>
      </w:r>
      <w:r>
        <w:rPr>
          <w:rFonts w:hint="eastAsia" w:ascii="Times New Roman" w:hAnsi="Times New Roman" w:cs="Times New Roman" w:eastAsiaTheme="minorEastAsia"/>
        </w:rPr>
        <w:t>事项决策程序符合《上海证券交易所上市规则》、《上海证券交易所上市公司关联交易实施指引》、《公司章程》以及《公司关联交易决策制度》</w:t>
      </w:r>
      <w:r>
        <w:rPr>
          <w:rFonts w:hint="eastAsia" w:ascii="Times New Roman" w:hAnsi="Times New Roman" w:cs="Times New Roman" w:eastAsiaTheme="minorEastAsia"/>
          <w:lang w:val="en-US" w:eastAsia="zh-CN"/>
        </w:rPr>
        <w:t>的规定，会议的召开符合《公司法》等有关法律法规的规定。本次对外投资暨关联交易是基于公司长远战略发展需要而做出的投资行为，能够</w:t>
      </w:r>
      <w:r>
        <w:rPr>
          <w:rFonts w:hint="eastAsia" w:ascii="Times New Roman" w:hAnsi="Times New Roman" w:cs="Times New Roman" w:eastAsiaTheme="minorEastAsia"/>
        </w:rPr>
        <w:t>充分调用了各方资源优势，有利于公司</w:t>
      </w:r>
      <w:r>
        <w:rPr>
          <w:rFonts w:hint="eastAsia" w:ascii="Times New Roman" w:hAnsi="Times New Roman" w:cs="Times New Roman" w:eastAsiaTheme="minorEastAsia"/>
          <w:lang w:val="en-US" w:eastAsia="zh-CN"/>
        </w:rPr>
        <w:t>进一步拓展车联网安全领域的市场布局。</w:t>
      </w:r>
      <w:r>
        <w:rPr>
          <w:rFonts w:hint="eastAsia" w:ascii="Times New Roman" w:hAnsi="Times New Roman" w:cs="Times New Roman" w:eastAsiaTheme="minorEastAsia"/>
          <w:highlight w:val="none"/>
          <w:lang w:val="en-US" w:eastAsia="zh-CN"/>
        </w:rPr>
        <w:t>公司增资单价与其他投资方增资单价一致，关联交易定价公允。本次</w:t>
      </w:r>
      <w:r>
        <w:rPr>
          <w:rFonts w:hint="eastAsia" w:ascii="Times New Roman" w:hAnsi="Times New Roman" w:cs="Times New Roman" w:eastAsiaTheme="minorEastAsia"/>
          <w:lang w:val="en-US" w:eastAsia="zh-CN"/>
        </w:rPr>
        <w:t>关联交易不会对公司独立性产生影响，不存在损害上市公司及中小股东利益的情形</w:t>
      </w:r>
      <w:r>
        <w:rPr>
          <w:rFonts w:hint="eastAsia" w:ascii="Times New Roman" w:hAnsi="Times New Roman" w:cs="Times New Roman" w:eastAsiaTheme="minorEastAsia"/>
        </w:rPr>
        <w:t>。</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lang w:val="en-US" w:eastAsia="zh-CN"/>
        </w:rPr>
        <w:t>我们一致同意公司本次对外投资暨关联交易事项。</w:t>
      </w:r>
    </w:p>
    <w:p>
      <w:pPr>
        <w:pStyle w:val="19"/>
        <w:numPr>
          <w:ilvl w:val="0"/>
          <w:numId w:val="28"/>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保荐机构意见</w:t>
      </w:r>
    </w:p>
    <w:p>
      <w:pPr>
        <w:pStyle w:val="19"/>
        <w:numPr>
          <w:ilvl w:val="255"/>
          <w:numId w:val="0"/>
        </w:numPr>
        <w:spacing w:line="360" w:lineRule="auto"/>
        <w:rPr>
          <w:rFonts w:ascii="Times New Roman" w:hAnsi="Times New Roman" w:cs="Times New Roman"/>
          <w:kern w:val="2"/>
        </w:rPr>
      </w:pPr>
      <w:r>
        <w:rPr>
          <w:rFonts w:hint="eastAsia" w:ascii="Times New Roman" w:hAnsi="Times New Roman" w:cs="Times New Roman"/>
          <w:kern w:val="2"/>
        </w:rPr>
        <w:t>经核查，公司保荐机构中信证券股份有限公司认为：</w:t>
      </w:r>
    </w:p>
    <w:p>
      <w:pPr>
        <w:pStyle w:val="19"/>
        <w:numPr>
          <w:ilvl w:val="255"/>
          <w:numId w:val="0"/>
        </w:numPr>
        <w:spacing w:line="360" w:lineRule="auto"/>
        <w:ind w:firstLine="420"/>
        <w:rPr>
          <w:rFonts w:ascii="Times New Roman" w:hAnsi="Times New Roman" w:cs="Times New Roman" w:eastAsiaTheme="minorEastAsia"/>
          <w:highlight w:val="yellow"/>
        </w:rPr>
      </w:pPr>
      <w:r>
        <w:rPr>
          <w:rFonts w:hint="eastAsia" w:ascii="Times New Roman" w:hAnsi="Times New Roman" w:cs="Times New Roman"/>
          <w:color w:val="000000"/>
          <w:kern w:val="2"/>
          <w:sz w:val="24"/>
          <w:szCs w:val="24"/>
          <w:lang w:val="en-US" w:bidi="ar-SA"/>
        </w:rPr>
        <w:t>该关联交易已经公司董事会审议通过，公司董事会在审议上述关联交易时，关联董事就相关议案进行了回避表决，独立董事进行了事前认可并发表了明确同意的独立意见，本次关联交易事项无需提交公司股东大会审议。</w:t>
      </w:r>
      <w:r>
        <w:rPr>
          <w:rFonts w:ascii="Times New Roman" w:hAnsi="Times New Roman" w:cs="Times New Roman"/>
          <w:color w:val="000000"/>
          <w:kern w:val="2"/>
          <w:sz w:val="24"/>
          <w:szCs w:val="24"/>
          <w:lang w:val="en-US" w:bidi="ar-SA"/>
        </w:rPr>
        <w:t>本次增资暨关联交易符合《上海证券交易所股票上市规则》及《上海证券交易所上市公司关联交易实施指引》等相关法律法规和规范性文件的要求。</w:t>
      </w:r>
    </w:p>
    <w:p>
      <w:pPr>
        <w:pStyle w:val="19"/>
        <w:spacing w:before="156" w:beforeLines="50" w:after="156" w:afterLines="50" w:line="360" w:lineRule="auto"/>
        <w:ind w:left="420"/>
        <w:rPr>
          <w:rFonts w:ascii="Times New Roman" w:hAnsi="Times New Roman" w:cs="Times New Roman" w:eastAsiaTheme="minorEastAsia"/>
        </w:rPr>
      </w:pPr>
    </w:p>
    <w:p>
      <w:pPr>
        <w:pStyle w:val="19"/>
        <w:spacing w:before="156" w:beforeLines="50" w:after="156" w:afterLines="50" w:line="360" w:lineRule="auto"/>
        <w:ind w:firstLine="420" w:firstLineChars="175"/>
        <w:rPr>
          <w:rFonts w:ascii="Times New Roman" w:hAnsi="Times New Roman" w:cs="Times New Roman" w:eastAsiaTheme="minorEastAsia"/>
        </w:rPr>
      </w:pPr>
      <w:r>
        <w:rPr>
          <w:rFonts w:ascii="Times New Roman" w:hAnsi="Times New Roman" w:cs="Times New Roman" w:eastAsiaTheme="minorEastAsia"/>
        </w:rPr>
        <w:t>特此公告。</w:t>
      </w:r>
    </w:p>
    <w:p>
      <w:pPr>
        <w:spacing w:line="360" w:lineRule="auto"/>
        <w:ind w:firstLine="470" w:firstLineChars="196"/>
        <w:jc w:val="right"/>
        <w:rPr>
          <w:rFonts w:eastAsiaTheme="minorEastAsia"/>
          <w:color w:val="000000"/>
          <w:sz w:val="24"/>
          <w:szCs w:val="24"/>
        </w:rPr>
      </w:pPr>
      <w:r>
        <w:rPr>
          <w:rFonts w:eastAsiaTheme="minorEastAsia"/>
          <w:color w:val="000000"/>
          <w:sz w:val="24"/>
          <w:szCs w:val="24"/>
        </w:rPr>
        <w:t>格尔软件股份有限公司</w:t>
      </w:r>
      <w:r>
        <w:rPr>
          <w:rFonts w:hint="eastAsia" w:eastAsiaTheme="minorEastAsia"/>
          <w:color w:val="000000"/>
          <w:sz w:val="24"/>
          <w:szCs w:val="24"/>
        </w:rPr>
        <w:t>董事会</w:t>
      </w:r>
    </w:p>
    <w:p>
      <w:pPr>
        <w:spacing w:line="360" w:lineRule="auto"/>
        <w:ind w:firstLine="470" w:firstLineChars="196"/>
        <w:jc w:val="right"/>
        <w:rPr>
          <w:rFonts w:eastAsiaTheme="minorEastAsia"/>
          <w:color w:val="000000"/>
          <w:sz w:val="24"/>
          <w:szCs w:val="24"/>
        </w:rPr>
      </w:pPr>
      <w:r>
        <w:rPr>
          <w:rFonts w:eastAsiaTheme="minorEastAsia"/>
          <w:color w:val="000000"/>
          <w:sz w:val="24"/>
          <w:szCs w:val="24"/>
        </w:rPr>
        <w:t>202</w:t>
      </w:r>
      <w:r>
        <w:rPr>
          <w:rFonts w:hint="eastAsia" w:eastAsiaTheme="minorEastAsia"/>
          <w:color w:val="000000"/>
          <w:sz w:val="24"/>
          <w:szCs w:val="24"/>
        </w:rPr>
        <w:t>1</w:t>
      </w:r>
      <w:r>
        <w:rPr>
          <w:rFonts w:eastAsiaTheme="minorEastAsia"/>
          <w:color w:val="000000"/>
          <w:sz w:val="24"/>
          <w:szCs w:val="24"/>
        </w:rPr>
        <w:t>年</w:t>
      </w:r>
      <w:r>
        <w:rPr>
          <w:rFonts w:hint="eastAsia" w:eastAsiaTheme="minorEastAsia"/>
          <w:color w:val="000000"/>
          <w:sz w:val="24"/>
          <w:szCs w:val="24"/>
        </w:rPr>
        <w:t>7月10</w:t>
      </w:r>
      <w:r>
        <w:rPr>
          <w:rFonts w:eastAsiaTheme="minorEastAsia"/>
          <w:color w:val="000000"/>
          <w:sz w:val="24"/>
          <w:szCs w:val="24"/>
        </w:rPr>
        <w:t>日</w:t>
      </w:r>
    </w:p>
    <w:p>
      <w:pPr>
        <w:spacing w:line="360" w:lineRule="auto"/>
        <w:ind w:firstLine="470" w:firstLineChars="196"/>
        <w:jc w:val="right"/>
        <w:rPr>
          <w:rFonts w:eastAsiaTheme="minorEastAsia"/>
          <w:color w:val="000000"/>
          <w:sz w:val="24"/>
          <w:szCs w:val="24"/>
        </w:rPr>
      </w:pPr>
    </w:p>
    <w:p>
      <w:pPr>
        <w:pStyle w:val="34"/>
        <w:keepNext w:val="0"/>
        <w:keepLines w:val="0"/>
        <w:pageBreakBefore w:val="0"/>
        <w:numPr>
          <w:ilvl w:val="0"/>
          <w:numId w:val="30"/>
        </w:numPr>
        <w:kinsoku/>
        <w:wordWrap/>
        <w:overflowPunct/>
        <w:topLinePunct w:val="0"/>
        <w:bidi w:val="0"/>
        <w:adjustRightInd w:val="0"/>
        <w:snapToGrid w:val="0"/>
        <w:spacing w:line="360" w:lineRule="auto"/>
        <w:ind w:left="0" w:leftChars="0" w:firstLine="482" w:firstLineChars="200"/>
        <w:textAlignment w:val="auto"/>
        <w:rPr>
          <w:rFonts w:hint="eastAsia" w:ascii="宋体" w:hAnsi="宋体" w:cs="宋体"/>
          <w:b/>
          <w:sz w:val="24"/>
          <w:szCs w:val="24"/>
        </w:rPr>
      </w:pPr>
      <w:r>
        <w:rPr>
          <w:rFonts w:hint="eastAsia" w:ascii="宋体" w:hAnsi="宋体" w:cs="宋体"/>
          <w:b/>
          <w:sz w:val="24"/>
          <w:szCs w:val="24"/>
        </w:rPr>
        <w:t>备查文件：</w:t>
      </w:r>
    </w:p>
    <w:p>
      <w:pPr>
        <w:numPr>
          <w:ilvl w:val="0"/>
          <w:numId w:val="31"/>
        </w:numPr>
        <w:spacing w:line="360" w:lineRule="auto"/>
        <w:rPr>
          <w:rFonts w:eastAsiaTheme="minorEastAsia"/>
          <w:color w:val="000000"/>
          <w:sz w:val="24"/>
          <w:szCs w:val="24"/>
        </w:rPr>
      </w:pPr>
      <w:r>
        <w:rPr>
          <w:rFonts w:hint="eastAsia" w:eastAsiaTheme="minorEastAsia"/>
          <w:color w:val="000000"/>
          <w:sz w:val="24"/>
          <w:szCs w:val="24"/>
        </w:rPr>
        <w:t>格尔软件股份有限公司第七届董事会第十七次会议决议</w:t>
      </w:r>
      <w:r>
        <w:rPr>
          <w:rFonts w:hint="eastAsia" w:eastAsiaTheme="minorEastAsia"/>
          <w:color w:val="000000"/>
          <w:sz w:val="24"/>
          <w:szCs w:val="24"/>
          <w:lang w:eastAsia="zh-CN"/>
        </w:rPr>
        <w:t>；</w:t>
      </w:r>
    </w:p>
    <w:p>
      <w:pPr>
        <w:numPr>
          <w:ilvl w:val="0"/>
          <w:numId w:val="31"/>
        </w:numPr>
        <w:spacing w:line="360" w:lineRule="auto"/>
        <w:rPr>
          <w:rFonts w:eastAsiaTheme="minorEastAsia"/>
          <w:color w:val="000000"/>
          <w:sz w:val="24"/>
          <w:szCs w:val="24"/>
        </w:rPr>
      </w:pPr>
      <w:r>
        <w:rPr>
          <w:rFonts w:eastAsiaTheme="minorEastAsia"/>
          <w:color w:val="000000"/>
          <w:sz w:val="24"/>
          <w:szCs w:val="24"/>
        </w:rPr>
        <w:t>格尔软件股份有限公司独立董事关于公司第七届董事会第十</w:t>
      </w:r>
      <w:r>
        <w:rPr>
          <w:rFonts w:hint="eastAsia" w:eastAsiaTheme="minorEastAsia"/>
          <w:color w:val="000000"/>
          <w:sz w:val="24"/>
          <w:szCs w:val="24"/>
        </w:rPr>
        <w:t>七</w:t>
      </w:r>
      <w:r>
        <w:rPr>
          <w:rFonts w:eastAsiaTheme="minorEastAsia"/>
          <w:color w:val="000000"/>
          <w:sz w:val="24"/>
          <w:szCs w:val="24"/>
        </w:rPr>
        <w:t>次会议相关事项的独立意见</w:t>
      </w:r>
      <w:r>
        <w:rPr>
          <w:rFonts w:hint="eastAsia" w:eastAsiaTheme="minorEastAsia"/>
          <w:color w:val="000000"/>
          <w:sz w:val="24"/>
          <w:szCs w:val="24"/>
          <w:lang w:eastAsia="zh-CN"/>
        </w:rPr>
        <w:t>；</w:t>
      </w:r>
    </w:p>
    <w:p>
      <w:pPr>
        <w:numPr>
          <w:ilvl w:val="0"/>
          <w:numId w:val="31"/>
        </w:numPr>
        <w:spacing w:line="360" w:lineRule="auto"/>
        <w:rPr>
          <w:rFonts w:eastAsiaTheme="minorEastAsia"/>
          <w:color w:val="000000"/>
          <w:sz w:val="24"/>
          <w:szCs w:val="24"/>
        </w:rPr>
      </w:pPr>
      <w:r>
        <w:rPr>
          <w:rFonts w:eastAsiaTheme="minorEastAsia"/>
          <w:color w:val="000000"/>
          <w:sz w:val="24"/>
          <w:szCs w:val="24"/>
        </w:rPr>
        <w:t>格尔软件股份有限公司独立董事关于公司第七届董事会第十</w:t>
      </w:r>
      <w:r>
        <w:rPr>
          <w:rFonts w:hint="eastAsia" w:eastAsiaTheme="minorEastAsia"/>
          <w:color w:val="000000"/>
          <w:sz w:val="24"/>
          <w:szCs w:val="24"/>
        </w:rPr>
        <w:t>七</w:t>
      </w:r>
      <w:r>
        <w:rPr>
          <w:rFonts w:eastAsiaTheme="minorEastAsia"/>
          <w:color w:val="000000"/>
          <w:sz w:val="24"/>
          <w:szCs w:val="24"/>
        </w:rPr>
        <w:t>次会议相关事项的事前认可书</w:t>
      </w:r>
      <w:r>
        <w:rPr>
          <w:rFonts w:hint="eastAsia" w:eastAsiaTheme="minorEastAsia"/>
          <w:color w:val="000000"/>
          <w:sz w:val="24"/>
          <w:szCs w:val="24"/>
          <w:lang w:eastAsia="zh-CN"/>
        </w:rPr>
        <w:t>；</w:t>
      </w:r>
    </w:p>
    <w:p>
      <w:pPr>
        <w:numPr>
          <w:ilvl w:val="0"/>
          <w:numId w:val="31"/>
        </w:numPr>
        <w:spacing w:line="360" w:lineRule="auto"/>
        <w:rPr>
          <w:rFonts w:eastAsiaTheme="minorEastAsia"/>
          <w:color w:val="000000"/>
          <w:sz w:val="24"/>
          <w:szCs w:val="24"/>
        </w:rPr>
      </w:pPr>
      <w:r>
        <w:rPr>
          <w:rFonts w:hint="eastAsia" w:eastAsiaTheme="minorEastAsia"/>
          <w:color w:val="000000"/>
          <w:sz w:val="24"/>
          <w:szCs w:val="24"/>
        </w:rPr>
        <w:t>格尔软件股份有限公司第七届董事会审计委员会第八次会议决议</w:t>
      </w:r>
      <w:r>
        <w:rPr>
          <w:rFonts w:hint="eastAsia" w:eastAsiaTheme="minorEastAsia"/>
          <w:color w:val="000000"/>
          <w:sz w:val="24"/>
          <w:szCs w:val="24"/>
          <w:lang w:eastAsia="zh-CN"/>
        </w:rPr>
        <w:t>；</w:t>
      </w:r>
    </w:p>
    <w:p>
      <w:pPr>
        <w:numPr>
          <w:ilvl w:val="0"/>
          <w:numId w:val="31"/>
        </w:numPr>
        <w:spacing w:line="360" w:lineRule="auto"/>
        <w:rPr>
          <w:rFonts w:eastAsiaTheme="minorEastAsia"/>
          <w:color w:val="000000"/>
          <w:sz w:val="24"/>
          <w:szCs w:val="24"/>
        </w:rPr>
      </w:pPr>
      <w:r>
        <w:rPr>
          <w:rFonts w:hint="eastAsia" w:eastAsiaTheme="minorEastAsia"/>
          <w:color w:val="000000"/>
          <w:sz w:val="24"/>
          <w:szCs w:val="24"/>
        </w:rPr>
        <w:t>中信证券股份有限公司关于格尔软件股份有限公司向上海芯钛信息科技有限公司增资暨关联交易的核查意见</w:t>
      </w:r>
      <w:r>
        <w:rPr>
          <w:rFonts w:hint="eastAsia" w:eastAsiaTheme="minorEastAsia"/>
          <w:color w:val="000000"/>
          <w:sz w:val="24"/>
          <w:szCs w:val="24"/>
          <w:lang w:eastAsia="zh-CN"/>
        </w:rPr>
        <w:t>；</w:t>
      </w:r>
    </w:p>
    <w:p>
      <w:pPr>
        <w:numPr>
          <w:ilvl w:val="0"/>
          <w:numId w:val="31"/>
        </w:numPr>
        <w:spacing w:line="360" w:lineRule="auto"/>
        <w:rPr>
          <w:rFonts w:eastAsiaTheme="minorEastAsia"/>
          <w:color w:val="000000"/>
          <w:sz w:val="24"/>
          <w:szCs w:val="24"/>
        </w:rPr>
      </w:pPr>
      <w:r>
        <w:rPr>
          <w:rFonts w:eastAsiaTheme="minorEastAsia"/>
          <w:color w:val="000000"/>
          <w:sz w:val="24"/>
          <w:szCs w:val="24"/>
        </w:rPr>
        <w:t>上海芯钛信息科技有限公司增资协议</w:t>
      </w:r>
      <w:r>
        <w:rPr>
          <w:rFonts w:hint="eastAsia" w:eastAsiaTheme="minorEastAsia"/>
          <w:color w:val="000000"/>
          <w:sz w:val="24"/>
          <w:szCs w:val="24"/>
          <w:lang w:eastAsia="zh-CN"/>
        </w:rPr>
        <w:t>；</w:t>
      </w:r>
    </w:p>
    <w:p>
      <w:pPr>
        <w:numPr>
          <w:ilvl w:val="0"/>
          <w:numId w:val="31"/>
        </w:numPr>
        <w:spacing w:line="360" w:lineRule="auto"/>
        <w:rPr>
          <w:rFonts w:hint="eastAsia" w:eastAsiaTheme="minorEastAsia"/>
          <w:color w:val="000000"/>
          <w:sz w:val="24"/>
          <w:szCs w:val="24"/>
        </w:rPr>
      </w:pPr>
      <w:r>
        <w:rPr>
          <w:rFonts w:hint="eastAsia" w:eastAsiaTheme="minorEastAsia"/>
          <w:color w:val="000000"/>
          <w:sz w:val="24"/>
          <w:szCs w:val="24"/>
        </w:rPr>
        <w:t>上海芯钛信息科技有限公司股东全部权益价值估值报告</w:t>
      </w:r>
      <w:r>
        <w:rPr>
          <w:rFonts w:hint="eastAsia" w:eastAsiaTheme="minorEastAsia"/>
          <w:color w:val="000000"/>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456D0"/>
    <w:multiLevelType w:val="singleLevel"/>
    <w:tmpl w:val="8A3456D0"/>
    <w:lvl w:ilvl="0" w:tentative="0">
      <w:start w:val="1"/>
      <w:numFmt w:val="chineseCounting"/>
      <w:suff w:val="nothing"/>
      <w:lvlText w:val="（%1）"/>
      <w:lvlJc w:val="left"/>
      <w:pPr>
        <w:ind w:left="0" w:firstLine="420"/>
      </w:pPr>
      <w:rPr>
        <w:rFonts w:hint="eastAsia"/>
      </w:rPr>
    </w:lvl>
  </w:abstractNum>
  <w:abstractNum w:abstractNumId="1">
    <w:nsid w:val="8F2E7F07"/>
    <w:multiLevelType w:val="singleLevel"/>
    <w:tmpl w:val="8F2E7F07"/>
    <w:lvl w:ilvl="0" w:tentative="0">
      <w:start w:val="1"/>
      <w:numFmt w:val="decimal"/>
      <w:suff w:val="nothing"/>
      <w:lvlText w:val="%1．"/>
      <w:lvlJc w:val="left"/>
      <w:pPr>
        <w:ind w:left="0" w:firstLine="400"/>
      </w:pPr>
      <w:rPr>
        <w:rFonts w:hint="default"/>
      </w:rPr>
    </w:lvl>
  </w:abstractNum>
  <w:abstractNum w:abstractNumId="2">
    <w:nsid w:val="8FF68F2B"/>
    <w:multiLevelType w:val="singleLevel"/>
    <w:tmpl w:val="8FF68F2B"/>
    <w:lvl w:ilvl="0" w:tentative="0">
      <w:start w:val="1"/>
      <w:numFmt w:val="decimal"/>
      <w:suff w:val="space"/>
      <w:lvlText w:val="%1."/>
      <w:lvlJc w:val="left"/>
    </w:lvl>
  </w:abstractNum>
  <w:abstractNum w:abstractNumId="3">
    <w:nsid w:val="B0DC01C1"/>
    <w:multiLevelType w:val="singleLevel"/>
    <w:tmpl w:val="B0DC01C1"/>
    <w:lvl w:ilvl="0" w:tentative="0">
      <w:start w:val="1"/>
      <w:numFmt w:val="chineseCounting"/>
      <w:suff w:val="nothing"/>
      <w:lvlText w:val="（%1）"/>
      <w:lvlJc w:val="left"/>
      <w:pPr>
        <w:ind w:left="0" w:firstLine="420"/>
      </w:pPr>
      <w:rPr>
        <w:rFonts w:hint="eastAsia"/>
      </w:rPr>
    </w:lvl>
  </w:abstractNum>
  <w:abstractNum w:abstractNumId="4">
    <w:nsid w:val="B6CA0536"/>
    <w:multiLevelType w:val="singleLevel"/>
    <w:tmpl w:val="B6CA0536"/>
    <w:lvl w:ilvl="0" w:tentative="0">
      <w:start w:val="1"/>
      <w:numFmt w:val="chineseCounting"/>
      <w:suff w:val="nothing"/>
      <w:lvlText w:val="（%1）"/>
      <w:lvlJc w:val="left"/>
      <w:rPr>
        <w:rFonts w:hint="eastAsia"/>
      </w:rPr>
    </w:lvl>
  </w:abstractNum>
  <w:abstractNum w:abstractNumId="5">
    <w:nsid w:val="BBF2C959"/>
    <w:multiLevelType w:val="singleLevel"/>
    <w:tmpl w:val="BBF2C959"/>
    <w:lvl w:ilvl="0" w:tentative="0">
      <w:start w:val="1"/>
      <w:numFmt w:val="decimal"/>
      <w:suff w:val="nothing"/>
      <w:lvlText w:val="%1．"/>
      <w:lvlJc w:val="left"/>
      <w:pPr>
        <w:ind w:left="0" w:firstLine="400"/>
      </w:pPr>
      <w:rPr>
        <w:rFonts w:hint="default"/>
      </w:rPr>
    </w:lvl>
  </w:abstractNum>
  <w:abstractNum w:abstractNumId="6">
    <w:nsid w:val="C13A4858"/>
    <w:multiLevelType w:val="singleLevel"/>
    <w:tmpl w:val="C13A4858"/>
    <w:lvl w:ilvl="0" w:tentative="0">
      <w:start w:val="1"/>
      <w:numFmt w:val="decimal"/>
      <w:lvlText w:val="%1."/>
      <w:lvlJc w:val="left"/>
      <w:pPr>
        <w:ind w:left="425" w:hanging="425"/>
      </w:pPr>
      <w:rPr>
        <w:rFonts w:hint="default"/>
      </w:rPr>
    </w:lvl>
  </w:abstractNum>
  <w:abstractNum w:abstractNumId="7">
    <w:nsid w:val="D23AD003"/>
    <w:multiLevelType w:val="singleLevel"/>
    <w:tmpl w:val="D23AD003"/>
    <w:lvl w:ilvl="0" w:tentative="0">
      <w:start w:val="1"/>
      <w:numFmt w:val="decimal"/>
      <w:lvlText w:val="%1."/>
      <w:lvlJc w:val="left"/>
      <w:pPr>
        <w:ind w:left="425" w:hanging="425"/>
      </w:pPr>
      <w:rPr>
        <w:rFonts w:hint="default"/>
      </w:rPr>
    </w:lvl>
  </w:abstractNum>
  <w:abstractNum w:abstractNumId="8">
    <w:nsid w:val="D2FA019D"/>
    <w:multiLevelType w:val="singleLevel"/>
    <w:tmpl w:val="D2FA019D"/>
    <w:lvl w:ilvl="0" w:tentative="0">
      <w:start w:val="1"/>
      <w:numFmt w:val="decimal"/>
      <w:suff w:val="nothing"/>
      <w:lvlText w:val="%1．"/>
      <w:lvlJc w:val="left"/>
      <w:pPr>
        <w:ind w:left="0" w:firstLine="400"/>
      </w:pPr>
      <w:rPr>
        <w:rFonts w:hint="default"/>
      </w:rPr>
    </w:lvl>
  </w:abstractNum>
  <w:abstractNum w:abstractNumId="9">
    <w:nsid w:val="D6AF3C03"/>
    <w:multiLevelType w:val="singleLevel"/>
    <w:tmpl w:val="D6AF3C03"/>
    <w:lvl w:ilvl="0" w:tentative="0">
      <w:start w:val="1"/>
      <w:numFmt w:val="chineseCounting"/>
      <w:suff w:val="nothing"/>
      <w:lvlText w:val="%1、"/>
      <w:lvlJc w:val="left"/>
      <w:pPr>
        <w:ind w:left="0" w:firstLine="420"/>
      </w:pPr>
      <w:rPr>
        <w:rFonts w:hint="eastAsia"/>
      </w:rPr>
    </w:lvl>
  </w:abstractNum>
  <w:abstractNum w:abstractNumId="10">
    <w:nsid w:val="EFFD1AD6"/>
    <w:multiLevelType w:val="singleLevel"/>
    <w:tmpl w:val="EFFD1AD6"/>
    <w:lvl w:ilvl="0" w:tentative="0">
      <w:start w:val="1"/>
      <w:numFmt w:val="decimal"/>
      <w:suff w:val="nothing"/>
      <w:lvlText w:val="%1．"/>
      <w:lvlJc w:val="left"/>
      <w:pPr>
        <w:ind w:left="0" w:firstLine="400"/>
      </w:pPr>
      <w:rPr>
        <w:rFonts w:hint="default"/>
      </w:rPr>
    </w:lvl>
  </w:abstractNum>
  <w:abstractNum w:abstractNumId="11">
    <w:nsid w:val="F722664C"/>
    <w:multiLevelType w:val="singleLevel"/>
    <w:tmpl w:val="F722664C"/>
    <w:lvl w:ilvl="0" w:tentative="0">
      <w:start w:val="1"/>
      <w:numFmt w:val="decimal"/>
      <w:lvlText w:val="%1)"/>
      <w:lvlJc w:val="left"/>
      <w:pPr>
        <w:ind w:left="425" w:hanging="425"/>
      </w:pPr>
      <w:rPr>
        <w:rFonts w:hint="default"/>
      </w:rPr>
    </w:lvl>
  </w:abstractNum>
  <w:abstractNum w:abstractNumId="12">
    <w:nsid w:val="00B52EE9"/>
    <w:multiLevelType w:val="singleLevel"/>
    <w:tmpl w:val="00B52EE9"/>
    <w:lvl w:ilvl="0" w:tentative="0">
      <w:start w:val="1"/>
      <w:numFmt w:val="decimal"/>
      <w:suff w:val="nothing"/>
      <w:lvlText w:val="%1．"/>
      <w:lvlJc w:val="left"/>
      <w:pPr>
        <w:ind w:left="0" w:firstLine="400"/>
      </w:pPr>
      <w:rPr>
        <w:rFonts w:hint="default"/>
      </w:rPr>
    </w:lvl>
  </w:abstractNum>
  <w:abstractNum w:abstractNumId="13">
    <w:nsid w:val="03341493"/>
    <w:multiLevelType w:val="multilevel"/>
    <w:tmpl w:val="0334149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4">
    <w:nsid w:val="0619C25B"/>
    <w:multiLevelType w:val="singleLevel"/>
    <w:tmpl w:val="0619C25B"/>
    <w:lvl w:ilvl="0" w:tentative="0">
      <w:start w:val="1"/>
      <w:numFmt w:val="decimal"/>
      <w:lvlText w:val="%1."/>
      <w:lvlJc w:val="left"/>
      <w:pPr>
        <w:ind w:left="425" w:hanging="425"/>
      </w:pPr>
      <w:rPr>
        <w:rFonts w:hint="default"/>
      </w:rPr>
    </w:lvl>
  </w:abstractNum>
  <w:abstractNum w:abstractNumId="15">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16">
    <w:nsid w:val="0F8B6DCF"/>
    <w:multiLevelType w:val="singleLevel"/>
    <w:tmpl w:val="0F8B6DCF"/>
    <w:lvl w:ilvl="0" w:tentative="0">
      <w:start w:val="1"/>
      <w:numFmt w:val="decimal"/>
      <w:lvlText w:val="%1)"/>
      <w:lvlJc w:val="left"/>
      <w:pPr>
        <w:ind w:left="425" w:hanging="425"/>
      </w:pPr>
      <w:rPr>
        <w:rFonts w:hint="default"/>
      </w:rPr>
    </w:lvl>
  </w:abstractNum>
  <w:abstractNum w:abstractNumId="17">
    <w:nsid w:val="1446E5D0"/>
    <w:multiLevelType w:val="singleLevel"/>
    <w:tmpl w:val="1446E5D0"/>
    <w:lvl w:ilvl="0" w:tentative="0">
      <w:start w:val="1"/>
      <w:numFmt w:val="decimal"/>
      <w:lvlText w:val="%1."/>
      <w:lvlJc w:val="left"/>
      <w:pPr>
        <w:tabs>
          <w:tab w:val="left" w:pos="312"/>
        </w:tabs>
      </w:pPr>
    </w:lvl>
  </w:abstractNum>
  <w:abstractNum w:abstractNumId="18">
    <w:nsid w:val="15A0D20C"/>
    <w:multiLevelType w:val="singleLevel"/>
    <w:tmpl w:val="15A0D20C"/>
    <w:lvl w:ilvl="0" w:tentative="0">
      <w:start w:val="1"/>
      <w:numFmt w:val="chineseCounting"/>
      <w:suff w:val="nothing"/>
      <w:lvlText w:val="（%1）"/>
      <w:lvlJc w:val="left"/>
      <w:pPr>
        <w:ind w:left="0" w:firstLine="420"/>
      </w:pPr>
      <w:rPr>
        <w:rFonts w:hint="eastAsia"/>
      </w:rPr>
    </w:lvl>
  </w:abstractNum>
  <w:abstractNum w:abstractNumId="19">
    <w:nsid w:val="16E20ACA"/>
    <w:multiLevelType w:val="singleLevel"/>
    <w:tmpl w:val="16E20ACA"/>
    <w:lvl w:ilvl="0" w:tentative="0">
      <w:start w:val="1"/>
      <w:numFmt w:val="decimal"/>
      <w:suff w:val="nothing"/>
      <w:lvlText w:val="%1．"/>
      <w:lvlJc w:val="left"/>
      <w:pPr>
        <w:ind w:left="0" w:firstLine="400"/>
      </w:pPr>
      <w:rPr>
        <w:rFonts w:hint="default"/>
      </w:rPr>
    </w:lvl>
  </w:abstractNum>
  <w:abstractNum w:abstractNumId="20">
    <w:nsid w:val="23DBFEB8"/>
    <w:multiLevelType w:val="singleLevel"/>
    <w:tmpl w:val="23DBFEB8"/>
    <w:lvl w:ilvl="0" w:tentative="0">
      <w:start w:val="1"/>
      <w:numFmt w:val="decimal"/>
      <w:suff w:val="space"/>
      <w:lvlText w:val="%1."/>
      <w:lvlJc w:val="left"/>
    </w:lvl>
  </w:abstractNum>
  <w:abstractNum w:abstractNumId="21">
    <w:nsid w:val="34806E6F"/>
    <w:multiLevelType w:val="singleLevel"/>
    <w:tmpl w:val="34806E6F"/>
    <w:lvl w:ilvl="0" w:tentative="0">
      <w:start w:val="1"/>
      <w:numFmt w:val="decimal"/>
      <w:suff w:val="nothing"/>
      <w:lvlText w:val="%1）"/>
      <w:lvlJc w:val="left"/>
    </w:lvl>
  </w:abstractNum>
  <w:abstractNum w:abstractNumId="22">
    <w:nsid w:val="3D539028"/>
    <w:multiLevelType w:val="singleLevel"/>
    <w:tmpl w:val="3D539028"/>
    <w:lvl w:ilvl="0" w:tentative="0">
      <w:start w:val="1"/>
      <w:numFmt w:val="decimal"/>
      <w:suff w:val="space"/>
      <w:lvlText w:val="%1."/>
      <w:lvlJc w:val="left"/>
    </w:lvl>
  </w:abstractNum>
  <w:abstractNum w:abstractNumId="23">
    <w:nsid w:val="3E92616C"/>
    <w:multiLevelType w:val="singleLevel"/>
    <w:tmpl w:val="3E92616C"/>
    <w:lvl w:ilvl="0" w:tentative="0">
      <w:start w:val="1"/>
      <w:numFmt w:val="decimal"/>
      <w:lvlText w:val="%1)"/>
      <w:lvlJc w:val="left"/>
      <w:pPr>
        <w:ind w:left="425" w:hanging="425"/>
      </w:pPr>
      <w:rPr>
        <w:rFonts w:hint="default"/>
      </w:rPr>
    </w:lvl>
  </w:abstractNum>
  <w:abstractNum w:abstractNumId="24">
    <w:nsid w:val="551C1EC8"/>
    <w:multiLevelType w:val="singleLevel"/>
    <w:tmpl w:val="551C1EC8"/>
    <w:lvl w:ilvl="0" w:tentative="0">
      <w:start w:val="1"/>
      <w:numFmt w:val="chineseCounting"/>
      <w:suff w:val="nothing"/>
      <w:lvlText w:val="（%1）"/>
      <w:lvlJc w:val="left"/>
      <w:pPr>
        <w:ind w:left="0" w:firstLine="420"/>
      </w:pPr>
      <w:rPr>
        <w:rFonts w:hint="eastAsia"/>
      </w:rPr>
    </w:lvl>
  </w:abstractNum>
  <w:abstractNum w:abstractNumId="25">
    <w:nsid w:val="5C36E783"/>
    <w:multiLevelType w:val="singleLevel"/>
    <w:tmpl w:val="5C36E783"/>
    <w:lvl w:ilvl="0" w:tentative="0">
      <w:start w:val="1"/>
      <w:numFmt w:val="decimal"/>
      <w:lvlText w:val="%1."/>
      <w:lvlJc w:val="left"/>
      <w:pPr>
        <w:ind w:left="425" w:hanging="425"/>
      </w:pPr>
      <w:rPr>
        <w:rFonts w:hint="default"/>
      </w:rPr>
    </w:lvl>
  </w:abstractNum>
  <w:abstractNum w:abstractNumId="26">
    <w:nsid w:val="5D5328E7"/>
    <w:multiLevelType w:val="singleLevel"/>
    <w:tmpl w:val="5D5328E7"/>
    <w:lvl w:ilvl="0" w:tentative="0">
      <w:start w:val="1"/>
      <w:numFmt w:val="chineseCounting"/>
      <w:suff w:val="nothing"/>
      <w:lvlText w:val="（%1）"/>
      <w:lvlJc w:val="left"/>
      <w:pPr>
        <w:ind w:left="0" w:firstLine="420"/>
      </w:pPr>
      <w:rPr>
        <w:rFonts w:hint="eastAsia"/>
      </w:rPr>
    </w:lvl>
  </w:abstractNum>
  <w:abstractNum w:abstractNumId="27">
    <w:nsid w:val="70B36A31"/>
    <w:multiLevelType w:val="singleLevel"/>
    <w:tmpl w:val="70B36A31"/>
    <w:lvl w:ilvl="0" w:tentative="0">
      <w:start w:val="1"/>
      <w:numFmt w:val="decimal"/>
      <w:lvlText w:val="%1."/>
      <w:lvlJc w:val="left"/>
      <w:pPr>
        <w:ind w:left="425" w:hanging="425"/>
      </w:pPr>
      <w:rPr>
        <w:rFonts w:hint="default"/>
      </w:rPr>
    </w:lvl>
  </w:abstractNum>
  <w:abstractNum w:abstractNumId="28">
    <w:nsid w:val="70E162F0"/>
    <w:multiLevelType w:val="singleLevel"/>
    <w:tmpl w:val="70E162F0"/>
    <w:lvl w:ilvl="0" w:tentative="0">
      <w:start w:val="1"/>
      <w:numFmt w:val="decimal"/>
      <w:lvlText w:val="%1)"/>
      <w:lvlJc w:val="left"/>
      <w:pPr>
        <w:ind w:left="425" w:hanging="425"/>
      </w:pPr>
      <w:rPr>
        <w:rFonts w:hint="default"/>
      </w:rPr>
    </w:lvl>
  </w:abstractNum>
  <w:abstractNum w:abstractNumId="29">
    <w:nsid w:val="77D0E1DA"/>
    <w:multiLevelType w:val="singleLevel"/>
    <w:tmpl w:val="77D0E1DA"/>
    <w:lvl w:ilvl="0" w:tentative="0">
      <w:start w:val="1"/>
      <w:numFmt w:val="chineseCounting"/>
      <w:suff w:val="nothing"/>
      <w:lvlText w:val="%1、"/>
      <w:lvlJc w:val="left"/>
      <w:pPr>
        <w:ind w:left="0" w:firstLine="420"/>
      </w:pPr>
      <w:rPr>
        <w:rFonts w:hint="eastAsia"/>
      </w:rPr>
    </w:lvl>
  </w:abstractNum>
  <w:abstractNum w:abstractNumId="30">
    <w:nsid w:val="7E48C638"/>
    <w:multiLevelType w:val="singleLevel"/>
    <w:tmpl w:val="7E48C638"/>
    <w:lvl w:ilvl="0" w:tentative="0">
      <w:start w:val="1"/>
      <w:numFmt w:val="decimal"/>
      <w:lvlText w:val="%1)"/>
      <w:lvlJc w:val="left"/>
      <w:pPr>
        <w:ind w:left="425" w:hanging="425"/>
      </w:pPr>
      <w:rPr>
        <w:rFonts w:hint="default"/>
      </w:rPr>
    </w:lvl>
  </w:abstractNum>
  <w:num w:numId="1">
    <w:abstractNumId w:val="15"/>
  </w:num>
  <w:num w:numId="2">
    <w:abstractNumId w:val="29"/>
  </w:num>
  <w:num w:numId="3">
    <w:abstractNumId w:val="18"/>
  </w:num>
  <w:num w:numId="4">
    <w:abstractNumId w:val="10"/>
  </w:num>
  <w:num w:numId="5">
    <w:abstractNumId w:val="11"/>
  </w:num>
  <w:num w:numId="6">
    <w:abstractNumId w:val="23"/>
  </w:num>
  <w:num w:numId="7">
    <w:abstractNumId w:val="28"/>
  </w:num>
  <w:num w:numId="8">
    <w:abstractNumId w:val="30"/>
  </w:num>
  <w:num w:numId="9">
    <w:abstractNumId w:val="26"/>
  </w:num>
  <w:num w:numId="10">
    <w:abstractNumId w:val="19"/>
  </w:num>
  <w:num w:numId="11">
    <w:abstractNumId w:val="21"/>
  </w:num>
  <w:num w:numId="12">
    <w:abstractNumId w:val="4"/>
  </w:num>
  <w:num w:numId="13">
    <w:abstractNumId w:val="22"/>
  </w:num>
  <w:num w:numId="14">
    <w:abstractNumId w:val="2"/>
  </w:num>
  <w:num w:numId="15">
    <w:abstractNumId w:val="20"/>
  </w:num>
  <w:num w:numId="16">
    <w:abstractNumId w:val="5"/>
  </w:num>
  <w:num w:numId="17">
    <w:abstractNumId w:val="8"/>
  </w:num>
  <w:num w:numId="18">
    <w:abstractNumId w:val="12"/>
  </w:num>
  <w:num w:numId="19">
    <w:abstractNumId w:val="24"/>
  </w:num>
  <w:num w:numId="20">
    <w:abstractNumId w:val="9"/>
  </w:num>
  <w:num w:numId="21">
    <w:abstractNumId w:val="25"/>
  </w:num>
  <w:num w:numId="22">
    <w:abstractNumId w:val="14"/>
  </w:num>
  <w:num w:numId="23">
    <w:abstractNumId w:val="6"/>
  </w:num>
  <w:num w:numId="24">
    <w:abstractNumId w:val="7"/>
  </w:num>
  <w:num w:numId="25">
    <w:abstractNumId w:val="27"/>
  </w:num>
  <w:num w:numId="26">
    <w:abstractNumId w:val="16"/>
  </w:num>
  <w:num w:numId="27">
    <w:abstractNumId w:val="3"/>
  </w:num>
  <w:num w:numId="28">
    <w:abstractNumId w:val="0"/>
  </w:num>
  <w:num w:numId="29">
    <w:abstractNumId w:val="1"/>
  </w:num>
  <w:num w:numId="30">
    <w:abstractNumId w:val="13"/>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42413"/>
    <w:rsid w:val="00077408"/>
    <w:rsid w:val="00132C6B"/>
    <w:rsid w:val="0017037A"/>
    <w:rsid w:val="001C2E1A"/>
    <w:rsid w:val="00294AA4"/>
    <w:rsid w:val="00370DED"/>
    <w:rsid w:val="003F2808"/>
    <w:rsid w:val="004A1E21"/>
    <w:rsid w:val="004C2F32"/>
    <w:rsid w:val="005319A4"/>
    <w:rsid w:val="006C4A10"/>
    <w:rsid w:val="007166B6"/>
    <w:rsid w:val="0073348D"/>
    <w:rsid w:val="007D67AF"/>
    <w:rsid w:val="00853DA1"/>
    <w:rsid w:val="00864F0E"/>
    <w:rsid w:val="00920C88"/>
    <w:rsid w:val="00952F2A"/>
    <w:rsid w:val="009D591E"/>
    <w:rsid w:val="00A21D7E"/>
    <w:rsid w:val="00A623E0"/>
    <w:rsid w:val="00B51DE7"/>
    <w:rsid w:val="00B53319"/>
    <w:rsid w:val="00B80518"/>
    <w:rsid w:val="00BC013C"/>
    <w:rsid w:val="00C67CB1"/>
    <w:rsid w:val="00D05849"/>
    <w:rsid w:val="00E2145A"/>
    <w:rsid w:val="00E92FB0"/>
    <w:rsid w:val="00F03C4E"/>
    <w:rsid w:val="00F6030B"/>
    <w:rsid w:val="00F97D57"/>
    <w:rsid w:val="00FC0E9B"/>
    <w:rsid w:val="00FC6E61"/>
    <w:rsid w:val="027912C5"/>
    <w:rsid w:val="02803607"/>
    <w:rsid w:val="05A07DA2"/>
    <w:rsid w:val="06794572"/>
    <w:rsid w:val="06A37B37"/>
    <w:rsid w:val="09162F3C"/>
    <w:rsid w:val="093D5C0F"/>
    <w:rsid w:val="095C0FEC"/>
    <w:rsid w:val="09C42DF4"/>
    <w:rsid w:val="0B5D3571"/>
    <w:rsid w:val="0BCD0000"/>
    <w:rsid w:val="0C0E0C16"/>
    <w:rsid w:val="0D8F60C8"/>
    <w:rsid w:val="0DF04731"/>
    <w:rsid w:val="0E04008C"/>
    <w:rsid w:val="0E1D1636"/>
    <w:rsid w:val="10E70455"/>
    <w:rsid w:val="126533AC"/>
    <w:rsid w:val="1266547B"/>
    <w:rsid w:val="14612776"/>
    <w:rsid w:val="1528299A"/>
    <w:rsid w:val="15A94AC0"/>
    <w:rsid w:val="15C707EB"/>
    <w:rsid w:val="169D05EC"/>
    <w:rsid w:val="16D35F97"/>
    <w:rsid w:val="17E03DA6"/>
    <w:rsid w:val="191B4759"/>
    <w:rsid w:val="19562770"/>
    <w:rsid w:val="19777431"/>
    <w:rsid w:val="1A7F6192"/>
    <w:rsid w:val="1B2472EE"/>
    <w:rsid w:val="1BD55918"/>
    <w:rsid w:val="1C167DF0"/>
    <w:rsid w:val="1C197487"/>
    <w:rsid w:val="1C836598"/>
    <w:rsid w:val="1C9C6D49"/>
    <w:rsid w:val="1D7B0787"/>
    <w:rsid w:val="1FDA3A0D"/>
    <w:rsid w:val="22614385"/>
    <w:rsid w:val="226C7BDE"/>
    <w:rsid w:val="2407043B"/>
    <w:rsid w:val="24C35927"/>
    <w:rsid w:val="24DC2D9B"/>
    <w:rsid w:val="256F441F"/>
    <w:rsid w:val="25853118"/>
    <w:rsid w:val="26E502D6"/>
    <w:rsid w:val="274C63E1"/>
    <w:rsid w:val="275928EB"/>
    <w:rsid w:val="278B716B"/>
    <w:rsid w:val="280F6CD3"/>
    <w:rsid w:val="28FD1C54"/>
    <w:rsid w:val="29032A11"/>
    <w:rsid w:val="296702E1"/>
    <w:rsid w:val="2B7D490C"/>
    <w:rsid w:val="2D4241F6"/>
    <w:rsid w:val="3064077E"/>
    <w:rsid w:val="328231E8"/>
    <w:rsid w:val="32842413"/>
    <w:rsid w:val="338E090E"/>
    <w:rsid w:val="3545569B"/>
    <w:rsid w:val="38605D3C"/>
    <w:rsid w:val="3A943275"/>
    <w:rsid w:val="3A9E2FE3"/>
    <w:rsid w:val="3BAB2F5F"/>
    <w:rsid w:val="3BCD411E"/>
    <w:rsid w:val="3E142650"/>
    <w:rsid w:val="3E98001B"/>
    <w:rsid w:val="3EFB3A95"/>
    <w:rsid w:val="3FA604EC"/>
    <w:rsid w:val="401031B4"/>
    <w:rsid w:val="40CF54BD"/>
    <w:rsid w:val="40D00770"/>
    <w:rsid w:val="41944919"/>
    <w:rsid w:val="41D831DD"/>
    <w:rsid w:val="423C2F13"/>
    <w:rsid w:val="43162A15"/>
    <w:rsid w:val="43AF25FB"/>
    <w:rsid w:val="43FF4EE5"/>
    <w:rsid w:val="44D507FC"/>
    <w:rsid w:val="46E77843"/>
    <w:rsid w:val="47B768D5"/>
    <w:rsid w:val="48454EC6"/>
    <w:rsid w:val="495B086D"/>
    <w:rsid w:val="49A07A5F"/>
    <w:rsid w:val="4A532479"/>
    <w:rsid w:val="4ABB33F3"/>
    <w:rsid w:val="4B320EF3"/>
    <w:rsid w:val="4BC77D6D"/>
    <w:rsid w:val="4BEB7331"/>
    <w:rsid w:val="4C450A60"/>
    <w:rsid w:val="4C51283A"/>
    <w:rsid w:val="4C8824F5"/>
    <w:rsid w:val="4E035D11"/>
    <w:rsid w:val="4E336D4A"/>
    <w:rsid w:val="4F491970"/>
    <w:rsid w:val="500E7A73"/>
    <w:rsid w:val="50554A15"/>
    <w:rsid w:val="50F57699"/>
    <w:rsid w:val="514D5B44"/>
    <w:rsid w:val="536C7610"/>
    <w:rsid w:val="54BB702B"/>
    <w:rsid w:val="56800E66"/>
    <w:rsid w:val="570018BF"/>
    <w:rsid w:val="570D1501"/>
    <w:rsid w:val="57A707CE"/>
    <w:rsid w:val="57AA3960"/>
    <w:rsid w:val="592F5E2E"/>
    <w:rsid w:val="59451684"/>
    <w:rsid w:val="59921912"/>
    <w:rsid w:val="59DB116D"/>
    <w:rsid w:val="5A3D1AE9"/>
    <w:rsid w:val="5AE7349F"/>
    <w:rsid w:val="5D464589"/>
    <w:rsid w:val="5DC73891"/>
    <w:rsid w:val="5DE2250C"/>
    <w:rsid w:val="5DE771C6"/>
    <w:rsid w:val="5E32172E"/>
    <w:rsid w:val="5F0D14A9"/>
    <w:rsid w:val="5F1926A6"/>
    <w:rsid w:val="5F5C1C66"/>
    <w:rsid w:val="5FEB2130"/>
    <w:rsid w:val="604D7ED5"/>
    <w:rsid w:val="613346A0"/>
    <w:rsid w:val="6645658F"/>
    <w:rsid w:val="666C1C7C"/>
    <w:rsid w:val="66DB7D8B"/>
    <w:rsid w:val="679A48E0"/>
    <w:rsid w:val="679E4AF5"/>
    <w:rsid w:val="686179F5"/>
    <w:rsid w:val="688436E7"/>
    <w:rsid w:val="6913294C"/>
    <w:rsid w:val="6AA22BB7"/>
    <w:rsid w:val="6AE243F3"/>
    <w:rsid w:val="6B08203B"/>
    <w:rsid w:val="6B941706"/>
    <w:rsid w:val="6C242488"/>
    <w:rsid w:val="6C614E83"/>
    <w:rsid w:val="6CFE475B"/>
    <w:rsid w:val="6D487591"/>
    <w:rsid w:val="6DD065BB"/>
    <w:rsid w:val="706C504B"/>
    <w:rsid w:val="71545525"/>
    <w:rsid w:val="72BE5C91"/>
    <w:rsid w:val="73B5088A"/>
    <w:rsid w:val="73D13B4D"/>
    <w:rsid w:val="740E6368"/>
    <w:rsid w:val="753B5723"/>
    <w:rsid w:val="753F025C"/>
    <w:rsid w:val="75802FE2"/>
    <w:rsid w:val="77640A99"/>
    <w:rsid w:val="778B7158"/>
    <w:rsid w:val="781D453A"/>
    <w:rsid w:val="78392B89"/>
    <w:rsid w:val="78B17E69"/>
    <w:rsid w:val="78BD51F4"/>
    <w:rsid w:val="7D6F0760"/>
    <w:rsid w:val="7E393055"/>
    <w:rsid w:val="7EF13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1"/>
    <w:pPr>
      <w:spacing w:before="87"/>
      <w:ind w:left="938" w:right="941"/>
      <w:jc w:val="center"/>
      <w:outlineLvl w:val="0"/>
    </w:pPr>
    <w:rPr>
      <w:rFonts w:ascii="黑体" w:hAnsi="黑体" w:eastAsia="黑体" w:cs="黑体"/>
      <w:b/>
      <w:bCs/>
      <w:sz w:val="36"/>
      <w:szCs w:val="36"/>
      <w:lang w:val="zh-CN" w:bidi="zh-CN"/>
    </w:rPr>
  </w:style>
  <w:style w:type="paragraph" w:styleId="3">
    <w:name w:val="heading 2"/>
    <w:basedOn w:val="1"/>
    <w:next w:val="1"/>
    <w:qFormat/>
    <w:uiPriority w:val="1"/>
    <w:pPr>
      <w:spacing w:before="2"/>
      <w:ind w:left="240"/>
      <w:outlineLvl w:val="1"/>
    </w:pPr>
    <w:rPr>
      <w:rFonts w:ascii="宋体" w:hAnsi="宋体" w:cs="宋体"/>
      <w:b/>
      <w:bCs/>
      <w:sz w:val="24"/>
      <w:szCs w:val="24"/>
      <w:lang w:val="zh-CN" w:bidi="zh-CN"/>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5"/>
    <w:qFormat/>
    <w:uiPriority w:val="0"/>
    <w:pPr>
      <w:jc w:val="left"/>
    </w:pPr>
  </w:style>
  <w:style w:type="paragraph" w:styleId="5">
    <w:name w:val="Body Text"/>
    <w:basedOn w:val="1"/>
    <w:qFormat/>
    <w:uiPriority w:val="1"/>
    <w:rPr>
      <w:rFonts w:ascii="宋体" w:hAnsi="宋体" w:cs="宋体"/>
      <w:sz w:val="24"/>
      <w:szCs w:val="24"/>
      <w:lang w:val="zh-CN" w:bidi="zh-CN"/>
    </w:rPr>
  </w:style>
  <w:style w:type="paragraph" w:styleId="6">
    <w:name w:val="Balloon Text"/>
    <w:basedOn w:val="1"/>
    <w:link w:val="25"/>
    <w:qFormat/>
    <w:uiPriority w:val="0"/>
    <w:rPr>
      <w:sz w:val="18"/>
      <w:szCs w:val="18"/>
    </w:rPr>
  </w:style>
  <w:style w:type="paragraph" w:styleId="7">
    <w:name w:val="footer"/>
    <w:basedOn w:val="1"/>
    <w:link w:val="24"/>
    <w:qFormat/>
    <w:uiPriority w:val="0"/>
    <w:pPr>
      <w:tabs>
        <w:tab w:val="center" w:pos="4153"/>
        <w:tab w:val="right" w:pos="8306"/>
      </w:tabs>
      <w:snapToGrid w:val="0"/>
      <w:jc w:val="left"/>
    </w:pPr>
    <w:rPr>
      <w:sz w:val="18"/>
      <w:szCs w:val="18"/>
    </w:rPr>
  </w:style>
  <w:style w:type="paragraph" w:styleId="8">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0">
    <w:name w:val="annotation subject"/>
    <w:basedOn w:val="4"/>
    <w:next w:val="4"/>
    <w:link w:val="36"/>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bdr w:val="single" w:color="CCCCCC" w:sz="6" w:space="0"/>
    </w:rPr>
  </w:style>
  <w:style w:type="character" w:styleId="15">
    <w:name w:val="FollowedHyperlink"/>
    <w:basedOn w:val="13"/>
    <w:qFormat/>
    <w:uiPriority w:val="0"/>
    <w:rPr>
      <w:rFonts w:hint="eastAsia" w:ascii="微软雅黑" w:hAnsi="微软雅黑" w:eastAsia="微软雅黑" w:cs="微软雅黑"/>
      <w:color w:val="800080"/>
      <w:sz w:val="18"/>
      <w:szCs w:val="18"/>
      <w:u w:val="none"/>
    </w:rPr>
  </w:style>
  <w:style w:type="character" w:styleId="16">
    <w:name w:val="Hyperlink"/>
    <w:basedOn w:val="13"/>
    <w:qFormat/>
    <w:uiPriority w:val="0"/>
    <w:rPr>
      <w:rFonts w:hint="eastAsia" w:ascii="微软雅黑" w:hAnsi="微软雅黑" w:eastAsia="微软雅黑" w:cs="微软雅黑"/>
      <w:color w:val="0000FF"/>
      <w:sz w:val="18"/>
      <w:szCs w:val="18"/>
      <w:u w:val="none"/>
    </w:rPr>
  </w:style>
  <w:style w:type="character" w:styleId="17">
    <w:name w:val="annotation reference"/>
    <w:basedOn w:val="13"/>
    <w:qFormat/>
    <w:uiPriority w:val="0"/>
    <w:rPr>
      <w:sz w:val="21"/>
      <w:szCs w:val="21"/>
    </w:rPr>
  </w:style>
  <w:style w:type="paragraph" w:customStyle="1" w:styleId="18">
    <w:name w:val="Table Paragraph"/>
    <w:basedOn w:val="1"/>
    <w:qFormat/>
    <w:uiPriority w:val="1"/>
    <w:pPr>
      <w:spacing w:before="79"/>
    </w:pPr>
    <w:rPr>
      <w:rFonts w:ascii="宋体" w:hAnsi="宋体" w:cs="宋体"/>
      <w:lang w:val="zh-CN" w:bidi="zh-CN"/>
    </w:rPr>
  </w:style>
  <w:style w:type="paragraph" w:customStyle="1" w:styleId="1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0">
    <w:name w:val="font21"/>
    <w:basedOn w:val="13"/>
    <w:qFormat/>
    <w:uiPriority w:val="0"/>
    <w:rPr>
      <w:rFonts w:hint="default" w:ascii="Times New Roman" w:hAnsi="Times New Roman" w:cs="Times New Roman"/>
      <w:color w:val="000000"/>
      <w:sz w:val="21"/>
      <w:szCs w:val="21"/>
      <w:u w:val="none"/>
    </w:rPr>
  </w:style>
  <w:style w:type="character" w:customStyle="1" w:styleId="21">
    <w:name w:val="font41"/>
    <w:basedOn w:val="13"/>
    <w:qFormat/>
    <w:uiPriority w:val="0"/>
    <w:rPr>
      <w:rFonts w:hint="default" w:ascii="Times New Roman" w:hAnsi="Times New Roman" w:cs="Times New Roman"/>
      <w:color w:val="000000"/>
      <w:sz w:val="21"/>
      <w:szCs w:val="21"/>
      <w:u w:val="none"/>
    </w:rPr>
  </w:style>
  <w:style w:type="character" w:customStyle="1" w:styleId="22">
    <w:name w:val="font31"/>
    <w:basedOn w:val="13"/>
    <w:qFormat/>
    <w:uiPriority w:val="0"/>
    <w:rPr>
      <w:rFonts w:hint="eastAsia" w:ascii="宋体" w:hAnsi="宋体" w:eastAsia="宋体" w:cs="宋体"/>
      <w:color w:val="000000"/>
      <w:sz w:val="21"/>
      <w:szCs w:val="21"/>
      <w:u w:val="none"/>
    </w:rPr>
  </w:style>
  <w:style w:type="character" w:customStyle="1" w:styleId="23">
    <w:name w:val="页眉 Char"/>
    <w:basedOn w:val="13"/>
    <w:link w:val="8"/>
    <w:qFormat/>
    <w:uiPriority w:val="0"/>
    <w:rPr>
      <w:rFonts w:ascii="Times New Roman" w:hAnsi="Times New Roman" w:cs="Times New Roman"/>
      <w:kern w:val="2"/>
      <w:sz w:val="18"/>
      <w:szCs w:val="18"/>
    </w:rPr>
  </w:style>
  <w:style w:type="character" w:customStyle="1" w:styleId="24">
    <w:name w:val="页脚 Char"/>
    <w:basedOn w:val="13"/>
    <w:link w:val="7"/>
    <w:qFormat/>
    <w:uiPriority w:val="0"/>
    <w:rPr>
      <w:rFonts w:ascii="Times New Roman" w:hAnsi="Times New Roman" w:cs="Times New Roman"/>
      <w:kern w:val="2"/>
      <w:sz w:val="18"/>
      <w:szCs w:val="18"/>
    </w:rPr>
  </w:style>
  <w:style w:type="character" w:customStyle="1" w:styleId="25">
    <w:name w:val="批注框文本 Char"/>
    <w:basedOn w:val="13"/>
    <w:link w:val="6"/>
    <w:qFormat/>
    <w:uiPriority w:val="0"/>
    <w:rPr>
      <w:rFonts w:ascii="Times New Roman" w:hAnsi="Times New Roman" w:cs="Times New Roman"/>
      <w:kern w:val="2"/>
      <w:sz w:val="18"/>
      <w:szCs w:val="18"/>
    </w:rPr>
  </w:style>
  <w:style w:type="character" w:customStyle="1" w:styleId="26">
    <w:name w:val="red"/>
    <w:basedOn w:val="13"/>
    <w:qFormat/>
    <w:uiPriority w:val="0"/>
    <w:rPr>
      <w:b/>
      <w:color w:val="E60012"/>
      <w:sz w:val="21"/>
      <w:szCs w:val="21"/>
    </w:rPr>
  </w:style>
  <w:style w:type="character" w:customStyle="1" w:styleId="27">
    <w:name w:val="red1"/>
    <w:basedOn w:val="13"/>
    <w:qFormat/>
    <w:uiPriority w:val="0"/>
    <w:rPr>
      <w:color w:val="E60012"/>
    </w:rPr>
  </w:style>
  <w:style w:type="character" w:customStyle="1" w:styleId="28">
    <w:name w:val="text"/>
    <w:basedOn w:val="13"/>
    <w:qFormat/>
    <w:uiPriority w:val="0"/>
    <w:rPr>
      <w:color w:val="999999"/>
    </w:rPr>
  </w:style>
  <w:style w:type="character" w:customStyle="1" w:styleId="29">
    <w:name w:val="blue"/>
    <w:basedOn w:val="13"/>
    <w:qFormat/>
    <w:uiPriority w:val="0"/>
    <w:rPr>
      <w:rFonts w:ascii="Arial" w:hAnsi="Arial" w:cs="Arial"/>
      <w:color w:val="1655A3"/>
      <w:sz w:val="22"/>
      <w:szCs w:val="22"/>
    </w:rPr>
  </w:style>
  <w:style w:type="character" w:customStyle="1" w:styleId="30">
    <w:name w:val="totle"/>
    <w:basedOn w:val="13"/>
    <w:qFormat/>
    <w:uiPriority w:val="0"/>
    <w:rPr>
      <w:rFonts w:ascii="Arial" w:hAnsi="Arial" w:cs="Arial"/>
      <w:b/>
      <w:color w:val="FFFFFF"/>
      <w:sz w:val="54"/>
      <w:szCs w:val="54"/>
    </w:rPr>
  </w:style>
  <w:style w:type="character" w:customStyle="1" w:styleId="31">
    <w:name w:val="line4"/>
    <w:basedOn w:val="13"/>
    <w:qFormat/>
    <w:uiPriority w:val="0"/>
    <w:rPr>
      <w:bdr w:val="single" w:color="333333" w:sz="6" w:space="0"/>
    </w:rPr>
  </w:style>
  <w:style w:type="character" w:customStyle="1" w:styleId="32">
    <w:name w:val="bb"/>
    <w:basedOn w:val="13"/>
    <w:qFormat/>
    <w:uiPriority w:val="0"/>
    <w:rPr>
      <w:color w:val="FFFFFF"/>
      <w:sz w:val="21"/>
      <w:szCs w:val="21"/>
      <w:shd w:val="clear" w:color="auto" w:fill="3399FF"/>
    </w:rPr>
  </w:style>
  <w:style w:type="character" w:customStyle="1" w:styleId="33">
    <w:name w:val="DeltaView Deletion"/>
    <w:qFormat/>
    <w:uiPriority w:val="99"/>
    <w:rPr>
      <w:strike/>
      <w:color w:val="FF0000"/>
    </w:rPr>
  </w:style>
  <w:style w:type="paragraph" w:styleId="34">
    <w:name w:val="List Paragraph"/>
    <w:basedOn w:val="1"/>
    <w:qFormat/>
    <w:uiPriority w:val="34"/>
    <w:pPr>
      <w:spacing w:line="380" w:lineRule="exact"/>
      <w:ind w:firstLine="420"/>
      <w:jc w:val="left"/>
    </w:pPr>
    <w:rPr>
      <w:sz w:val="28"/>
      <w:szCs w:val="28"/>
    </w:rPr>
  </w:style>
  <w:style w:type="character" w:customStyle="1" w:styleId="35">
    <w:name w:val="批注文字 Char"/>
    <w:basedOn w:val="13"/>
    <w:link w:val="4"/>
    <w:qFormat/>
    <w:uiPriority w:val="0"/>
    <w:rPr>
      <w:kern w:val="2"/>
      <w:sz w:val="21"/>
    </w:rPr>
  </w:style>
  <w:style w:type="character" w:customStyle="1" w:styleId="36">
    <w:name w:val="批注主题 Char"/>
    <w:basedOn w:val="35"/>
    <w:link w:val="10"/>
    <w:qFormat/>
    <w:uiPriority w:val="0"/>
    <w:rPr>
      <w:b/>
      <w:bCs/>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E78BA2-8BA9-4315-B097-F556396BE9BF}">
  <ds:schemaRefs/>
</ds:datastoreItem>
</file>

<file path=docProps/app.xml><?xml version="1.0" encoding="utf-8"?>
<Properties xmlns="http://schemas.openxmlformats.org/officeDocument/2006/extended-properties" xmlns:vt="http://schemas.openxmlformats.org/officeDocument/2006/docPropsVTypes">
  <Template>Normal.dotm</Template>
  <Company>Windows User</Company>
  <Pages>23</Pages>
  <Words>2450</Words>
  <Characters>13968</Characters>
  <Lines>116</Lines>
  <Paragraphs>32</Paragraphs>
  <TotalTime>1</TotalTime>
  <ScaleCrop>false</ScaleCrop>
  <LinksUpToDate>false</LinksUpToDate>
  <CharactersWithSpaces>16386</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2020-10-28T07:25:00Z</dcterms:created>
  <dc:creator>邹岩</dc:creator>
  <cp:lastModifiedBy>邹岩</cp:lastModifiedBy>
  <dcterms:modified xsi:type="dcterms:W3CDTF">2021-07-09T05:17:15Z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63762EB3C41B47A382D381CEEF494B12</vt:lpwstr>
  </property>
</Properties>
</file>