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ascii="Times New Roman" w:hAnsi="Times New Roman" w:cs="Times New Roman"/>
          <w:szCs w:val="21"/>
        </w:rPr>
      </w:pPr>
      <w:r>
        <w:rPr>
          <w:rFonts w:ascii="Times New Roman" w:hAnsi="Times New Roman" w:cs="Times New Roman"/>
          <w:szCs w:val="21"/>
        </w:rPr>
        <w:t>证券代码：603232               证券简称：格尔软件            公告编号：2022-</w:t>
      </w:r>
      <w:r>
        <w:rPr>
          <w:rFonts w:hint="eastAsia" w:ascii="Times New Roman" w:hAnsi="Times New Roman" w:cs="Times New Roman"/>
          <w:szCs w:val="21"/>
        </w:rPr>
        <w:t>063</w:t>
      </w:r>
    </w:p>
    <w:p>
      <w:pPr>
        <w:autoSpaceDE w:val="0"/>
        <w:autoSpaceDN w:val="0"/>
        <w:adjustRightInd w:val="0"/>
        <w:spacing w:line="360" w:lineRule="auto"/>
        <w:rPr>
          <w:rFonts w:ascii="Times New Roman" w:hAnsi="Times New Roman" w:cs="Times New Roman"/>
          <w:color w:val="000000"/>
          <w:szCs w:val="21"/>
        </w:rPr>
      </w:pPr>
    </w:p>
    <w:p>
      <w:pPr>
        <w:autoSpaceDE w:val="0"/>
        <w:autoSpaceDN w:val="0"/>
        <w:adjustRightInd w:val="0"/>
        <w:spacing w:line="360" w:lineRule="auto"/>
        <w:jc w:val="center"/>
        <w:rPr>
          <w:rFonts w:ascii="Times New Roman" w:hAnsi="Times New Roman" w:eastAsia="黑体" w:cs="Times New Roman"/>
          <w:b/>
          <w:color w:val="FF0000"/>
          <w:sz w:val="36"/>
          <w:szCs w:val="36"/>
        </w:rPr>
      </w:pPr>
      <w:r>
        <w:rPr>
          <w:rFonts w:ascii="Times New Roman" w:hAnsi="Times New Roman" w:eastAsia="黑体" w:cs="Times New Roman"/>
          <w:b/>
          <w:color w:val="FF0000"/>
          <w:sz w:val="36"/>
          <w:szCs w:val="36"/>
        </w:rPr>
        <w:t>格尔软件股份有限公司</w:t>
      </w:r>
    </w:p>
    <w:p>
      <w:pPr>
        <w:autoSpaceDE w:val="0"/>
        <w:autoSpaceDN w:val="0"/>
        <w:adjustRightInd w:val="0"/>
        <w:spacing w:line="360" w:lineRule="auto"/>
        <w:jc w:val="center"/>
        <w:rPr>
          <w:rFonts w:ascii="Times New Roman" w:hAnsi="Times New Roman" w:cs="Times New Roman"/>
          <w:color w:val="000000"/>
        </w:rPr>
      </w:pPr>
      <w:r>
        <w:rPr>
          <w:rFonts w:ascii="Times New Roman" w:hAnsi="Times New Roman" w:eastAsia="黑体" w:cs="Times New Roman"/>
          <w:b/>
          <w:color w:val="FF0000"/>
          <w:sz w:val="36"/>
          <w:szCs w:val="36"/>
        </w:rPr>
        <w:t>第八届董事会第</w:t>
      </w:r>
      <w:r>
        <w:rPr>
          <w:rFonts w:hint="eastAsia" w:ascii="Times New Roman" w:hAnsi="Times New Roman" w:eastAsia="黑体" w:cs="Times New Roman"/>
          <w:b/>
          <w:color w:val="FF0000"/>
          <w:sz w:val="36"/>
          <w:szCs w:val="36"/>
        </w:rPr>
        <w:t>六</w:t>
      </w:r>
      <w:r>
        <w:rPr>
          <w:rFonts w:ascii="Times New Roman" w:hAnsi="Times New Roman" w:eastAsia="黑体" w:cs="Times New Roman"/>
          <w:b/>
          <w:color w:val="FF0000"/>
          <w:sz w:val="36"/>
          <w:szCs w:val="36"/>
        </w:rPr>
        <w:t>次会议决议公告</w:t>
      </w:r>
    </w:p>
    <w:p>
      <w:pPr>
        <w:widowControl/>
        <w:pBdr>
          <w:top w:val="single" w:color="auto" w:sz="4" w:space="1"/>
          <w:left w:val="single" w:color="auto" w:sz="4" w:space="4"/>
          <w:bottom w:val="single" w:color="auto" w:sz="4" w:space="1"/>
          <w:right w:val="single" w:color="auto" w:sz="4" w:space="4"/>
        </w:pBdr>
        <w:adjustRightInd w:val="0"/>
        <w:snapToGrid w:val="0"/>
        <w:spacing w:before="156" w:beforeLines="50" w:after="156" w:afterLines="50" w:line="360" w:lineRule="auto"/>
        <w:rPr>
          <w:rFonts w:ascii="Times New Roman" w:hAnsi="Times New Roman" w:cs="Times New Roman"/>
        </w:rPr>
      </w:pPr>
      <w:r>
        <w:rPr>
          <w:rFonts w:ascii="Times New Roman" w:hAnsi="Times New Roman" w:cs="Times New Roman"/>
        </w:rPr>
        <w:t xml:space="preserve">    本公司董事会及全体董事保证本公告内容不存在任何虚假记载、误导性陈述或者重大遗漏，并对其内容的真实性、准确性和完整性承担法律责任。</w:t>
      </w:r>
    </w:p>
    <w:p>
      <w:pPr>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格尔软件股份有限公司（以下简称</w:t>
      </w:r>
      <w:r>
        <w:rPr>
          <w:rFonts w:hint="eastAsia" w:ascii="宋体" w:hAnsi="宋体" w:eastAsia="宋体" w:cs="宋体"/>
          <w:color w:val="000000"/>
          <w:sz w:val="24"/>
        </w:rPr>
        <w:t>“公司”）</w:t>
      </w:r>
      <w:r>
        <w:rPr>
          <w:rFonts w:ascii="Times New Roman" w:hAnsi="Times New Roman" w:cs="Times New Roman"/>
          <w:color w:val="000000"/>
          <w:sz w:val="24"/>
        </w:rPr>
        <w:t>第八届董事会</w:t>
      </w:r>
      <w:r>
        <w:rPr>
          <w:rFonts w:hint="eastAsia" w:ascii="Times New Roman" w:hAnsi="Times New Roman" w:cs="Times New Roman"/>
          <w:color w:val="000000"/>
          <w:sz w:val="24"/>
        </w:rPr>
        <w:t>六</w:t>
      </w:r>
      <w:r>
        <w:rPr>
          <w:rFonts w:ascii="Times New Roman" w:hAnsi="Times New Roman" w:cs="Times New Roman"/>
          <w:color w:val="000000"/>
          <w:sz w:val="24"/>
        </w:rPr>
        <w:t>次会议于2022年</w:t>
      </w:r>
      <w:r>
        <w:rPr>
          <w:rFonts w:hint="eastAsia" w:ascii="Times New Roman" w:hAnsi="Times New Roman" w:cs="Times New Roman"/>
          <w:color w:val="000000"/>
          <w:sz w:val="24"/>
          <w:lang w:val="en-US" w:eastAsia="zh-CN"/>
        </w:rPr>
        <w:t>1</w:t>
      </w:r>
      <w:r>
        <w:rPr>
          <w:rFonts w:hint="eastAsia" w:ascii="Times New Roman" w:hAnsi="Times New Roman" w:cs="Times New Roman"/>
          <w:color w:val="000000"/>
          <w:sz w:val="24"/>
          <w:highlight w:val="none"/>
          <w:lang w:val="en-US" w:eastAsia="zh-CN"/>
        </w:rPr>
        <w:t>1</w:t>
      </w:r>
      <w:r>
        <w:rPr>
          <w:rFonts w:ascii="Times New Roman" w:hAnsi="Times New Roman" w:cs="Times New Roman"/>
          <w:color w:val="000000"/>
          <w:sz w:val="24"/>
          <w:highlight w:val="none"/>
        </w:rPr>
        <w:t>月</w:t>
      </w:r>
      <w:r>
        <w:rPr>
          <w:rFonts w:hint="eastAsia" w:ascii="Times New Roman" w:hAnsi="Times New Roman" w:cs="Times New Roman"/>
          <w:color w:val="000000"/>
          <w:sz w:val="24"/>
          <w:highlight w:val="none"/>
          <w:lang w:val="en-US" w:eastAsia="zh-CN"/>
        </w:rPr>
        <w:t>1</w:t>
      </w:r>
      <w:r>
        <w:rPr>
          <w:rFonts w:ascii="Times New Roman" w:hAnsi="Times New Roman" w:cs="Times New Roman"/>
          <w:color w:val="000000"/>
          <w:sz w:val="24"/>
          <w:highlight w:val="none"/>
        </w:rPr>
        <w:t>日以书面形式发出通知，于2022年</w:t>
      </w:r>
      <w:r>
        <w:rPr>
          <w:rFonts w:hint="eastAsia" w:ascii="Times New Roman" w:hAnsi="Times New Roman" w:cs="Times New Roman"/>
          <w:color w:val="000000"/>
          <w:sz w:val="24"/>
          <w:highlight w:val="none"/>
          <w:lang w:val="en-US" w:eastAsia="zh-CN"/>
        </w:rPr>
        <w:t>11</w:t>
      </w:r>
      <w:r>
        <w:rPr>
          <w:rFonts w:ascii="Times New Roman" w:hAnsi="Times New Roman" w:cs="Times New Roman"/>
          <w:color w:val="000000"/>
          <w:sz w:val="24"/>
          <w:highlight w:val="none"/>
        </w:rPr>
        <w:t>月</w:t>
      </w:r>
      <w:r>
        <w:rPr>
          <w:rFonts w:hint="eastAsia" w:ascii="Times New Roman" w:hAnsi="Times New Roman" w:cs="Times New Roman"/>
          <w:color w:val="000000"/>
          <w:sz w:val="24"/>
          <w:highlight w:val="none"/>
          <w:lang w:val="en-US" w:eastAsia="zh-CN"/>
        </w:rPr>
        <w:t>10</w:t>
      </w:r>
      <w:r>
        <w:rPr>
          <w:rFonts w:ascii="Times New Roman" w:hAnsi="Times New Roman" w:cs="Times New Roman"/>
          <w:color w:val="000000"/>
          <w:sz w:val="24"/>
          <w:highlight w:val="none"/>
        </w:rPr>
        <w:t>日在公司会议室以现场</w:t>
      </w:r>
      <w:r>
        <w:rPr>
          <w:rFonts w:hint="eastAsia" w:ascii="Times New Roman" w:hAnsi="Times New Roman" w:cs="Times New Roman"/>
          <w:color w:val="000000"/>
          <w:sz w:val="24"/>
        </w:rPr>
        <w:t>和</w:t>
      </w:r>
      <w:r>
        <w:rPr>
          <w:rFonts w:ascii="Times New Roman" w:hAnsi="Times New Roman" w:cs="Times New Roman"/>
          <w:color w:val="000000"/>
          <w:sz w:val="24"/>
        </w:rPr>
        <w:t>通讯</w:t>
      </w:r>
      <w:r>
        <w:rPr>
          <w:rFonts w:hint="eastAsia" w:ascii="Times New Roman" w:hAnsi="Times New Roman" w:cs="Times New Roman"/>
          <w:color w:val="000000"/>
          <w:sz w:val="24"/>
        </w:rPr>
        <w:t>相结合</w:t>
      </w:r>
      <w:r>
        <w:rPr>
          <w:rFonts w:ascii="Times New Roman" w:hAnsi="Times New Roman" w:cs="Times New Roman"/>
          <w:color w:val="000000"/>
          <w:sz w:val="24"/>
        </w:rPr>
        <w:t>的方式召开</w:t>
      </w:r>
      <w:r>
        <w:rPr>
          <w:rFonts w:ascii="Times New Roman" w:hAnsi="Times New Roman" w:cs="Times New Roman"/>
          <w:sz w:val="24"/>
        </w:rPr>
        <w:t>。本次会议由公司董事长杨文山先生主持，会议应到董事9名，实到</w:t>
      </w:r>
      <w:r>
        <w:rPr>
          <w:rFonts w:hint="eastAsia" w:ascii="Times New Roman" w:hAnsi="Times New Roman" w:cs="Times New Roman"/>
          <w:sz w:val="24"/>
        </w:rPr>
        <w:t>董事</w:t>
      </w:r>
      <w:r>
        <w:rPr>
          <w:rFonts w:ascii="Times New Roman" w:hAnsi="Times New Roman" w:cs="Times New Roman"/>
          <w:sz w:val="24"/>
        </w:rPr>
        <w:t>9名，</w:t>
      </w:r>
      <w:r>
        <w:rPr>
          <w:color w:val="000000"/>
          <w:kern w:val="0"/>
          <w:sz w:val="24"/>
          <w:lang w:bidi="ar"/>
        </w:rPr>
        <w:t>公司监事和高级管理人员列席了会议</w:t>
      </w:r>
      <w:r>
        <w:rPr>
          <w:rFonts w:ascii="Times New Roman" w:hAnsi="Times New Roman" w:cs="Times New Roman"/>
          <w:sz w:val="24"/>
        </w:rPr>
        <w:t>。会议的召开符合《中华人民共和国公司法》、《上海证券交易所股票上市规则》和《格尔软件股份有限公司章程》的有</w:t>
      </w:r>
      <w:r>
        <w:rPr>
          <w:rFonts w:ascii="Times New Roman" w:hAnsi="Times New Roman" w:cs="Times New Roman"/>
          <w:color w:val="000000"/>
          <w:sz w:val="24"/>
        </w:rPr>
        <w:t>关规定。</w:t>
      </w:r>
    </w:p>
    <w:p>
      <w:pPr>
        <w:snapToGrid w:val="0"/>
        <w:spacing w:line="360" w:lineRule="auto"/>
        <w:ind w:firstLine="480" w:firstLineChars="200"/>
        <w:rPr>
          <w:rFonts w:ascii="Times New Roman" w:hAnsi="Times New Roman" w:cs="Times New Roman"/>
          <w:color w:val="000000"/>
          <w:sz w:val="24"/>
        </w:rPr>
      </w:pPr>
      <w:r>
        <w:rPr>
          <w:rFonts w:ascii="Times New Roman" w:hAnsi="Times New Roman" w:cs="Times New Roman"/>
          <w:color w:val="000000"/>
          <w:sz w:val="24"/>
        </w:rPr>
        <w:t>经与会董事认真审议，本次会议审议通过了以下议案：</w:t>
      </w:r>
    </w:p>
    <w:p>
      <w:pPr>
        <w:pStyle w:val="2"/>
        <w:numPr>
          <w:ilvl w:val="0"/>
          <w:numId w:val="1"/>
        </w:numPr>
        <w:spacing w:before="162" w:line="365" w:lineRule="auto"/>
        <w:ind w:right="232" w:firstLine="482" w:firstLineChars="200"/>
        <w:rPr>
          <w:rFonts w:ascii="Times New Roman" w:hAnsi="Times New Roman" w:cs="Times New Roman"/>
        </w:rPr>
      </w:pPr>
      <w:r>
        <w:rPr>
          <w:rFonts w:ascii="Times New Roman" w:hAnsi="Times New Roman" w:cs="Times New Roman"/>
        </w:rPr>
        <w:t>《</w:t>
      </w:r>
      <w:r>
        <w:rPr>
          <w:rFonts w:hint="eastAsia" w:ascii="Times New Roman" w:hAnsi="Times New Roman" w:cs="Times New Roman"/>
        </w:rPr>
        <w:t>关于放弃同比例增资优先认购权暨关联交易的议案</w:t>
      </w:r>
      <w:r>
        <w:rPr>
          <w:rFonts w:ascii="Times New Roman" w:hAnsi="Times New Roman" w:cs="Times New Roman"/>
        </w:rPr>
        <w:t>》</w:t>
      </w:r>
    </w:p>
    <w:p>
      <w:pPr>
        <w:snapToGrid w:val="0"/>
        <w:spacing w:line="360" w:lineRule="auto"/>
        <w:ind w:firstLine="460" w:firstLineChars="192"/>
        <w:rPr>
          <w:rFonts w:ascii="Times New Roman" w:hAnsi="Times New Roman" w:cs="Times New Roman"/>
          <w:color w:val="000000"/>
          <w:sz w:val="24"/>
        </w:rPr>
      </w:pPr>
      <w:r>
        <w:rPr>
          <w:rFonts w:hint="eastAsia" w:asciiTheme="minorEastAsia" w:hAnsiTheme="minorEastAsia" w:cstheme="minorEastAsia"/>
          <w:color w:val="000000"/>
          <w:sz w:val="24"/>
        </w:rPr>
        <w:t>上海芯钛信息科技有限公司（以下简称“上海芯钛”）系公司关联参股企业，公司持有其1</w:t>
      </w:r>
      <w:r>
        <w:rPr>
          <w:rFonts w:ascii="Times New Roman" w:hAnsi="Times New Roman" w:cs="Times New Roman"/>
          <w:color w:val="000000"/>
          <w:sz w:val="24"/>
        </w:rPr>
        <w:t>.8138%股权。为满足上海芯钛经营发展需要，</w:t>
      </w:r>
      <w:r>
        <w:rPr>
          <w:rFonts w:hint="eastAsia" w:ascii="Times New Roman" w:hAnsi="Times New Roman" w:cs="Times New Roman"/>
          <w:color w:val="000000"/>
          <w:sz w:val="24"/>
        </w:rPr>
        <w:t>拟通过增资入股的方式引进新投资者</w:t>
      </w:r>
      <w:r>
        <w:rPr>
          <w:rFonts w:ascii="Times New Roman" w:hAnsi="Times New Roman" w:cs="Times New Roman"/>
          <w:color w:val="000000"/>
          <w:sz w:val="24"/>
        </w:rPr>
        <w:t>嘉兴上汽创永股权投资合伙企业（有限合伙）和青岛上汽创新升级产业股权投资基金合伙企业（有限合伙）</w:t>
      </w:r>
      <w:r>
        <w:rPr>
          <w:rFonts w:hint="eastAsia" w:ascii="Times New Roman" w:hAnsi="Times New Roman" w:cs="Times New Roman"/>
          <w:color w:val="000000"/>
          <w:sz w:val="24"/>
        </w:rPr>
        <w:t>，并</w:t>
      </w:r>
      <w:r>
        <w:rPr>
          <w:rFonts w:ascii="Times New Roman" w:hAnsi="Times New Roman" w:cs="Times New Roman"/>
          <w:color w:val="000000"/>
          <w:sz w:val="24"/>
        </w:rPr>
        <w:t>向上海芯钛实施增资合计18,000.00万元。公司基于长期发展战略规划，同意本次上海芯钛增资事项，并放弃本次对上海芯钛同比例增资优先认购权。本次增资完成后，上海芯钛注册资本将由3,460.6451万元增加至3,668.2839万元，公司持有上海芯钛的股权比例将由1.8138%下降至1.7111%。</w:t>
      </w:r>
    </w:p>
    <w:p>
      <w:pPr>
        <w:snapToGrid w:val="0"/>
        <w:spacing w:line="360" w:lineRule="auto"/>
        <w:ind w:firstLine="460" w:firstLineChars="192"/>
        <w:rPr>
          <w:rFonts w:ascii="Times New Roman" w:hAnsi="Times New Roman" w:cs="Times New Roman"/>
          <w:color w:val="000000"/>
          <w:sz w:val="24"/>
        </w:rPr>
      </w:pPr>
      <w:r>
        <w:rPr>
          <w:rFonts w:ascii="Times New Roman" w:hAnsi="Times New Roman" w:cs="Times New Roman"/>
          <w:color w:val="000000"/>
          <w:sz w:val="24"/>
        </w:rPr>
        <w:t>上海芯钛控股股东、实际控制人孔旻先生为公司控股股东、实际控制人孔令钢</w:t>
      </w:r>
      <w:r>
        <w:rPr>
          <w:rFonts w:hint="eastAsia" w:ascii="Times New Roman" w:hAnsi="Times New Roman" w:cs="Times New Roman"/>
          <w:color w:val="000000"/>
          <w:sz w:val="24"/>
        </w:rPr>
        <w:t>先生</w:t>
      </w:r>
      <w:r>
        <w:rPr>
          <w:rFonts w:ascii="Times New Roman" w:hAnsi="Times New Roman" w:cs="Times New Roman"/>
          <w:color w:val="000000"/>
          <w:sz w:val="24"/>
        </w:rPr>
        <w:t>年满18周岁的子女，因此上海芯钛及孔旻先生为公司关联方。上海芯胜企业管理咨询中心（有限合伙）（以下简</w:t>
      </w:r>
      <w:r>
        <w:rPr>
          <w:rFonts w:hint="eastAsia" w:ascii="宋体" w:hAnsi="宋体" w:eastAsia="宋体" w:cs="宋体"/>
          <w:color w:val="000000"/>
          <w:sz w:val="24"/>
        </w:rPr>
        <w:t>称“上海芯胜”）的</w:t>
      </w:r>
      <w:r>
        <w:rPr>
          <w:rFonts w:ascii="Times New Roman" w:hAnsi="Times New Roman" w:cs="Times New Roman"/>
          <w:color w:val="000000"/>
          <w:sz w:val="24"/>
        </w:rPr>
        <w:t>执行事务合伙人孔旻先生为公司控股股东、实际控制人孔令钢</w:t>
      </w:r>
      <w:r>
        <w:rPr>
          <w:rFonts w:hint="default" w:ascii="Times New Roman" w:hAnsi="Times New Roman" w:cs="Times New Roman"/>
          <w:color w:val="000000"/>
          <w:sz w:val="24"/>
        </w:rPr>
        <w:t>先生</w:t>
      </w:r>
      <w:r>
        <w:rPr>
          <w:rFonts w:ascii="Times New Roman" w:hAnsi="Times New Roman" w:cs="Times New Roman"/>
          <w:color w:val="000000"/>
          <w:sz w:val="24"/>
        </w:rPr>
        <w:t>年满18周岁的子女，上海芯胜为上海芯钛的股东，因此上海芯胜为公司关联方。</w:t>
      </w:r>
      <w:r>
        <w:rPr>
          <w:rFonts w:hint="default" w:ascii="Times New Roman" w:hAnsi="Times New Roman" w:cs="Times New Roman"/>
          <w:color w:val="000000"/>
          <w:sz w:val="24"/>
        </w:rPr>
        <w:t>上海歆檀企业管理咨询中心（有限合伙）（以下简称</w:t>
      </w:r>
      <w:r>
        <w:rPr>
          <w:rFonts w:hint="eastAsia" w:ascii="宋体" w:hAnsi="宋体" w:eastAsia="宋体" w:cs="宋体"/>
          <w:color w:val="000000"/>
          <w:sz w:val="24"/>
        </w:rPr>
        <w:t>“上海歆檀”</w:t>
      </w:r>
      <w:r>
        <w:rPr>
          <w:rFonts w:hint="default" w:ascii="Times New Roman" w:hAnsi="Times New Roman" w:cs="Times New Roman"/>
          <w:color w:val="000000"/>
          <w:sz w:val="24"/>
        </w:rPr>
        <w:t>）的执行事务合伙人孔旻先生为公司控股股东、实际控制人孔令钢年满18周岁的子女，上海歆檀为上海芯钛的股东，因此上海歆檀为公司关联方。</w:t>
      </w:r>
    </w:p>
    <w:p>
      <w:pPr>
        <w:snapToGrid w:val="0"/>
        <w:spacing w:line="360" w:lineRule="auto"/>
        <w:ind w:firstLine="460" w:firstLineChars="192"/>
        <w:rPr>
          <w:rFonts w:ascii="Times New Roman" w:hAnsi="Times New Roman" w:cs="Times New Roman"/>
          <w:color w:val="000000"/>
          <w:sz w:val="24"/>
          <w:highlight w:val="none"/>
        </w:rPr>
      </w:pPr>
      <w:r>
        <w:rPr>
          <w:rFonts w:ascii="Times New Roman" w:hAnsi="Times New Roman" w:cs="Times New Roman"/>
          <w:color w:val="000000"/>
          <w:sz w:val="24"/>
        </w:rPr>
        <w:t>根据《上海证券交易所股票上市规则》及《上海证券交易所上市公司自律监管指引第5号——交易与关联交易》的有关规定，公司放弃上海芯钛同比例增资优先认购权构成关联交易，但不构成《上市公司重大资产重组管理办法》规定的重大资产重组。本次公</w:t>
      </w:r>
      <w:r>
        <w:rPr>
          <w:rFonts w:ascii="Times New Roman" w:hAnsi="Times New Roman" w:cs="Times New Roman"/>
          <w:color w:val="000000"/>
          <w:sz w:val="24"/>
          <w:highlight w:val="none"/>
        </w:rPr>
        <w:t>司对上海芯钛放弃同比例增资优先认购权所涉金额为326.4840万元，过去12个月内公司与上海芯钛、上海芯胜</w:t>
      </w:r>
      <w:r>
        <w:rPr>
          <w:rFonts w:hint="default" w:ascii="Times New Roman" w:hAnsi="Times New Roman" w:cs="Times New Roman"/>
          <w:color w:val="000000"/>
          <w:sz w:val="24"/>
          <w:highlight w:val="none"/>
          <w:lang w:eastAsia="zh-CN"/>
        </w:rPr>
        <w:t>、</w:t>
      </w:r>
      <w:r>
        <w:rPr>
          <w:rFonts w:hint="default" w:ascii="Times New Roman" w:hAnsi="Times New Roman" w:cs="Times New Roman"/>
          <w:color w:val="000000"/>
          <w:sz w:val="24"/>
          <w:highlight w:val="none"/>
          <w:lang w:val="en-US" w:eastAsia="zh-CN"/>
        </w:rPr>
        <w:t>上海歆檀</w:t>
      </w:r>
      <w:r>
        <w:rPr>
          <w:rFonts w:ascii="Times New Roman" w:hAnsi="Times New Roman" w:cs="Times New Roman"/>
          <w:color w:val="000000"/>
          <w:sz w:val="24"/>
          <w:highlight w:val="none"/>
        </w:rPr>
        <w:t>及其关联方已披露的日常关联交易外的关联交易金额为</w:t>
      </w:r>
      <w:r>
        <w:rPr>
          <w:rFonts w:hint="eastAsia" w:ascii="Times New Roman" w:hAnsi="Times New Roman" w:cs="Times New Roman"/>
          <w:color w:val="000000"/>
          <w:sz w:val="24"/>
          <w:highlight w:val="none"/>
          <w:lang w:val="en-US" w:eastAsia="zh-CN"/>
        </w:rPr>
        <w:t>500</w:t>
      </w:r>
      <w:r>
        <w:rPr>
          <w:rFonts w:ascii="Times New Roman" w:hAnsi="Times New Roman" w:cs="Times New Roman"/>
          <w:color w:val="000000"/>
          <w:sz w:val="24"/>
          <w:highlight w:val="none"/>
        </w:rPr>
        <w:t>万元，未与不同关联人进行交易类别相关的交易，累计占公司最近一期经审计归属于上市公司股东的净资产0.</w:t>
      </w:r>
      <w:r>
        <w:rPr>
          <w:rFonts w:hint="eastAsia" w:ascii="Times New Roman" w:hAnsi="Times New Roman" w:cs="Times New Roman"/>
          <w:color w:val="000000"/>
          <w:sz w:val="24"/>
          <w:highlight w:val="none"/>
          <w:lang w:val="en-US" w:eastAsia="zh-CN"/>
        </w:rPr>
        <w:t>59</w:t>
      </w:r>
      <w:r>
        <w:rPr>
          <w:rFonts w:ascii="Times New Roman" w:hAnsi="Times New Roman" w:cs="Times New Roman"/>
          <w:color w:val="000000"/>
          <w:sz w:val="24"/>
          <w:highlight w:val="none"/>
        </w:rPr>
        <w:t>%。过去12个月内公司与不同关联人之间交易类别相关的关联交易未达到占公司最近一期经审计净资产绝对值5%以上。本次关联交易无需提交公司股东大会审批。</w:t>
      </w:r>
    </w:p>
    <w:p>
      <w:pPr>
        <w:snapToGrid w:val="0"/>
        <w:spacing w:line="360" w:lineRule="auto"/>
        <w:ind w:firstLine="460" w:firstLineChars="192"/>
        <w:rPr>
          <w:rFonts w:asciiTheme="minorEastAsia" w:hAnsiTheme="minorEastAsia" w:cstheme="minorEastAsia"/>
          <w:color w:val="000000"/>
          <w:sz w:val="24"/>
          <w:highlight w:val="none"/>
        </w:rPr>
      </w:pPr>
      <w:r>
        <w:rPr>
          <w:rFonts w:ascii="Times New Roman" w:hAnsi="Times New Roman" w:eastAsia="宋体" w:cs="Times New Roman"/>
          <w:color w:val="000000"/>
          <w:sz w:val="24"/>
          <w:highlight w:val="none"/>
        </w:rPr>
        <w:t>具体内容请详见公司于2022年</w:t>
      </w:r>
      <w:r>
        <w:rPr>
          <w:rFonts w:hint="eastAsia" w:ascii="Times New Roman" w:hAnsi="Times New Roman" w:eastAsia="宋体" w:cs="Times New Roman"/>
          <w:color w:val="000000"/>
          <w:sz w:val="24"/>
          <w:highlight w:val="none"/>
          <w:lang w:val="en-US" w:eastAsia="zh-CN"/>
        </w:rPr>
        <w:t>11</w:t>
      </w:r>
      <w:r>
        <w:rPr>
          <w:rFonts w:ascii="Times New Roman" w:hAnsi="Times New Roman" w:eastAsia="宋体" w:cs="Times New Roman"/>
          <w:color w:val="000000"/>
          <w:sz w:val="24"/>
          <w:highlight w:val="none"/>
        </w:rPr>
        <w:t>月</w:t>
      </w:r>
      <w:r>
        <w:rPr>
          <w:rFonts w:hint="eastAsia" w:ascii="Times New Roman" w:hAnsi="Times New Roman" w:eastAsia="宋体" w:cs="Times New Roman"/>
          <w:color w:val="000000"/>
          <w:sz w:val="24"/>
          <w:highlight w:val="none"/>
          <w:lang w:val="en-US" w:eastAsia="zh-CN"/>
        </w:rPr>
        <w:t>12</w:t>
      </w:r>
      <w:r>
        <w:rPr>
          <w:rFonts w:ascii="Times New Roman" w:hAnsi="Times New Roman" w:eastAsia="宋体" w:cs="Times New Roman"/>
          <w:color w:val="000000"/>
          <w:sz w:val="24"/>
          <w:highlight w:val="none"/>
        </w:rPr>
        <w:t>日刊登于上海证券交易所网站（www.sse.com.cn）以及公司指定信息披露媒体《中国证券报》、《上海证券报》、《证券日报》、《证券时报》同日刊登的《</w:t>
      </w:r>
      <w:r>
        <w:rPr>
          <w:rFonts w:hint="eastAsia" w:ascii="Times New Roman" w:hAnsi="Times New Roman" w:eastAsia="宋体" w:cs="Times New Roman"/>
          <w:color w:val="000000"/>
          <w:sz w:val="24"/>
          <w:highlight w:val="none"/>
        </w:rPr>
        <w:t>关于放弃</w:t>
      </w:r>
      <w:r>
        <w:rPr>
          <w:rFonts w:hint="eastAsia" w:ascii="Times New Roman" w:hAnsi="Times New Roman" w:eastAsia="宋体" w:cs="Times New Roman"/>
          <w:color w:val="000000"/>
          <w:sz w:val="24"/>
        </w:rPr>
        <w:t>同比例增资优先认购权暨关联交易的公告</w:t>
      </w:r>
      <w:r>
        <w:rPr>
          <w:rFonts w:ascii="Times New Roman" w:hAnsi="Times New Roman" w:eastAsia="宋体" w:cs="Times New Roman"/>
          <w:color w:val="000000"/>
          <w:sz w:val="24"/>
        </w:rPr>
        <w:t>》（公告编号</w:t>
      </w:r>
      <w:r>
        <w:rPr>
          <w:rFonts w:ascii="Times New Roman" w:hAnsi="Times New Roman" w:eastAsia="宋体" w:cs="Times New Roman"/>
          <w:color w:val="000000"/>
          <w:sz w:val="24"/>
          <w:highlight w:val="none"/>
        </w:rPr>
        <w:t>：2022-</w:t>
      </w:r>
      <w:r>
        <w:rPr>
          <w:rFonts w:hint="eastAsia" w:ascii="Times New Roman" w:hAnsi="Times New Roman" w:eastAsia="宋体" w:cs="Times New Roman"/>
          <w:color w:val="000000"/>
          <w:sz w:val="24"/>
          <w:highlight w:val="none"/>
        </w:rPr>
        <w:t>0</w:t>
      </w:r>
      <w:r>
        <w:rPr>
          <w:rFonts w:hint="eastAsia" w:ascii="Times New Roman" w:hAnsi="Times New Roman" w:eastAsia="宋体" w:cs="Times New Roman"/>
          <w:color w:val="000000"/>
          <w:sz w:val="24"/>
          <w:highlight w:val="none"/>
          <w:lang w:val="en-US" w:eastAsia="zh-CN"/>
        </w:rPr>
        <w:t>64</w:t>
      </w:r>
      <w:r>
        <w:rPr>
          <w:rFonts w:ascii="Times New Roman" w:hAnsi="Times New Roman" w:eastAsia="宋体" w:cs="Times New Roman"/>
          <w:color w:val="000000"/>
          <w:sz w:val="24"/>
          <w:highlight w:val="none"/>
        </w:rPr>
        <w:t>）。</w:t>
      </w:r>
    </w:p>
    <w:p>
      <w:pPr>
        <w:snapToGrid w:val="0"/>
        <w:spacing w:line="360" w:lineRule="auto"/>
        <w:ind w:firstLine="460" w:firstLineChars="192"/>
        <w:rPr>
          <w:rFonts w:asciiTheme="minorEastAsia" w:hAnsiTheme="minorEastAsia" w:cstheme="minorEastAsia"/>
          <w:color w:val="000000"/>
          <w:sz w:val="24"/>
          <w:highlight w:val="none"/>
        </w:rPr>
      </w:pPr>
      <w:r>
        <w:rPr>
          <w:rFonts w:hint="eastAsia" w:asciiTheme="minorEastAsia" w:hAnsiTheme="minorEastAsia" w:cstheme="minorEastAsia"/>
          <w:color w:val="000000"/>
          <w:sz w:val="24"/>
          <w:highlight w:val="none"/>
        </w:rPr>
        <w:t>公司独立董事对该议案发表了事前认可意见及独立意见，并同意该议案。</w:t>
      </w:r>
    </w:p>
    <w:p>
      <w:pPr>
        <w:spacing w:line="360" w:lineRule="auto"/>
        <w:ind w:firstLine="480" w:firstLineChars="200"/>
        <w:rPr>
          <w:rFonts w:ascii="Times New Roman" w:hAnsi="Times New Roman" w:eastAsia="宋体" w:cs="Times New Roman"/>
          <w:color w:val="000000"/>
          <w:sz w:val="24"/>
          <w:highlight w:val="none"/>
        </w:rPr>
      </w:pPr>
      <w:r>
        <w:rPr>
          <w:rFonts w:ascii="Times New Roman" w:hAnsi="Times New Roman" w:eastAsia="宋体" w:cs="Times New Roman"/>
          <w:color w:val="000000"/>
          <w:sz w:val="24"/>
          <w:highlight w:val="none"/>
        </w:rPr>
        <w:t>表决结果：同意票</w:t>
      </w:r>
      <w:r>
        <w:rPr>
          <w:rFonts w:hint="eastAsia" w:ascii="Times New Roman" w:hAnsi="Times New Roman" w:eastAsia="宋体" w:cs="Times New Roman"/>
          <w:color w:val="000000"/>
          <w:sz w:val="24"/>
          <w:highlight w:val="none"/>
        </w:rPr>
        <w:t>8</w:t>
      </w:r>
      <w:r>
        <w:rPr>
          <w:rFonts w:ascii="Times New Roman" w:hAnsi="Times New Roman" w:eastAsia="宋体" w:cs="Times New Roman"/>
          <w:color w:val="000000"/>
          <w:sz w:val="24"/>
          <w:highlight w:val="none"/>
        </w:rPr>
        <w:t>票，反对票0票，弃权票0票，表决通过。</w:t>
      </w:r>
    </w:p>
    <w:p>
      <w:pPr>
        <w:spacing w:line="360" w:lineRule="auto"/>
        <w:ind w:firstLine="480" w:firstLineChars="200"/>
        <w:rPr>
          <w:rFonts w:ascii="Times New Roman" w:hAnsi="Times New Roman" w:eastAsia="宋体" w:cs="Times New Roman"/>
          <w:color w:val="000000"/>
          <w:sz w:val="24"/>
          <w:highlight w:val="none"/>
        </w:rPr>
      </w:pPr>
      <w:r>
        <w:rPr>
          <w:rFonts w:hint="eastAsia" w:ascii="Times New Roman" w:hAnsi="Times New Roman" w:eastAsia="宋体" w:cs="Times New Roman"/>
          <w:color w:val="000000"/>
          <w:sz w:val="24"/>
          <w:highlight w:val="none"/>
        </w:rPr>
        <w:t>关联董事陆海天先生回避表决，表决通过。</w:t>
      </w:r>
    </w:p>
    <w:p>
      <w:pPr>
        <w:snapToGrid w:val="0"/>
        <w:spacing w:line="360" w:lineRule="auto"/>
        <w:ind w:firstLine="460" w:firstLineChars="192"/>
        <w:rPr>
          <w:rFonts w:ascii="Times New Roman" w:hAnsi="Times New Roman" w:cs="Times New Roman"/>
          <w:color w:val="000000"/>
          <w:sz w:val="24"/>
          <w:highlight w:val="none"/>
        </w:rPr>
      </w:pPr>
    </w:p>
    <w:p>
      <w:pPr>
        <w:snapToGrid w:val="0"/>
        <w:spacing w:line="360" w:lineRule="auto"/>
        <w:ind w:firstLine="480" w:firstLineChars="200"/>
        <w:rPr>
          <w:rFonts w:ascii="Times New Roman" w:hAnsi="Times New Roman" w:cs="Times New Roman"/>
          <w:color w:val="000000"/>
          <w:sz w:val="24"/>
          <w:highlight w:val="none"/>
        </w:rPr>
      </w:pPr>
      <w:r>
        <w:rPr>
          <w:rFonts w:ascii="Times New Roman" w:hAnsi="Times New Roman" w:cs="Times New Roman"/>
          <w:color w:val="000000"/>
          <w:sz w:val="24"/>
          <w:highlight w:val="none"/>
        </w:rPr>
        <w:t>特此公告。</w:t>
      </w:r>
    </w:p>
    <w:p>
      <w:pPr>
        <w:snapToGrid w:val="0"/>
        <w:spacing w:line="360" w:lineRule="auto"/>
        <w:ind w:firstLine="460" w:firstLineChars="192"/>
        <w:jc w:val="right"/>
        <w:rPr>
          <w:rFonts w:ascii="Times New Roman" w:hAnsi="Times New Roman" w:cs="Times New Roman"/>
          <w:color w:val="000000"/>
          <w:sz w:val="24"/>
          <w:highlight w:val="none"/>
        </w:rPr>
      </w:pPr>
      <w:r>
        <w:rPr>
          <w:rFonts w:ascii="Times New Roman" w:hAnsi="Times New Roman" w:cs="Times New Roman"/>
          <w:color w:val="000000"/>
          <w:sz w:val="24"/>
          <w:highlight w:val="none"/>
        </w:rPr>
        <w:t>格尔软件股份有限公司董事会</w:t>
      </w:r>
    </w:p>
    <w:p>
      <w:pPr>
        <w:snapToGrid w:val="0"/>
        <w:spacing w:line="360" w:lineRule="auto"/>
        <w:ind w:firstLine="480" w:firstLineChars="200"/>
        <w:jc w:val="right"/>
        <w:rPr>
          <w:highlight w:val="none"/>
        </w:rPr>
      </w:pPr>
      <w:bookmarkStart w:id="0" w:name="_GoBack"/>
      <w:bookmarkEnd w:id="0"/>
      <w:r>
        <w:rPr>
          <w:rFonts w:ascii="Times New Roman" w:hAnsi="Times New Roman" w:cs="Times New Roman"/>
          <w:sz w:val="24"/>
          <w:highlight w:val="none"/>
        </w:rPr>
        <w:t>2022年</w:t>
      </w:r>
      <w:r>
        <w:rPr>
          <w:rFonts w:hint="eastAsia" w:ascii="Times New Roman" w:hAnsi="Times New Roman" w:cs="Times New Roman"/>
          <w:sz w:val="24"/>
          <w:highlight w:val="none"/>
          <w:lang w:val="en-US" w:eastAsia="zh-CN"/>
        </w:rPr>
        <w:t>11</w:t>
      </w:r>
      <w:r>
        <w:rPr>
          <w:rFonts w:ascii="Times New Roman" w:hAnsi="Times New Roman" w:cs="Times New Roman"/>
          <w:sz w:val="24"/>
          <w:highlight w:val="none"/>
        </w:rPr>
        <w:t>月</w:t>
      </w:r>
      <w:r>
        <w:rPr>
          <w:rFonts w:hint="eastAsia" w:ascii="Times New Roman" w:hAnsi="Times New Roman" w:cs="Times New Roman"/>
          <w:sz w:val="24"/>
          <w:highlight w:val="none"/>
          <w:lang w:val="en-US" w:eastAsia="zh-CN"/>
        </w:rPr>
        <w:t>12</w:t>
      </w:r>
      <w:r>
        <w:rPr>
          <w:rFonts w:ascii="Times New Roman" w:hAnsi="Times New Roman" w:cs="Times New Roman"/>
          <w:sz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PMingLiU-ExtB">
    <w:panose1 w:val="02020500000000000000"/>
    <w:charset w:val="88"/>
    <w:family w:val="auto"/>
    <w:pitch w:val="default"/>
    <w:sig w:usb0="8000002F" w:usb1="02000008" w:usb2="00000000" w:usb3="00000000" w:csb0="00100001" w:csb1="00000000"/>
  </w:font>
  <w:font w:name="Bookshelf Symbol 7">
    <w:panose1 w:val="05010101010101010101"/>
    <w:charset w:val="00"/>
    <w:family w:val="auto"/>
    <w:pitch w:val="default"/>
    <w:sig w:usb0="00000000" w:usb1="00000000" w:usb2="00000000" w:usb3="00000000" w:csb0="80000000" w:csb1="00000000"/>
  </w:font>
  <w:font w:name="Cordia New">
    <w:panose1 w:val="020B0304020202020204"/>
    <w:charset w:val="00"/>
    <w:family w:val="auto"/>
    <w:pitch w:val="default"/>
    <w:sig w:usb0="81000003" w:usb1="00000000" w:usb2="00000000" w:usb3="00000000" w:csb0="0001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3227C"/>
    <w:multiLevelType w:val="singleLevel"/>
    <w:tmpl w:val="A7A3227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2NGEzY2E5YjE4NDIwNDY2ODJjNzRhYTZlYjMzZTIifQ=="/>
  </w:docVars>
  <w:rsids>
    <w:rsidRoot w:val="0DAF007F"/>
    <w:rsid w:val="001412EF"/>
    <w:rsid w:val="00192BC7"/>
    <w:rsid w:val="001F1F79"/>
    <w:rsid w:val="00206084"/>
    <w:rsid w:val="00487FC5"/>
    <w:rsid w:val="00491A48"/>
    <w:rsid w:val="004B79DF"/>
    <w:rsid w:val="005E2A27"/>
    <w:rsid w:val="007B5F91"/>
    <w:rsid w:val="00961EC7"/>
    <w:rsid w:val="009A5B76"/>
    <w:rsid w:val="00A41619"/>
    <w:rsid w:val="00B76C18"/>
    <w:rsid w:val="00C432CB"/>
    <w:rsid w:val="00D34DD2"/>
    <w:rsid w:val="00E0762F"/>
    <w:rsid w:val="00E20E55"/>
    <w:rsid w:val="01046B36"/>
    <w:rsid w:val="012004B8"/>
    <w:rsid w:val="014943C9"/>
    <w:rsid w:val="01514253"/>
    <w:rsid w:val="018E4822"/>
    <w:rsid w:val="019B553E"/>
    <w:rsid w:val="01B05B0D"/>
    <w:rsid w:val="01B752FA"/>
    <w:rsid w:val="01B9241C"/>
    <w:rsid w:val="01CD2B2B"/>
    <w:rsid w:val="01D428E1"/>
    <w:rsid w:val="01E55C12"/>
    <w:rsid w:val="01FD03FC"/>
    <w:rsid w:val="020245B9"/>
    <w:rsid w:val="02325B21"/>
    <w:rsid w:val="0248443E"/>
    <w:rsid w:val="025D6557"/>
    <w:rsid w:val="027576DF"/>
    <w:rsid w:val="02982C02"/>
    <w:rsid w:val="02A57477"/>
    <w:rsid w:val="02AF4FED"/>
    <w:rsid w:val="0328539C"/>
    <w:rsid w:val="03713269"/>
    <w:rsid w:val="03A423A7"/>
    <w:rsid w:val="03B4054E"/>
    <w:rsid w:val="03CF08DF"/>
    <w:rsid w:val="040D6E90"/>
    <w:rsid w:val="048F7ADE"/>
    <w:rsid w:val="049C0D81"/>
    <w:rsid w:val="049C2A5B"/>
    <w:rsid w:val="04BC2DF0"/>
    <w:rsid w:val="04BD6B13"/>
    <w:rsid w:val="04DD7EC9"/>
    <w:rsid w:val="04F87615"/>
    <w:rsid w:val="050F3BF1"/>
    <w:rsid w:val="051D5553"/>
    <w:rsid w:val="05202816"/>
    <w:rsid w:val="05305716"/>
    <w:rsid w:val="05846F5A"/>
    <w:rsid w:val="058E1503"/>
    <w:rsid w:val="0590500E"/>
    <w:rsid w:val="05A81D19"/>
    <w:rsid w:val="05B5678A"/>
    <w:rsid w:val="05E1043E"/>
    <w:rsid w:val="060416A7"/>
    <w:rsid w:val="062F6119"/>
    <w:rsid w:val="064B10EF"/>
    <w:rsid w:val="06937811"/>
    <w:rsid w:val="072E6603"/>
    <w:rsid w:val="07832D9E"/>
    <w:rsid w:val="07912289"/>
    <w:rsid w:val="07C13AF5"/>
    <w:rsid w:val="07C73762"/>
    <w:rsid w:val="08105099"/>
    <w:rsid w:val="083E47F0"/>
    <w:rsid w:val="088D14FD"/>
    <w:rsid w:val="08977F70"/>
    <w:rsid w:val="08A276F9"/>
    <w:rsid w:val="08A37EDF"/>
    <w:rsid w:val="08AA1C74"/>
    <w:rsid w:val="08AA289A"/>
    <w:rsid w:val="08C60F31"/>
    <w:rsid w:val="08F03962"/>
    <w:rsid w:val="09047A57"/>
    <w:rsid w:val="09344342"/>
    <w:rsid w:val="0936639C"/>
    <w:rsid w:val="09422ED7"/>
    <w:rsid w:val="097203F7"/>
    <w:rsid w:val="09877057"/>
    <w:rsid w:val="099A6719"/>
    <w:rsid w:val="09A6028D"/>
    <w:rsid w:val="09AD4965"/>
    <w:rsid w:val="0A2A7BD7"/>
    <w:rsid w:val="0A300087"/>
    <w:rsid w:val="0A684D06"/>
    <w:rsid w:val="0AC149D4"/>
    <w:rsid w:val="0AC25FFD"/>
    <w:rsid w:val="0AF10312"/>
    <w:rsid w:val="0AF763FA"/>
    <w:rsid w:val="0B3108C1"/>
    <w:rsid w:val="0B702F58"/>
    <w:rsid w:val="0B776430"/>
    <w:rsid w:val="0BB02B0B"/>
    <w:rsid w:val="0BC369E1"/>
    <w:rsid w:val="0BC4590D"/>
    <w:rsid w:val="0BCD600B"/>
    <w:rsid w:val="0BE8347C"/>
    <w:rsid w:val="0BF34D62"/>
    <w:rsid w:val="0BF61875"/>
    <w:rsid w:val="0C034EC7"/>
    <w:rsid w:val="0C1F1FD1"/>
    <w:rsid w:val="0C34335D"/>
    <w:rsid w:val="0C6F3073"/>
    <w:rsid w:val="0C75428E"/>
    <w:rsid w:val="0C917A3E"/>
    <w:rsid w:val="0CFD4DC1"/>
    <w:rsid w:val="0D0B00EC"/>
    <w:rsid w:val="0D8A2593"/>
    <w:rsid w:val="0D9C5E6A"/>
    <w:rsid w:val="0DAF007F"/>
    <w:rsid w:val="0DD5749F"/>
    <w:rsid w:val="0DD86E4E"/>
    <w:rsid w:val="0DFB104B"/>
    <w:rsid w:val="0E07575D"/>
    <w:rsid w:val="0E0A32BE"/>
    <w:rsid w:val="0E1E25FB"/>
    <w:rsid w:val="0E596D0C"/>
    <w:rsid w:val="0EBD7D68"/>
    <w:rsid w:val="0F1914B5"/>
    <w:rsid w:val="0F314D6F"/>
    <w:rsid w:val="0F34760A"/>
    <w:rsid w:val="0F37618C"/>
    <w:rsid w:val="0F3D735E"/>
    <w:rsid w:val="0F8F298A"/>
    <w:rsid w:val="0F9F53C9"/>
    <w:rsid w:val="0FAE623F"/>
    <w:rsid w:val="0FBD3F46"/>
    <w:rsid w:val="0FC26A5B"/>
    <w:rsid w:val="0FD505A7"/>
    <w:rsid w:val="0FEE6879"/>
    <w:rsid w:val="100E2521"/>
    <w:rsid w:val="104C19C2"/>
    <w:rsid w:val="10622A64"/>
    <w:rsid w:val="111A2C24"/>
    <w:rsid w:val="112F2BB4"/>
    <w:rsid w:val="11535FD3"/>
    <w:rsid w:val="116256D8"/>
    <w:rsid w:val="116305F9"/>
    <w:rsid w:val="119506C7"/>
    <w:rsid w:val="11AD2DC6"/>
    <w:rsid w:val="11B55FCB"/>
    <w:rsid w:val="11B66891"/>
    <w:rsid w:val="11B902D1"/>
    <w:rsid w:val="11D85012"/>
    <w:rsid w:val="11F24814"/>
    <w:rsid w:val="11FA498B"/>
    <w:rsid w:val="12836B35"/>
    <w:rsid w:val="12A65EB9"/>
    <w:rsid w:val="12BB2FC0"/>
    <w:rsid w:val="12C435EC"/>
    <w:rsid w:val="12E261D8"/>
    <w:rsid w:val="12F32D06"/>
    <w:rsid w:val="13700F26"/>
    <w:rsid w:val="137C230D"/>
    <w:rsid w:val="13BB1D9A"/>
    <w:rsid w:val="13C8541B"/>
    <w:rsid w:val="13D06940"/>
    <w:rsid w:val="13E34C02"/>
    <w:rsid w:val="13ED276A"/>
    <w:rsid w:val="142762EF"/>
    <w:rsid w:val="14325C20"/>
    <w:rsid w:val="143E2EE3"/>
    <w:rsid w:val="14657920"/>
    <w:rsid w:val="146A4AE3"/>
    <w:rsid w:val="149A4343"/>
    <w:rsid w:val="14DE3BD2"/>
    <w:rsid w:val="14FF654E"/>
    <w:rsid w:val="151313C6"/>
    <w:rsid w:val="15212654"/>
    <w:rsid w:val="15462F97"/>
    <w:rsid w:val="154824EF"/>
    <w:rsid w:val="15632C16"/>
    <w:rsid w:val="15895A16"/>
    <w:rsid w:val="15AF52E9"/>
    <w:rsid w:val="15BA3C42"/>
    <w:rsid w:val="15DD471C"/>
    <w:rsid w:val="15E54F66"/>
    <w:rsid w:val="1600437A"/>
    <w:rsid w:val="1613389C"/>
    <w:rsid w:val="163B560C"/>
    <w:rsid w:val="1644793F"/>
    <w:rsid w:val="16460004"/>
    <w:rsid w:val="16711ACF"/>
    <w:rsid w:val="168170BB"/>
    <w:rsid w:val="168C5B78"/>
    <w:rsid w:val="16A423D1"/>
    <w:rsid w:val="16D01EEF"/>
    <w:rsid w:val="16D96ED9"/>
    <w:rsid w:val="16FE701F"/>
    <w:rsid w:val="17012156"/>
    <w:rsid w:val="17391ED0"/>
    <w:rsid w:val="174F2312"/>
    <w:rsid w:val="17542E0E"/>
    <w:rsid w:val="17965A93"/>
    <w:rsid w:val="179E0204"/>
    <w:rsid w:val="17A17C4F"/>
    <w:rsid w:val="17A829E2"/>
    <w:rsid w:val="17AE54CD"/>
    <w:rsid w:val="17AF41AF"/>
    <w:rsid w:val="17E62CEF"/>
    <w:rsid w:val="17EC1C0A"/>
    <w:rsid w:val="18344404"/>
    <w:rsid w:val="18362483"/>
    <w:rsid w:val="184C57FA"/>
    <w:rsid w:val="18563C57"/>
    <w:rsid w:val="186E04C9"/>
    <w:rsid w:val="18AF5B27"/>
    <w:rsid w:val="18CA06D5"/>
    <w:rsid w:val="18F94C82"/>
    <w:rsid w:val="18FD48CF"/>
    <w:rsid w:val="19283A36"/>
    <w:rsid w:val="19B421D6"/>
    <w:rsid w:val="19B64719"/>
    <w:rsid w:val="19D9120E"/>
    <w:rsid w:val="19E70695"/>
    <w:rsid w:val="19F4677B"/>
    <w:rsid w:val="1A002518"/>
    <w:rsid w:val="1A041605"/>
    <w:rsid w:val="1A215270"/>
    <w:rsid w:val="1A270E2C"/>
    <w:rsid w:val="1A447172"/>
    <w:rsid w:val="1A6C0366"/>
    <w:rsid w:val="1A7520C5"/>
    <w:rsid w:val="1A7B41F9"/>
    <w:rsid w:val="1A961F57"/>
    <w:rsid w:val="1AD31E1B"/>
    <w:rsid w:val="1AE378D1"/>
    <w:rsid w:val="1AE77568"/>
    <w:rsid w:val="1AF841BE"/>
    <w:rsid w:val="1B2E5D1E"/>
    <w:rsid w:val="1B3131FB"/>
    <w:rsid w:val="1B4E20F0"/>
    <w:rsid w:val="1BF9228F"/>
    <w:rsid w:val="1C020FBE"/>
    <w:rsid w:val="1C1A0167"/>
    <w:rsid w:val="1C255C0D"/>
    <w:rsid w:val="1C3D2907"/>
    <w:rsid w:val="1C5A081E"/>
    <w:rsid w:val="1C5C244E"/>
    <w:rsid w:val="1C760404"/>
    <w:rsid w:val="1C7D2391"/>
    <w:rsid w:val="1CBA29E7"/>
    <w:rsid w:val="1CC81A8E"/>
    <w:rsid w:val="1CCD691D"/>
    <w:rsid w:val="1CF77CDC"/>
    <w:rsid w:val="1D0C701D"/>
    <w:rsid w:val="1D36117A"/>
    <w:rsid w:val="1D633B12"/>
    <w:rsid w:val="1D860E9D"/>
    <w:rsid w:val="1DE640C3"/>
    <w:rsid w:val="1DF15C7D"/>
    <w:rsid w:val="1DF67D15"/>
    <w:rsid w:val="1E125A00"/>
    <w:rsid w:val="1E195D86"/>
    <w:rsid w:val="1E417F24"/>
    <w:rsid w:val="1E7B13C5"/>
    <w:rsid w:val="1EB119F9"/>
    <w:rsid w:val="1EF64338"/>
    <w:rsid w:val="1F200428"/>
    <w:rsid w:val="1F4D34F1"/>
    <w:rsid w:val="1F4F18BC"/>
    <w:rsid w:val="1F6C3676"/>
    <w:rsid w:val="1FEB007C"/>
    <w:rsid w:val="200C0ACE"/>
    <w:rsid w:val="201C2745"/>
    <w:rsid w:val="204E2A84"/>
    <w:rsid w:val="204E48C7"/>
    <w:rsid w:val="206172E1"/>
    <w:rsid w:val="20873E15"/>
    <w:rsid w:val="20AB5FE8"/>
    <w:rsid w:val="21002234"/>
    <w:rsid w:val="210B4B8B"/>
    <w:rsid w:val="21240D5C"/>
    <w:rsid w:val="212C6943"/>
    <w:rsid w:val="213D657D"/>
    <w:rsid w:val="21431A7D"/>
    <w:rsid w:val="21544E8E"/>
    <w:rsid w:val="21A25532"/>
    <w:rsid w:val="21B03CB6"/>
    <w:rsid w:val="21F42001"/>
    <w:rsid w:val="2203346C"/>
    <w:rsid w:val="227313D5"/>
    <w:rsid w:val="22741D9D"/>
    <w:rsid w:val="22842391"/>
    <w:rsid w:val="22B67ECE"/>
    <w:rsid w:val="22B72955"/>
    <w:rsid w:val="22BA590C"/>
    <w:rsid w:val="22EC73A6"/>
    <w:rsid w:val="22F366C7"/>
    <w:rsid w:val="22F75049"/>
    <w:rsid w:val="23294C3C"/>
    <w:rsid w:val="23461B9F"/>
    <w:rsid w:val="234D0967"/>
    <w:rsid w:val="234F7B17"/>
    <w:rsid w:val="23590C2A"/>
    <w:rsid w:val="236C666E"/>
    <w:rsid w:val="237505C4"/>
    <w:rsid w:val="23E049ED"/>
    <w:rsid w:val="24491F45"/>
    <w:rsid w:val="244B0FA4"/>
    <w:rsid w:val="24561892"/>
    <w:rsid w:val="24855C1E"/>
    <w:rsid w:val="24D4249B"/>
    <w:rsid w:val="25053BCC"/>
    <w:rsid w:val="251A0488"/>
    <w:rsid w:val="25213EE4"/>
    <w:rsid w:val="26010EE8"/>
    <w:rsid w:val="26023801"/>
    <w:rsid w:val="26114A34"/>
    <w:rsid w:val="26290859"/>
    <w:rsid w:val="265B05A2"/>
    <w:rsid w:val="267C3F47"/>
    <w:rsid w:val="268E7807"/>
    <w:rsid w:val="26E74D07"/>
    <w:rsid w:val="271E19F2"/>
    <w:rsid w:val="27756961"/>
    <w:rsid w:val="27A24A12"/>
    <w:rsid w:val="27D55CFC"/>
    <w:rsid w:val="27F07DF2"/>
    <w:rsid w:val="28B54147"/>
    <w:rsid w:val="28BB3DA4"/>
    <w:rsid w:val="28BB4B6F"/>
    <w:rsid w:val="29300240"/>
    <w:rsid w:val="29412132"/>
    <w:rsid w:val="2959488B"/>
    <w:rsid w:val="297C6CD1"/>
    <w:rsid w:val="29A7485D"/>
    <w:rsid w:val="29B6156B"/>
    <w:rsid w:val="29B961FF"/>
    <w:rsid w:val="2A0D53AA"/>
    <w:rsid w:val="2A570F2A"/>
    <w:rsid w:val="2A6223C8"/>
    <w:rsid w:val="2A67420F"/>
    <w:rsid w:val="2A825479"/>
    <w:rsid w:val="2AB55734"/>
    <w:rsid w:val="2AC20EB8"/>
    <w:rsid w:val="2ACB3F1F"/>
    <w:rsid w:val="2ADF10BD"/>
    <w:rsid w:val="2AF8642C"/>
    <w:rsid w:val="2B031BBB"/>
    <w:rsid w:val="2B035939"/>
    <w:rsid w:val="2B1805E4"/>
    <w:rsid w:val="2B3B26B7"/>
    <w:rsid w:val="2B3E767C"/>
    <w:rsid w:val="2B412143"/>
    <w:rsid w:val="2B4E778E"/>
    <w:rsid w:val="2BB110E6"/>
    <w:rsid w:val="2BF567D2"/>
    <w:rsid w:val="2BF87F43"/>
    <w:rsid w:val="2C30427D"/>
    <w:rsid w:val="2C38480E"/>
    <w:rsid w:val="2C427671"/>
    <w:rsid w:val="2C8279BC"/>
    <w:rsid w:val="2C865682"/>
    <w:rsid w:val="2CAF62D2"/>
    <w:rsid w:val="2CCE79B1"/>
    <w:rsid w:val="2CE95D7B"/>
    <w:rsid w:val="2CEC0D59"/>
    <w:rsid w:val="2D0938C6"/>
    <w:rsid w:val="2D3F04F7"/>
    <w:rsid w:val="2D442EEB"/>
    <w:rsid w:val="2D752FAC"/>
    <w:rsid w:val="2DCD6BB5"/>
    <w:rsid w:val="2DF44503"/>
    <w:rsid w:val="2DFF1730"/>
    <w:rsid w:val="2E147EF0"/>
    <w:rsid w:val="2E2E5367"/>
    <w:rsid w:val="2E4E7A2B"/>
    <w:rsid w:val="2E80779D"/>
    <w:rsid w:val="2ED263E2"/>
    <w:rsid w:val="2F0C2040"/>
    <w:rsid w:val="2F0D5C21"/>
    <w:rsid w:val="2F812C9E"/>
    <w:rsid w:val="2FAE79EF"/>
    <w:rsid w:val="2FFF17EE"/>
    <w:rsid w:val="3014453A"/>
    <w:rsid w:val="303C2551"/>
    <w:rsid w:val="303D0490"/>
    <w:rsid w:val="305C12EA"/>
    <w:rsid w:val="30C47F49"/>
    <w:rsid w:val="30D71F64"/>
    <w:rsid w:val="30F4566E"/>
    <w:rsid w:val="31090C9B"/>
    <w:rsid w:val="31263059"/>
    <w:rsid w:val="315F41DE"/>
    <w:rsid w:val="3164729B"/>
    <w:rsid w:val="317C64EF"/>
    <w:rsid w:val="31A1715E"/>
    <w:rsid w:val="31A53FD3"/>
    <w:rsid w:val="31B63457"/>
    <w:rsid w:val="31DD57E6"/>
    <w:rsid w:val="320A3645"/>
    <w:rsid w:val="3229706F"/>
    <w:rsid w:val="32516A79"/>
    <w:rsid w:val="325451C1"/>
    <w:rsid w:val="32B709D6"/>
    <w:rsid w:val="32F907E7"/>
    <w:rsid w:val="3313173C"/>
    <w:rsid w:val="332A7D95"/>
    <w:rsid w:val="3340749F"/>
    <w:rsid w:val="33562357"/>
    <w:rsid w:val="33743374"/>
    <w:rsid w:val="33BA574B"/>
    <w:rsid w:val="33BD7F41"/>
    <w:rsid w:val="33C35E37"/>
    <w:rsid w:val="341214D4"/>
    <w:rsid w:val="34182627"/>
    <w:rsid w:val="344F1E96"/>
    <w:rsid w:val="347C40F8"/>
    <w:rsid w:val="34E1758D"/>
    <w:rsid w:val="34E7249A"/>
    <w:rsid w:val="35025CC2"/>
    <w:rsid w:val="350C3A9F"/>
    <w:rsid w:val="351C2BF1"/>
    <w:rsid w:val="35BF55DC"/>
    <w:rsid w:val="362B7AD3"/>
    <w:rsid w:val="369A0C09"/>
    <w:rsid w:val="369C4690"/>
    <w:rsid w:val="36B7497E"/>
    <w:rsid w:val="36E92B9A"/>
    <w:rsid w:val="37307DD1"/>
    <w:rsid w:val="37381173"/>
    <w:rsid w:val="37B445B9"/>
    <w:rsid w:val="37BF5B2C"/>
    <w:rsid w:val="37E471B6"/>
    <w:rsid w:val="381B3B91"/>
    <w:rsid w:val="382C626E"/>
    <w:rsid w:val="38311D87"/>
    <w:rsid w:val="383B3276"/>
    <w:rsid w:val="384A473D"/>
    <w:rsid w:val="38586A39"/>
    <w:rsid w:val="38BB006B"/>
    <w:rsid w:val="38D05A6D"/>
    <w:rsid w:val="390212BA"/>
    <w:rsid w:val="394F1E1D"/>
    <w:rsid w:val="397D10DC"/>
    <w:rsid w:val="39823EDF"/>
    <w:rsid w:val="398A09FF"/>
    <w:rsid w:val="39B02A11"/>
    <w:rsid w:val="39C778EE"/>
    <w:rsid w:val="39EC25A3"/>
    <w:rsid w:val="3A080F3D"/>
    <w:rsid w:val="3A0B7E25"/>
    <w:rsid w:val="3A2D1DBE"/>
    <w:rsid w:val="3A396B49"/>
    <w:rsid w:val="3A564B6E"/>
    <w:rsid w:val="3AB620B5"/>
    <w:rsid w:val="3AC25B77"/>
    <w:rsid w:val="3AF7441B"/>
    <w:rsid w:val="3B09034C"/>
    <w:rsid w:val="3B2340FA"/>
    <w:rsid w:val="3B640E4A"/>
    <w:rsid w:val="3B6A6B30"/>
    <w:rsid w:val="3BA0001E"/>
    <w:rsid w:val="3BA67EF3"/>
    <w:rsid w:val="3BE61780"/>
    <w:rsid w:val="3BF13876"/>
    <w:rsid w:val="3BFF6D91"/>
    <w:rsid w:val="3C0F0157"/>
    <w:rsid w:val="3C295A99"/>
    <w:rsid w:val="3C491031"/>
    <w:rsid w:val="3C565CC7"/>
    <w:rsid w:val="3CAF7A61"/>
    <w:rsid w:val="3CF52986"/>
    <w:rsid w:val="3D2C5A80"/>
    <w:rsid w:val="3D417F43"/>
    <w:rsid w:val="3E347273"/>
    <w:rsid w:val="3E736604"/>
    <w:rsid w:val="3E8F75E7"/>
    <w:rsid w:val="3E9C193E"/>
    <w:rsid w:val="3EAD0354"/>
    <w:rsid w:val="3ED05B30"/>
    <w:rsid w:val="3EDA79C1"/>
    <w:rsid w:val="3EE1443F"/>
    <w:rsid w:val="3EE71B36"/>
    <w:rsid w:val="3EEF412D"/>
    <w:rsid w:val="3EFB2631"/>
    <w:rsid w:val="3F046B59"/>
    <w:rsid w:val="3F39520E"/>
    <w:rsid w:val="3F3E0819"/>
    <w:rsid w:val="3F4718D8"/>
    <w:rsid w:val="3F932D2C"/>
    <w:rsid w:val="3FB05D41"/>
    <w:rsid w:val="3FB54504"/>
    <w:rsid w:val="3FC71D5A"/>
    <w:rsid w:val="3FCF482D"/>
    <w:rsid w:val="3FE406CE"/>
    <w:rsid w:val="3FEE7990"/>
    <w:rsid w:val="40264296"/>
    <w:rsid w:val="40461D28"/>
    <w:rsid w:val="40502228"/>
    <w:rsid w:val="406E5112"/>
    <w:rsid w:val="40707236"/>
    <w:rsid w:val="408A442A"/>
    <w:rsid w:val="40AF25FA"/>
    <w:rsid w:val="40B90AE6"/>
    <w:rsid w:val="40BF4832"/>
    <w:rsid w:val="40D4008B"/>
    <w:rsid w:val="40FD0905"/>
    <w:rsid w:val="410B04D9"/>
    <w:rsid w:val="412521E4"/>
    <w:rsid w:val="41551B3B"/>
    <w:rsid w:val="416602B2"/>
    <w:rsid w:val="41665F67"/>
    <w:rsid w:val="416F4975"/>
    <w:rsid w:val="41785691"/>
    <w:rsid w:val="418E3065"/>
    <w:rsid w:val="41C46987"/>
    <w:rsid w:val="41C7544C"/>
    <w:rsid w:val="41DE0DCA"/>
    <w:rsid w:val="41E75418"/>
    <w:rsid w:val="41FA23F4"/>
    <w:rsid w:val="41FB0AD7"/>
    <w:rsid w:val="424C4961"/>
    <w:rsid w:val="4258162A"/>
    <w:rsid w:val="42E82FFB"/>
    <w:rsid w:val="42E939AF"/>
    <w:rsid w:val="42FD048C"/>
    <w:rsid w:val="432331CF"/>
    <w:rsid w:val="43280AD1"/>
    <w:rsid w:val="43285C23"/>
    <w:rsid w:val="432B625C"/>
    <w:rsid w:val="432E4A7C"/>
    <w:rsid w:val="43326326"/>
    <w:rsid w:val="43394A63"/>
    <w:rsid w:val="433B62FA"/>
    <w:rsid w:val="43426F87"/>
    <w:rsid w:val="434B2FB7"/>
    <w:rsid w:val="43B014CD"/>
    <w:rsid w:val="43DE7B0C"/>
    <w:rsid w:val="43FA5348"/>
    <w:rsid w:val="43FD73C8"/>
    <w:rsid w:val="44246E6D"/>
    <w:rsid w:val="4431453A"/>
    <w:rsid w:val="443E3E04"/>
    <w:rsid w:val="4441756B"/>
    <w:rsid w:val="446911DA"/>
    <w:rsid w:val="44A33528"/>
    <w:rsid w:val="44B1663A"/>
    <w:rsid w:val="450A0722"/>
    <w:rsid w:val="453836CF"/>
    <w:rsid w:val="45414C0B"/>
    <w:rsid w:val="45B9521D"/>
    <w:rsid w:val="45F121B8"/>
    <w:rsid w:val="45FD43C0"/>
    <w:rsid w:val="45FE4B6D"/>
    <w:rsid w:val="461432B9"/>
    <w:rsid w:val="464E23A3"/>
    <w:rsid w:val="466758D8"/>
    <w:rsid w:val="468A4AA1"/>
    <w:rsid w:val="46A53069"/>
    <w:rsid w:val="46CF5A07"/>
    <w:rsid w:val="46FB157C"/>
    <w:rsid w:val="470103AC"/>
    <w:rsid w:val="4701469C"/>
    <w:rsid w:val="4752541D"/>
    <w:rsid w:val="47A22846"/>
    <w:rsid w:val="47B20E55"/>
    <w:rsid w:val="47E37431"/>
    <w:rsid w:val="47FF5B38"/>
    <w:rsid w:val="48000720"/>
    <w:rsid w:val="4809042F"/>
    <w:rsid w:val="489D483F"/>
    <w:rsid w:val="48BD5613"/>
    <w:rsid w:val="49011194"/>
    <w:rsid w:val="49410D19"/>
    <w:rsid w:val="495A5008"/>
    <w:rsid w:val="495D5A7D"/>
    <w:rsid w:val="496541CA"/>
    <w:rsid w:val="49721DBB"/>
    <w:rsid w:val="49961CFC"/>
    <w:rsid w:val="499668E1"/>
    <w:rsid w:val="49B0147C"/>
    <w:rsid w:val="49B80764"/>
    <w:rsid w:val="49BC656C"/>
    <w:rsid w:val="49F83CE9"/>
    <w:rsid w:val="4A0E310F"/>
    <w:rsid w:val="4A407258"/>
    <w:rsid w:val="4A5A43D6"/>
    <w:rsid w:val="4A65312A"/>
    <w:rsid w:val="4A872E60"/>
    <w:rsid w:val="4A9E065D"/>
    <w:rsid w:val="4AFD1F57"/>
    <w:rsid w:val="4B047CA0"/>
    <w:rsid w:val="4B323F9E"/>
    <w:rsid w:val="4B4240C3"/>
    <w:rsid w:val="4B487CDE"/>
    <w:rsid w:val="4B501A2D"/>
    <w:rsid w:val="4B7B065F"/>
    <w:rsid w:val="4B9251E7"/>
    <w:rsid w:val="4B9F0B51"/>
    <w:rsid w:val="4BBF5937"/>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5F09A7"/>
    <w:rsid w:val="4E7577F0"/>
    <w:rsid w:val="4E77302F"/>
    <w:rsid w:val="4EC06D6D"/>
    <w:rsid w:val="4EDE564D"/>
    <w:rsid w:val="4EE65CB5"/>
    <w:rsid w:val="4EEC692B"/>
    <w:rsid w:val="4EFD21FF"/>
    <w:rsid w:val="4F6B7866"/>
    <w:rsid w:val="4F890CC8"/>
    <w:rsid w:val="4F97232D"/>
    <w:rsid w:val="4F985B32"/>
    <w:rsid w:val="4FA304F6"/>
    <w:rsid w:val="4FA5789E"/>
    <w:rsid w:val="4FA64BAC"/>
    <w:rsid w:val="50262422"/>
    <w:rsid w:val="504A0092"/>
    <w:rsid w:val="5050775B"/>
    <w:rsid w:val="506505F0"/>
    <w:rsid w:val="50A941FF"/>
    <w:rsid w:val="510C1E87"/>
    <w:rsid w:val="512B5288"/>
    <w:rsid w:val="51372B8F"/>
    <w:rsid w:val="51450018"/>
    <w:rsid w:val="516C6209"/>
    <w:rsid w:val="517B1A54"/>
    <w:rsid w:val="5185158B"/>
    <w:rsid w:val="518F717D"/>
    <w:rsid w:val="51B71308"/>
    <w:rsid w:val="51C51B5F"/>
    <w:rsid w:val="51CB7214"/>
    <w:rsid w:val="521D1731"/>
    <w:rsid w:val="5235702F"/>
    <w:rsid w:val="52A176A8"/>
    <w:rsid w:val="52D279C5"/>
    <w:rsid w:val="52D34F9F"/>
    <w:rsid w:val="52DA53D8"/>
    <w:rsid w:val="538D52C0"/>
    <w:rsid w:val="53B504E7"/>
    <w:rsid w:val="53EE45FA"/>
    <w:rsid w:val="540D4497"/>
    <w:rsid w:val="541010AD"/>
    <w:rsid w:val="54140D2A"/>
    <w:rsid w:val="54250A4E"/>
    <w:rsid w:val="54544E99"/>
    <w:rsid w:val="549A5A7A"/>
    <w:rsid w:val="54DD38C0"/>
    <w:rsid w:val="55127A2A"/>
    <w:rsid w:val="555164D6"/>
    <w:rsid w:val="559C0F6D"/>
    <w:rsid w:val="55A74ED3"/>
    <w:rsid w:val="55AA2C77"/>
    <w:rsid w:val="55AD09F7"/>
    <w:rsid w:val="55BB270A"/>
    <w:rsid w:val="55D9675C"/>
    <w:rsid w:val="56081EE8"/>
    <w:rsid w:val="56292581"/>
    <w:rsid w:val="56487389"/>
    <w:rsid w:val="565203AE"/>
    <w:rsid w:val="568C291D"/>
    <w:rsid w:val="56A02745"/>
    <w:rsid w:val="56FD7F32"/>
    <w:rsid w:val="573003D2"/>
    <w:rsid w:val="577D03B1"/>
    <w:rsid w:val="57BB0A78"/>
    <w:rsid w:val="580D0D18"/>
    <w:rsid w:val="58137B4D"/>
    <w:rsid w:val="58325CD2"/>
    <w:rsid w:val="58366984"/>
    <w:rsid w:val="589269F4"/>
    <w:rsid w:val="58B64650"/>
    <w:rsid w:val="58C82EF3"/>
    <w:rsid w:val="58E2702B"/>
    <w:rsid w:val="59314D82"/>
    <w:rsid w:val="5954505F"/>
    <w:rsid w:val="596D00BD"/>
    <w:rsid w:val="5993453F"/>
    <w:rsid w:val="59DB62D9"/>
    <w:rsid w:val="5A040F1E"/>
    <w:rsid w:val="5A571234"/>
    <w:rsid w:val="5A5D44B6"/>
    <w:rsid w:val="5A7B248A"/>
    <w:rsid w:val="5A7F14AF"/>
    <w:rsid w:val="5AC61268"/>
    <w:rsid w:val="5B645B78"/>
    <w:rsid w:val="5B6E05FB"/>
    <w:rsid w:val="5B7724B7"/>
    <w:rsid w:val="5B7E605F"/>
    <w:rsid w:val="5B8C647D"/>
    <w:rsid w:val="5B9010ED"/>
    <w:rsid w:val="5B992F87"/>
    <w:rsid w:val="5BBF4016"/>
    <w:rsid w:val="5BF0003F"/>
    <w:rsid w:val="5BF34011"/>
    <w:rsid w:val="5C166F09"/>
    <w:rsid w:val="5C2154A5"/>
    <w:rsid w:val="5C646231"/>
    <w:rsid w:val="5C7C65DC"/>
    <w:rsid w:val="5CB54424"/>
    <w:rsid w:val="5CBE035D"/>
    <w:rsid w:val="5CE46FAA"/>
    <w:rsid w:val="5CEF05A4"/>
    <w:rsid w:val="5D2E4278"/>
    <w:rsid w:val="5D960828"/>
    <w:rsid w:val="5DAA51B9"/>
    <w:rsid w:val="5DAA7C01"/>
    <w:rsid w:val="5DC518B5"/>
    <w:rsid w:val="5DE66F6F"/>
    <w:rsid w:val="5DEF5828"/>
    <w:rsid w:val="5E0001F8"/>
    <w:rsid w:val="5E0117C1"/>
    <w:rsid w:val="5E2E0ABF"/>
    <w:rsid w:val="5E3F5D12"/>
    <w:rsid w:val="5E472CA5"/>
    <w:rsid w:val="5F503EAD"/>
    <w:rsid w:val="5F660863"/>
    <w:rsid w:val="5F857BB4"/>
    <w:rsid w:val="5F921B54"/>
    <w:rsid w:val="5F9F4ACF"/>
    <w:rsid w:val="5FB87F8E"/>
    <w:rsid w:val="6012645F"/>
    <w:rsid w:val="604E6A0A"/>
    <w:rsid w:val="6055538F"/>
    <w:rsid w:val="60635E83"/>
    <w:rsid w:val="60722997"/>
    <w:rsid w:val="609A26F5"/>
    <w:rsid w:val="60D148A7"/>
    <w:rsid w:val="60E24140"/>
    <w:rsid w:val="60EA6904"/>
    <w:rsid w:val="613D7F79"/>
    <w:rsid w:val="61627573"/>
    <w:rsid w:val="616F5AD7"/>
    <w:rsid w:val="61785E21"/>
    <w:rsid w:val="61A30FBD"/>
    <w:rsid w:val="61B62F49"/>
    <w:rsid w:val="61BC4167"/>
    <w:rsid w:val="61EF30F0"/>
    <w:rsid w:val="61FC78BC"/>
    <w:rsid w:val="622A4D77"/>
    <w:rsid w:val="623E756A"/>
    <w:rsid w:val="62540AC1"/>
    <w:rsid w:val="626471EF"/>
    <w:rsid w:val="62887682"/>
    <w:rsid w:val="62A92180"/>
    <w:rsid w:val="62AC5ED4"/>
    <w:rsid w:val="63327C2F"/>
    <w:rsid w:val="633B50A9"/>
    <w:rsid w:val="634800DD"/>
    <w:rsid w:val="634E6339"/>
    <w:rsid w:val="638E5C3D"/>
    <w:rsid w:val="63B26805"/>
    <w:rsid w:val="63C50EC1"/>
    <w:rsid w:val="641103F6"/>
    <w:rsid w:val="64274C3E"/>
    <w:rsid w:val="644323A1"/>
    <w:rsid w:val="64684EA9"/>
    <w:rsid w:val="64686153"/>
    <w:rsid w:val="64C94EC5"/>
    <w:rsid w:val="654A2614"/>
    <w:rsid w:val="65612B2D"/>
    <w:rsid w:val="658166D3"/>
    <w:rsid w:val="659426FC"/>
    <w:rsid w:val="66066C4D"/>
    <w:rsid w:val="662B1E8E"/>
    <w:rsid w:val="663F36DD"/>
    <w:rsid w:val="664523E3"/>
    <w:rsid w:val="66455432"/>
    <w:rsid w:val="6661052C"/>
    <w:rsid w:val="66756B61"/>
    <w:rsid w:val="67097D0A"/>
    <w:rsid w:val="6736715E"/>
    <w:rsid w:val="67397FC2"/>
    <w:rsid w:val="675A07BC"/>
    <w:rsid w:val="6767364F"/>
    <w:rsid w:val="678A6A26"/>
    <w:rsid w:val="67924017"/>
    <w:rsid w:val="67BF6746"/>
    <w:rsid w:val="68385A0A"/>
    <w:rsid w:val="683A721E"/>
    <w:rsid w:val="6840772E"/>
    <w:rsid w:val="68435B89"/>
    <w:rsid w:val="684501B7"/>
    <w:rsid w:val="68643BC0"/>
    <w:rsid w:val="68706ACB"/>
    <w:rsid w:val="688A543D"/>
    <w:rsid w:val="68BA5CE9"/>
    <w:rsid w:val="68CE4553"/>
    <w:rsid w:val="68D51E7A"/>
    <w:rsid w:val="69195135"/>
    <w:rsid w:val="692A202C"/>
    <w:rsid w:val="694D1E19"/>
    <w:rsid w:val="69704177"/>
    <w:rsid w:val="69760C36"/>
    <w:rsid w:val="69C8195F"/>
    <w:rsid w:val="69EB7683"/>
    <w:rsid w:val="6A387C70"/>
    <w:rsid w:val="6A631E35"/>
    <w:rsid w:val="6A6F1C20"/>
    <w:rsid w:val="6A7C4E57"/>
    <w:rsid w:val="6A891F7C"/>
    <w:rsid w:val="6A9A5FFD"/>
    <w:rsid w:val="6AA30D43"/>
    <w:rsid w:val="6AC97B14"/>
    <w:rsid w:val="6AE40685"/>
    <w:rsid w:val="6B144F27"/>
    <w:rsid w:val="6B6169E5"/>
    <w:rsid w:val="6B797D08"/>
    <w:rsid w:val="6B7F203F"/>
    <w:rsid w:val="6B866E86"/>
    <w:rsid w:val="6B990794"/>
    <w:rsid w:val="6BCF4D2A"/>
    <w:rsid w:val="6C360C93"/>
    <w:rsid w:val="6CCB777C"/>
    <w:rsid w:val="6CE42579"/>
    <w:rsid w:val="6CE64DE7"/>
    <w:rsid w:val="6D1C3817"/>
    <w:rsid w:val="6D38704B"/>
    <w:rsid w:val="6D5307CF"/>
    <w:rsid w:val="6D950CBB"/>
    <w:rsid w:val="6D98264B"/>
    <w:rsid w:val="6DAB6138"/>
    <w:rsid w:val="6DAE3B7D"/>
    <w:rsid w:val="6DBF37EC"/>
    <w:rsid w:val="6DEE2249"/>
    <w:rsid w:val="6DFC191F"/>
    <w:rsid w:val="6E12113E"/>
    <w:rsid w:val="6E471F02"/>
    <w:rsid w:val="6E5503E4"/>
    <w:rsid w:val="6E5B60DB"/>
    <w:rsid w:val="6E620C4B"/>
    <w:rsid w:val="6E870A36"/>
    <w:rsid w:val="6EB2037D"/>
    <w:rsid w:val="6F16667F"/>
    <w:rsid w:val="6F3A45FB"/>
    <w:rsid w:val="6F461A44"/>
    <w:rsid w:val="6F5003AC"/>
    <w:rsid w:val="6F8017C9"/>
    <w:rsid w:val="6FAF3346"/>
    <w:rsid w:val="6FCB4A13"/>
    <w:rsid w:val="6FE96E7B"/>
    <w:rsid w:val="6FF86DDD"/>
    <w:rsid w:val="70187EC5"/>
    <w:rsid w:val="7034456F"/>
    <w:rsid w:val="70487B31"/>
    <w:rsid w:val="70A21DEA"/>
    <w:rsid w:val="70BD7855"/>
    <w:rsid w:val="70C90DC2"/>
    <w:rsid w:val="71021286"/>
    <w:rsid w:val="71170D75"/>
    <w:rsid w:val="713A0D71"/>
    <w:rsid w:val="714E7FB6"/>
    <w:rsid w:val="715372D3"/>
    <w:rsid w:val="715E0E87"/>
    <w:rsid w:val="716E7BB1"/>
    <w:rsid w:val="71AD7C03"/>
    <w:rsid w:val="72051B29"/>
    <w:rsid w:val="723F0E28"/>
    <w:rsid w:val="72422386"/>
    <w:rsid w:val="7266575F"/>
    <w:rsid w:val="72A87A3F"/>
    <w:rsid w:val="72B817C6"/>
    <w:rsid w:val="730B678F"/>
    <w:rsid w:val="733D2828"/>
    <w:rsid w:val="73911D1F"/>
    <w:rsid w:val="73AC5164"/>
    <w:rsid w:val="73BF531C"/>
    <w:rsid w:val="73E5475D"/>
    <w:rsid w:val="73E76120"/>
    <w:rsid w:val="73F37E53"/>
    <w:rsid w:val="74144569"/>
    <w:rsid w:val="743233D2"/>
    <w:rsid w:val="74381238"/>
    <w:rsid w:val="743C1784"/>
    <w:rsid w:val="744B00F3"/>
    <w:rsid w:val="74782F0F"/>
    <w:rsid w:val="74E02504"/>
    <w:rsid w:val="74F7039E"/>
    <w:rsid w:val="750B6677"/>
    <w:rsid w:val="75184383"/>
    <w:rsid w:val="75224E08"/>
    <w:rsid w:val="75324C67"/>
    <w:rsid w:val="75545B20"/>
    <w:rsid w:val="757A6AA8"/>
    <w:rsid w:val="758C04EC"/>
    <w:rsid w:val="759E5472"/>
    <w:rsid w:val="75A620CB"/>
    <w:rsid w:val="75AC73B3"/>
    <w:rsid w:val="75DC6C09"/>
    <w:rsid w:val="75F87069"/>
    <w:rsid w:val="76254B88"/>
    <w:rsid w:val="769D7C92"/>
    <w:rsid w:val="76BF7512"/>
    <w:rsid w:val="76C84E7B"/>
    <w:rsid w:val="76CC503A"/>
    <w:rsid w:val="77011E8D"/>
    <w:rsid w:val="772A38C0"/>
    <w:rsid w:val="77357809"/>
    <w:rsid w:val="773835C9"/>
    <w:rsid w:val="776179CD"/>
    <w:rsid w:val="778D724E"/>
    <w:rsid w:val="77C92997"/>
    <w:rsid w:val="77E3226A"/>
    <w:rsid w:val="77F45337"/>
    <w:rsid w:val="7811592B"/>
    <w:rsid w:val="78287689"/>
    <w:rsid w:val="786F5E45"/>
    <w:rsid w:val="78831644"/>
    <w:rsid w:val="78970D25"/>
    <w:rsid w:val="78C877B1"/>
    <w:rsid w:val="78F2552C"/>
    <w:rsid w:val="790316D7"/>
    <w:rsid w:val="79083AE0"/>
    <w:rsid w:val="792B050A"/>
    <w:rsid w:val="79483135"/>
    <w:rsid w:val="795C5849"/>
    <w:rsid w:val="79636308"/>
    <w:rsid w:val="799C5E36"/>
    <w:rsid w:val="79B459BB"/>
    <w:rsid w:val="79C969C1"/>
    <w:rsid w:val="7A26283C"/>
    <w:rsid w:val="7A285399"/>
    <w:rsid w:val="7A56205D"/>
    <w:rsid w:val="7A656D7F"/>
    <w:rsid w:val="7A75045A"/>
    <w:rsid w:val="7AB110D0"/>
    <w:rsid w:val="7AE64ECB"/>
    <w:rsid w:val="7AFC3D41"/>
    <w:rsid w:val="7AFC61D6"/>
    <w:rsid w:val="7B154A85"/>
    <w:rsid w:val="7B865DB0"/>
    <w:rsid w:val="7BE049A8"/>
    <w:rsid w:val="7BEB393A"/>
    <w:rsid w:val="7C03388E"/>
    <w:rsid w:val="7C7069A4"/>
    <w:rsid w:val="7C8A1FDF"/>
    <w:rsid w:val="7C953875"/>
    <w:rsid w:val="7C9B7091"/>
    <w:rsid w:val="7CAF1F68"/>
    <w:rsid w:val="7CD05500"/>
    <w:rsid w:val="7D0B37FA"/>
    <w:rsid w:val="7D0E7186"/>
    <w:rsid w:val="7D2908DD"/>
    <w:rsid w:val="7D2B2CE3"/>
    <w:rsid w:val="7D4021A9"/>
    <w:rsid w:val="7D5D5D78"/>
    <w:rsid w:val="7E071885"/>
    <w:rsid w:val="7E653164"/>
    <w:rsid w:val="7E8D1B3C"/>
    <w:rsid w:val="7EA618F0"/>
    <w:rsid w:val="7EC95E9A"/>
    <w:rsid w:val="7ED74FB0"/>
    <w:rsid w:val="7F382FBD"/>
    <w:rsid w:val="7F516112"/>
    <w:rsid w:val="7FA12B36"/>
    <w:rsid w:val="7FD84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outlineLvl w:val="0"/>
    </w:pPr>
    <w:rPr>
      <w:rFonts w:ascii="宋体" w:hAnsi="宋体" w:eastAsia="宋体" w:cs="宋体"/>
      <w:b/>
      <w:bCs/>
      <w:sz w:val="24"/>
      <w:lang w:val="zh-CN" w:bidi="zh-C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qFormat/>
    <w:uiPriority w:val="0"/>
    <w:pPr>
      <w:jc w:val="left"/>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3"/>
    <w:next w:val="3"/>
    <w:link w:val="15"/>
    <w:qFormat/>
    <w:uiPriority w:val="0"/>
    <w:rPr>
      <w:b/>
      <w:bCs/>
    </w:rPr>
  </w:style>
  <w:style w:type="character" w:styleId="9">
    <w:name w:val="annotation reference"/>
    <w:basedOn w:val="8"/>
    <w:qFormat/>
    <w:uiPriority w:val="0"/>
    <w:rPr>
      <w:sz w:val="21"/>
      <w:szCs w:val="21"/>
    </w:rPr>
  </w:style>
  <w:style w:type="paragraph" w:customStyle="1" w:styleId="10">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1">
    <w:name w:val="页眉 字符"/>
    <w:basedOn w:val="8"/>
    <w:link w:val="5"/>
    <w:qFormat/>
    <w:uiPriority w:val="0"/>
    <w:rPr>
      <w:rFonts w:asciiTheme="minorHAnsi" w:hAnsiTheme="minorHAnsi" w:eastAsiaTheme="minorEastAsia" w:cstheme="minorBidi"/>
      <w:kern w:val="2"/>
      <w:sz w:val="18"/>
      <w:szCs w:val="18"/>
    </w:rPr>
  </w:style>
  <w:style w:type="character" w:customStyle="1" w:styleId="12">
    <w:name w:val="页脚 字符"/>
    <w:basedOn w:val="8"/>
    <w:link w:val="4"/>
    <w:qFormat/>
    <w:uiPriority w:val="0"/>
    <w:rPr>
      <w:rFonts w:asciiTheme="minorHAnsi" w:hAnsiTheme="minorHAnsi" w:eastAsiaTheme="minorEastAsia" w:cstheme="minorBidi"/>
      <w:kern w:val="2"/>
      <w:sz w:val="18"/>
      <w:szCs w:val="18"/>
    </w:rPr>
  </w:style>
  <w:style w:type="paragraph" w:customStyle="1" w:styleId="13">
    <w:name w:val="Revision"/>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4">
    <w:name w:val="批注文字 字符"/>
    <w:basedOn w:val="8"/>
    <w:link w:val="3"/>
    <w:qFormat/>
    <w:uiPriority w:val="0"/>
    <w:rPr>
      <w:rFonts w:asciiTheme="minorHAnsi" w:hAnsiTheme="minorHAnsi" w:eastAsiaTheme="minorEastAsia" w:cstheme="minorBidi"/>
      <w:kern w:val="2"/>
      <w:sz w:val="21"/>
      <w:szCs w:val="24"/>
    </w:rPr>
  </w:style>
  <w:style w:type="character" w:customStyle="1" w:styleId="15">
    <w:name w:val="批注主题 字符"/>
    <w:basedOn w:val="14"/>
    <w:link w:val="6"/>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1263</Words>
  <Characters>1377</Characters>
  <Lines>10</Lines>
  <Paragraphs>2</Paragraphs>
  <TotalTime>3</TotalTime>
  <ScaleCrop>false</ScaleCrop>
  <LinksUpToDate>false</LinksUpToDate>
  <CharactersWithSpaces>1408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2022-10-12T05:40:00Z</dcterms:created>
  <dc:creator>suuuu</dc:creator>
  <cp:lastModifiedBy>suuuu</cp:lastModifiedBy>
  <dcterms:modified xsi:type="dcterms:W3CDTF">2022-11-11T02:59:34Z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82191D1014A54B538C0E2E50FBC78BBD</vt:lpwstr>
  </property>
</Properties>
</file>