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黑体" w:hAnsi="黑体" w:eastAsia="宋体" w:cs="黑体"/>
          <w:color w:val="000000"/>
          <w:kern w:val="0"/>
          <w:sz w:val="24"/>
          <w:szCs w:val="24"/>
          <w:highlight w:val="none"/>
          <w:lang w:val="en-US" w:eastAsia="zh-CN"/>
        </w:rPr>
      </w:pPr>
      <w:r>
        <w:rPr>
          <w:szCs w:val="21"/>
        </w:rPr>
        <w:t xml:space="preserve">证券代码：603232      </w:t>
      </w:r>
      <w:r>
        <w:rPr>
          <w:rFonts w:hint="eastAsia"/>
          <w:szCs w:val="21"/>
          <w:lang w:val="en-US" w:eastAsia="zh-CN"/>
        </w:rPr>
        <w:t xml:space="preserve">  </w:t>
      </w:r>
      <w:r>
        <w:rPr>
          <w:szCs w:val="21"/>
        </w:rPr>
        <w:t xml:space="preserve">      证券简称：格尔软件  </w:t>
      </w:r>
      <w:r>
        <w:rPr>
          <w:rFonts w:hint="eastAsia"/>
          <w:szCs w:val="21"/>
          <w:lang w:val="en-US" w:eastAsia="zh-CN"/>
        </w:rPr>
        <w:t xml:space="preserve"> </w:t>
      </w:r>
      <w:r>
        <w:rPr>
          <w:szCs w:val="21"/>
        </w:rPr>
        <w:t xml:space="preserve">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w:t>
      </w:r>
      <w:r>
        <w:rPr>
          <w:rFonts w:hint="eastAsia"/>
          <w:szCs w:val="21"/>
          <w:highlight w:val="none"/>
          <w:lang w:val="en-US" w:eastAsia="zh-CN"/>
        </w:rPr>
        <w:t>066</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w:t>
      </w:r>
      <w:r>
        <w:rPr>
          <w:rFonts w:hint="eastAsia" w:ascii="黑体" w:hAnsi="黑体" w:eastAsia="黑体"/>
          <w:b/>
          <w:color w:val="FF0000"/>
          <w:sz w:val="32"/>
          <w:szCs w:val="32"/>
          <w:lang w:eastAsia="zh-CN"/>
        </w:rPr>
        <w:t>自有资金</w:t>
      </w:r>
      <w:r>
        <w:rPr>
          <w:rFonts w:hint="eastAsia" w:ascii="黑体" w:hAnsi="黑体" w:eastAsia="黑体"/>
          <w:b/>
          <w:color w:val="FF0000"/>
          <w:sz w:val="32"/>
          <w:szCs w:val="32"/>
        </w:rPr>
        <w:t>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widowControl/>
        <w:numPr>
          <w:ilvl w:val="0"/>
          <w:numId w:val="1"/>
        </w:numPr>
        <w:spacing w:line="360" w:lineRule="auto"/>
        <w:rPr>
          <w:rFonts w:hint="default" w:ascii="Times New Roman" w:hAnsi="Times New Roman" w:cs="Times New Roman" w:eastAsiaTheme="minorEastAsia"/>
          <w:sz w:val="24"/>
          <w:szCs w:val="24"/>
          <w:highlight w:val="none"/>
        </w:rPr>
      </w:pPr>
      <w:r>
        <w:rPr>
          <w:rFonts w:hint="eastAsia" w:asciiTheme="minorEastAsia" w:hAnsiTheme="minorEastAsia" w:eastAsiaTheme="minorEastAsia" w:cstheme="minorEastAsia"/>
          <w:color w:val="000000"/>
          <w:kern w:val="0"/>
          <w:sz w:val="24"/>
          <w:szCs w:val="24"/>
          <w:lang w:bidi="ar"/>
        </w:rPr>
        <w:t>委</w:t>
      </w:r>
      <w:r>
        <w:rPr>
          <w:rFonts w:hint="default" w:ascii="Times New Roman" w:hAnsi="Times New Roman" w:cs="Times New Roman" w:eastAsiaTheme="minorEastAsia"/>
          <w:color w:val="000000"/>
          <w:kern w:val="0"/>
          <w:sz w:val="24"/>
          <w:szCs w:val="24"/>
          <w:highlight w:val="none"/>
          <w:lang w:bidi="ar"/>
        </w:rPr>
        <w:t>托理财受托方：</w:t>
      </w:r>
      <w:r>
        <w:rPr>
          <w:rFonts w:hint="default" w:ascii="Times New Roman" w:hAnsi="Times New Roman" w:cs="Times New Roman"/>
          <w:sz w:val="24"/>
          <w:szCs w:val="24"/>
          <w:highlight w:val="none"/>
          <w:lang w:val="en-US" w:eastAsia="zh-CN"/>
        </w:rPr>
        <w:t>华夏银行股份有限公司（以</w:t>
      </w:r>
      <w:r>
        <w:rPr>
          <w:rFonts w:hint="eastAsia" w:asciiTheme="minorEastAsia" w:hAnsiTheme="minorEastAsia" w:eastAsiaTheme="minorEastAsia" w:cstheme="minorEastAsia"/>
          <w:sz w:val="24"/>
          <w:szCs w:val="24"/>
          <w:highlight w:val="none"/>
          <w:lang w:val="en-US" w:eastAsia="zh-CN"/>
        </w:rPr>
        <w:t>下简称“华夏银行”)</w:t>
      </w:r>
      <w:r>
        <w:rPr>
          <w:rFonts w:hint="eastAsia" w:asciiTheme="minorEastAsia" w:hAnsiTheme="minorEastAsia" w:eastAsiaTheme="minorEastAsia" w:cstheme="minorEastAsia"/>
          <w:sz w:val="24"/>
          <w:szCs w:val="24"/>
          <w:highlight w:val="none"/>
          <w:lang w:eastAsia="zh-CN"/>
        </w:rPr>
        <w:t>、</w:t>
      </w:r>
      <w:r>
        <w:rPr>
          <w:rFonts w:ascii="宋体" w:hAnsi="宋体" w:eastAsia="宋体" w:cs="宋体"/>
          <w:sz w:val="24"/>
          <w:szCs w:val="24"/>
        </w:rPr>
        <w:t>上海银行股份有限公司（以下简称“上海银行”)、中信银行股份有限公司（以下简称“中信银行”）</w:t>
      </w:r>
      <w:r>
        <w:rPr>
          <w:rFonts w:hint="eastAsia" w:ascii="宋体" w:hAnsi="宋体" w:cs="宋体"/>
          <w:sz w:val="24"/>
          <w:szCs w:val="24"/>
          <w:lang w:eastAsia="zh-CN"/>
        </w:rPr>
        <w:t>、</w:t>
      </w:r>
      <w:r>
        <w:rPr>
          <w:rFonts w:ascii="宋体" w:hAnsi="宋体" w:eastAsia="宋体" w:cs="宋体"/>
          <w:sz w:val="24"/>
          <w:szCs w:val="24"/>
        </w:rPr>
        <w:t>国融证券股份有限公司（以下简称“国融证券”）。</w:t>
      </w:r>
    </w:p>
    <w:p>
      <w:pPr>
        <w:widowControl/>
        <w:numPr>
          <w:ilvl w:val="0"/>
          <w:numId w:val="1"/>
        </w:numPr>
        <w:spacing w:line="360" w:lineRule="auto"/>
        <w:jc w:val="left"/>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本次委托理财金额：</w:t>
      </w:r>
      <w:r>
        <w:rPr>
          <w:rFonts w:hint="eastAsia" w:cs="Times New Roman" w:eastAsiaTheme="minorEastAsia"/>
          <w:color w:val="000000"/>
          <w:kern w:val="0"/>
          <w:sz w:val="24"/>
          <w:szCs w:val="24"/>
          <w:highlight w:val="none"/>
          <w:lang w:val="en-US" w:eastAsia="zh-CN" w:bidi="ar"/>
        </w:rPr>
        <w:t>15,113</w:t>
      </w:r>
      <w:r>
        <w:rPr>
          <w:rFonts w:hint="default" w:ascii="Times New Roman" w:hAnsi="Times New Roman" w:cs="Times New Roman" w:eastAsiaTheme="minorEastAsia"/>
          <w:color w:val="000000"/>
          <w:kern w:val="0"/>
          <w:sz w:val="24"/>
          <w:szCs w:val="24"/>
          <w:highlight w:val="none"/>
          <w:lang w:eastAsia="zh-CN" w:bidi="ar"/>
        </w:rPr>
        <w:t>万</w:t>
      </w:r>
      <w:r>
        <w:rPr>
          <w:rFonts w:hint="default" w:ascii="Times New Roman" w:hAnsi="Times New Roman" w:cs="Times New Roman" w:eastAsiaTheme="minorEastAsia"/>
          <w:color w:val="000000"/>
          <w:kern w:val="0"/>
          <w:sz w:val="24"/>
          <w:szCs w:val="24"/>
          <w:highlight w:val="none"/>
          <w:lang w:bidi="ar"/>
        </w:rPr>
        <w:t>元</w:t>
      </w:r>
    </w:p>
    <w:p>
      <w:pPr>
        <w:widowControl/>
        <w:numPr>
          <w:ilvl w:val="0"/>
          <w:numId w:val="1"/>
        </w:numPr>
        <w:spacing w:line="360" w:lineRule="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000000"/>
          <w:kern w:val="0"/>
          <w:sz w:val="24"/>
          <w:szCs w:val="24"/>
          <w:highlight w:val="none"/>
          <w:lang w:bidi="ar"/>
        </w:rPr>
        <w:t>委托理财产品名称：</w:t>
      </w:r>
      <w:r>
        <w:rPr>
          <w:rFonts w:hint="default" w:ascii="宋体" w:hAnsi="宋体" w:cs="宋体"/>
          <w:sz w:val="24"/>
          <w:szCs w:val="24"/>
          <w:lang w:eastAsia="zh-CN"/>
        </w:rPr>
        <w:t>华夏理财固定收益增强周期</w:t>
      </w:r>
      <w:r>
        <w:rPr>
          <w:rFonts w:hint="default" w:ascii="Times New Roman" w:hAnsi="Times New Roman" w:cs="Times New Roman"/>
          <w:sz w:val="24"/>
          <w:szCs w:val="24"/>
          <w:lang w:eastAsia="zh-CN"/>
        </w:rPr>
        <w:t>30</w:t>
      </w:r>
      <w:r>
        <w:rPr>
          <w:rFonts w:hint="default" w:ascii="宋体" w:hAnsi="宋体" w:cs="宋体"/>
          <w:sz w:val="24"/>
          <w:szCs w:val="24"/>
          <w:lang w:eastAsia="zh-CN"/>
        </w:rPr>
        <w:t>天理财</w:t>
      </w:r>
      <w:r>
        <w:rPr>
          <w:rFonts w:hint="default" w:ascii="Times New Roman" w:hAnsi="Times New Roman" w:cs="Times New Roman"/>
          <w:sz w:val="24"/>
          <w:szCs w:val="24"/>
          <w:lang w:eastAsia="zh-CN"/>
        </w:rPr>
        <w:t>产品A</w:t>
      </w:r>
      <w:r>
        <w:rPr>
          <w:rFonts w:hint="default" w:ascii="宋体" w:hAnsi="宋体" w:cs="宋体"/>
          <w:sz w:val="24"/>
          <w:szCs w:val="24"/>
          <w:lang w:eastAsia="zh-CN"/>
        </w:rPr>
        <w:t>款（以</w:t>
      </w:r>
      <w:r>
        <w:rPr>
          <w:rFonts w:hint="default" w:ascii="Times New Roman" w:hAnsi="Times New Roman" w:cs="Times New Roman" w:eastAsiaTheme="minorEastAsia"/>
          <w:color w:val="000000"/>
          <w:kern w:val="0"/>
          <w:sz w:val="24"/>
          <w:szCs w:val="24"/>
          <w:highlight w:val="none"/>
          <w:lang w:eastAsia="zh-CN" w:bidi="ar"/>
        </w:rPr>
        <w:t>下</w:t>
      </w:r>
      <w:r>
        <w:rPr>
          <w:rFonts w:hint="eastAsia" w:asciiTheme="minorEastAsia" w:hAnsiTheme="minorEastAsia" w:eastAsiaTheme="minorEastAsia" w:cstheme="minorEastAsia"/>
          <w:color w:val="000000"/>
          <w:kern w:val="0"/>
          <w:sz w:val="24"/>
          <w:szCs w:val="24"/>
          <w:highlight w:val="none"/>
          <w:lang w:eastAsia="zh-CN" w:bidi="ar"/>
        </w:rPr>
        <w:t>简称“华</w:t>
      </w:r>
      <w:r>
        <w:rPr>
          <w:rFonts w:hint="default" w:ascii="Times New Roman" w:hAnsi="Times New Roman" w:cs="Times New Roman" w:eastAsiaTheme="minorEastAsia"/>
          <w:color w:val="000000"/>
          <w:kern w:val="0"/>
          <w:sz w:val="24"/>
          <w:szCs w:val="24"/>
          <w:highlight w:val="none"/>
          <w:lang w:eastAsia="zh-CN" w:bidi="ar"/>
        </w:rPr>
        <w:t>夏理财固</w:t>
      </w:r>
      <w:r>
        <w:rPr>
          <w:rFonts w:hint="default" w:ascii="Times New Roman" w:hAnsi="Times New Roman" w:cs="Times New Roman" w:eastAsiaTheme="minorEastAsia"/>
          <w:sz w:val="24"/>
          <w:szCs w:val="24"/>
          <w:highlight w:val="none"/>
          <w:lang w:eastAsia="zh-CN"/>
        </w:rPr>
        <w:t>收增强周期</w:t>
      </w:r>
      <w:r>
        <w:rPr>
          <w:rFonts w:hint="default" w:ascii="Times New Roman" w:hAnsi="Times New Roman" w:cs="Times New Roman" w:eastAsiaTheme="minorEastAsia"/>
          <w:sz w:val="24"/>
          <w:szCs w:val="24"/>
          <w:highlight w:val="none"/>
          <w:lang w:val="en-US" w:eastAsia="zh-CN"/>
        </w:rPr>
        <w:t>30天A</w:t>
      </w:r>
      <w:r>
        <w:rPr>
          <w:rFonts w:hint="eastAsia" w:ascii="Times New Roman" w:hAnsi="Times New Roman" w:cs="Times New Roman" w:eastAsiaTheme="minorEastAsia"/>
          <w:sz w:val="24"/>
          <w:szCs w:val="24"/>
          <w:highlight w:val="none"/>
          <w:lang w:val="en-US" w:eastAsia="zh-CN"/>
        </w:rPr>
        <w:t>款</w:t>
      </w:r>
      <w:r>
        <w:rPr>
          <w:rFonts w:hint="eastAsia"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eastAsia="zh-CN"/>
        </w:rPr>
        <w:t>）</w:t>
      </w:r>
      <w:r>
        <w:rPr>
          <w:rFonts w:hint="eastAsia" w:ascii="Times New Roman" w:hAnsi="Times New Roman" w:cs="Times New Roman" w:eastAsiaTheme="minorEastAsia"/>
          <w:sz w:val="24"/>
          <w:szCs w:val="24"/>
          <w:highlight w:val="none"/>
          <w:lang w:eastAsia="zh-CN"/>
        </w:rPr>
        <w:t>、</w:t>
      </w:r>
      <w:r>
        <w:rPr>
          <w:rFonts w:hint="eastAsia" w:ascii="Times New Roman" w:hAnsi="Times New Roman" w:cs="Times New Roman" w:eastAsiaTheme="minorEastAsia"/>
          <w:color w:val="000000"/>
          <w:kern w:val="0"/>
          <w:sz w:val="24"/>
          <w:szCs w:val="24"/>
          <w:highlight w:val="none"/>
          <w:lang w:eastAsia="zh-CN" w:bidi="ar"/>
        </w:rPr>
        <w:t>华夏理财现金管理类理财产品</w:t>
      </w:r>
      <w:r>
        <w:rPr>
          <w:rFonts w:hint="eastAsia" w:ascii="Times New Roman" w:hAnsi="Times New Roman" w:cs="Times New Roman" w:eastAsiaTheme="minorEastAsia"/>
          <w:color w:val="000000"/>
          <w:kern w:val="0"/>
          <w:sz w:val="24"/>
          <w:szCs w:val="24"/>
          <w:highlight w:val="none"/>
          <w:lang w:val="en-US" w:eastAsia="zh-CN" w:bidi="ar"/>
        </w:rPr>
        <w:t>1号（以下简称“华夏理财</w:t>
      </w:r>
      <w:r>
        <w:rPr>
          <w:rFonts w:hint="eastAsia" w:cs="Times New Roman" w:eastAsiaTheme="minorEastAsia"/>
          <w:color w:val="000000"/>
          <w:kern w:val="0"/>
          <w:sz w:val="24"/>
          <w:szCs w:val="24"/>
          <w:highlight w:val="none"/>
          <w:lang w:val="en-US" w:eastAsia="zh-CN" w:bidi="ar"/>
        </w:rPr>
        <w:t>现金管理</w:t>
      </w:r>
      <w:r>
        <w:rPr>
          <w:rFonts w:hint="eastAsia" w:ascii="Times New Roman" w:hAnsi="Times New Roman" w:cs="Times New Roman" w:eastAsiaTheme="minorEastAsia"/>
          <w:color w:val="000000"/>
          <w:kern w:val="0"/>
          <w:sz w:val="24"/>
          <w:szCs w:val="24"/>
          <w:highlight w:val="none"/>
          <w:lang w:val="en-US" w:eastAsia="zh-CN" w:bidi="ar"/>
        </w:rPr>
        <w:t>1号”）</w:t>
      </w:r>
      <w:r>
        <w:rPr>
          <w:rFonts w:hint="eastAsia" w:cs="Times New Roman" w:eastAsiaTheme="minorEastAsia"/>
          <w:color w:val="000000"/>
          <w:kern w:val="0"/>
          <w:sz w:val="24"/>
          <w:szCs w:val="24"/>
          <w:highlight w:val="none"/>
          <w:lang w:val="en-US" w:eastAsia="zh-CN" w:bidi="ar"/>
        </w:rPr>
        <w:t>、</w:t>
      </w:r>
      <w:r>
        <w:rPr>
          <w:rFonts w:ascii="宋体" w:hAnsi="宋体" w:eastAsia="宋体" w:cs="宋体"/>
          <w:sz w:val="24"/>
          <w:szCs w:val="24"/>
        </w:rPr>
        <w:t>赢</w:t>
      </w:r>
      <w:r>
        <w:rPr>
          <w:rFonts w:hint="default" w:ascii="Times New Roman" w:hAnsi="Times New Roman" w:eastAsia="宋体" w:cs="Times New Roman"/>
          <w:sz w:val="24"/>
          <w:szCs w:val="24"/>
        </w:rPr>
        <w:t>家易精灵GKF12001期</w:t>
      </w:r>
      <w:r>
        <w:rPr>
          <w:rFonts w:ascii="宋体" w:hAnsi="宋体" w:eastAsia="宋体" w:cs="宋体"/>
          <w:sz w:val="24"/>
          <w:szCs w:val="24"/>
        </w:rPr>
        <w:t>（以下简称“赢家易精灵”）、中信银行理财之共赢稳健</w:t>
      </w:r>
      <w:r>
        <w:rPr>
          <w:rFonts w:hint="default" w:ascii="Times New Roman" w:hAnsi="Times New Roman" w:eastAsia="宋体" w:cs="Times New Roman"/>
          <w:sz w:val="24"/>
          <w:szCs w:val="24"/>
        </w:rPr>
        <w:t>周期91</w:t>
      </w:r>
      <w:r>
        <w:rPr>
          <w:rFonts w:ascii="宋体" w:hAnsi="宋体" w:eastAsia="宋体" w:cs="宋体"/>
          <w:sz w:val="24"/>
          <w:szCs w:val="24"/>
        </w:rPr>
        <w:t>天理财产品新客专享（以下简称“</w:t>
      </w:r>
      <w:r>
        <w:rPr>
          <w:rFonts w:ascii="宋体" w:hAnsi="宋体" w:eastAsia="宋体" w:cs="宋体"/>
          <w:sz w:val="24"/>
          <w:szCs w:val="24"/>
          <w:highlight w:val="none"/>
        </w:rPr>
        <w:t>共赢稳健</w:t>
      </w:r>
      <w:r>
        <w:rPr>
          <w:rFonts w:hint="default" w:ascii="Times New Roman" w:hAnsi="Times New Roman" w:eastAsia="宋体" w:cs="Times New Roman"/>
          <w:sz w:val="24"/>
          <w:szCs w:val="24"/>
          <w:highlight w:val="none"/>
        </w:rPr>
        <w:t>91</w:t>
      </w:r>
      <w:r>
        <w:rPr>
          <w:rFonts w:ascii="宋体" w:hAnsi="宋体" w:eastAsia="宋体" w:cs="宋体"/>
          <w:sz w:val="24"/>
          <w:szCs w:val="24"/>
          <w:highlight w:val="none"/>
        </w:rPr>
        <w:t>天</w:t>
      </w:r>
      <w:r>
        <w:rPr>
          <w:rFonts w:ascii="宋体" w:hAnsi="宋体" w:eastAsia="宋体" w:cs="宋体"/>
          <w:sz w:val="24"/>
          <w:szCs w:val="24"/>
        </w:rPr>
        <w:t>”）</w:t>
      </w:r>
      <w:r>
        <w:rPr>
          <w:rFonts w:hint="eastAsia" w:ascii="宋体" w:hAnsi="宋体" w:cs="宋体"/>
          <w:sz w:val="24"/>
          <w:szCs w:val="24"/>
          <w:lang w:eastAsia="zh-CN"/>
        </w:rPr>
        <w:t>、信银理财安盈象固收稳健季</w:t>
      </w:r>
      <w:r>
        <w:rPr>
          <w:rFonts w:hint="default" w:ascii="Times New Roman" w:hAnsi="Times New Roman" w:cs="Times New Roman"/>
          <w:sz w:val="24"/>
          <w:szCs w:val="24"/>
          <w:lang w:eastAsia="zh-CN"/>
        </w:rPr>
        <w:t>开13号理</w:t>
      </w:r>
      <w:r>
        <w:rPr>
          <w:rFonts w:hint="eastAsia" w:ascii="宋体" w:hAnsi="宋体" w:cs="宋体"/>
          <w:sz w:val="24"/>
          <w:szCs w:val="24"/>
          <w:lang w:eastAsia="zh-CN"/>
        </w:rPr>
        <w:t>财产品</w:t>
      </w:r>
      <w:r>
        <w:rPr>
          <w:rFonts w:ascii="宋体" w:hAnsi="宋体" w:eastAsia="宋体" w:cs="宋体"/>
          <w:sz w:val="24"/>
          <w:szCs w:val="24"/>
        </w:rPr>
        <w:t>（以下简称“</w:t>
      </w:r>
      <w:r>
        <w:rPr>
          <w:rFonts w:hint="eastAsia" w:ascii="宋体" w:hAnsi="宋体" w:cs="宋体"/>
          <w:sz w:val="24"/>
          <w:szCs w:val="24"/>
          <w:highlight w:val="none"/>
          <w:lang w:eastAsia="zh-CN"/>
        </w:rPr>
        <w:t>安盈象</w:t>
      </w:r>
      <w:r>
        <w:rPr>
          <w:rFonts w:hint="default" w:ascii="Times New Roman" w:hAnsi="Times New Roman" w:cs="Times New Roman"/>
          <w:sz w:val="24"/>
          <w:szCs w:val="24"/>
          <w:highlight w:val="none"/>
          <w:lang w:val="en-US" w:eastAsia="zh-CN"/>
        </w:rPr>
        <w:t>13</w:t>
      </w:r>
      <w:r>
        <w:rPr>
          <w:rFonts w:hint="eastAsia" w:ascii="宋体" w:hAnsi="宋体" w:cs="宋体"/>
          <w:sz w:val="24"/>
          <w:szCs w:val="24"/>
          <w:highlight w:val="none"/>
          <w:lang w:val="en-US" w:eastAsia="zh-CN"/>
        </w:rPr>
        <w:t>号</w:t>
      </w:r>
      <w:r>
        <w:rPr>
          <w:rFonts w:ascii="宋体" w:hAnsi="宋体" w:eastAsia="宋体" w:cs="宋体"/>
          <w:sz w:val="24"/>
          <w:szCs w:val="24"/>
          <w:highlight w:val="none"/>
        </w:rPr>
        <w:t>”</w:t>
      </w:r>
      <w:r>
        <w:rPr>
          <w:rFonts w:ascii="宋体" w:hAnsi="宋体" w:eastAsia="宋体" w:cs="宋体"/>
          <w:sz w:val="24"/>
          <w:szCs w:val="24"/>
        </w:rPr>
        <w:t>）</w:t>
      </w:r>
      <w:r>
        <w:rPr>
          <w:rFonts w:hint="eastAsia" w:ascii="宋体" w:hAnsi="宋体" w:cs="宋体"/>
          <w:sz w:val="24"/>
          <w:szCs w:val="24"/>
          <w:lang w:eastAsia="zh-CN"/>
        </w:rPr>
        <w:t>、</w:t>
      </w:r>
      <w:r>
        <w:rPr>
          <w:rFonts w:ascii="宋体" w:hAnsi="宋体" w:eastAsia="宋体" w:cs="宋体"/>
          <w:sz w:val="24"/>
          <w:szCs w:val="24"/>
        </w:rPr>
        <w:t>国融证券国</w:t>
      </w:r>
      <w:r>
        <w:rPr>
          <w:rFonts w:hint="default" w:ascii="Times New Roman" w:hAnsi="Times New Roman" w:eastAsia="宋体" w:cs="Times New Roman"/>
          <w:sz w:val="24"/>
          <w:szCs w:val="24"/>
        </w:rPr>
        <w:t>融安顺1号</w:t>
      </w:r>
      <w:r>
        <w:rPr>
          <w:rFonts w:ascii="宋体" w:hAnsi="宋体" w:eastAsia="宋体" w:cs="宋体"/>
          <w:sz w:val="24"/>
          <w:szCs w:val="24"/>
        </w:rPr>
        <w:t>集合资产管理计划（以下简称“安</w:t>
      </w:r>
      <w:r>
        <w:rPr>
          <w:rFonts w:hint="default" w:ascii="Times New Roman" w:hAnsi="Times New Roman" w:eastAsia="宋体" w:cs="Times New Roman"/>
          <w:sz w:val="24"/>
          <w:szCs w:val="24"/>
        </w:rPr>
        <w:t>顺1</w:t>
      </w:r>
      <w:r>
        <w:rPr>
          <w:rFonts w:ascii="宋体" w:hAnsi="宋体" w:eastAsia="宋体" w:cs="宋体"/>
          <w:sz w:val="24"/>
          <w:szCs w:val="24"/>
        </w:rPr>
        <w:t>号”）</w:t>
      </w:r>
      <w:r>
        <w:rPr>
          <w:rFonts w:hint="eastAsia" w:ascii="宋体" w:hAnsi="宋体" w:cs="宋体"/>
          <w:sz w:val="24"/>
          <w:szCs w:val="24"/>
          <w:lang w:eastAsia="zh-CN"/>
        </w:rPr>
        <w:t>。</w:t>
      </w:r>
    </w:p>
    <w:p>
      <w:pPr>
        <w:widowControl/>
        <w:numPr>
          <w:ilvl w:val="0"/>
          <w:numId w:val="1"/>
        </w:numPr>
        <w:spacing w:line="360" w:lineRule="auto"/>
        <w:jc w:val="left"/>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default" w:ascii="Times New Roman" w:hAnsi="Times New Roman" w:cs="Times New Roman" w:eastAsiaTheme="minorEastAsia"/>
          <w:color w:val="000000"/>
          <w:kern w:val="0"/>
          <w:sz w:val="24"/>
          <w:szCs w:val="24"/>
          <w:highlight w:val="none"/>
          <w:lang w:eastAsia="zh-CN" w:bidi="ar"/>
        </w:rPr>
        <w:t>华夏理财固收增强周期</w:t>
      </w:r>
      <w:r>
        <w:rPr>
          <w:rFonts w:hint="default" w:ascii="Times New Roman" w:hAnsi="Times New Roman" w:cs="Times New Roman" w:eastAsiaTheme="minorEastAsia"/>
          <w:color w:val="000000"/>
          <w:kern w:val="0"/>
          <w:sz w:val="24"/>
          <w:szCs w:val="24"/>
          <w:highlight w:val="none"/>
          <w:lang w:val="en-US" w:eastAsia="zh-CN" w:bidi="ar"/>
        </w:rPr>
        <w:t>30天A款每轮周期为30天、</w:t>
      </w:r>
      <w:r>
        <w:rPr>
          <w:rFonts w:hint="default" w:ascii="Times New Roman" w:hAnsi="Times New Roman" w:eastAsia="宋体" w:cs="Times New Roman"/>
          <w:sz w:val="24"/>
          <w:szCs w:val="24"/>
        </w:rPr>
        <w:t>共赢稳健91天总计91天</w:t>
      </w:r>
      <w:r>
        <w:rPr>
          <w:rFonts w:hint="default" w:ascii="Times New Roman" w:hAnsi="Times New Roman" w:cs="Times New Roman" w:eastAsiaTheme="minorEastAsia"/>
          <w:color w:val="000000"/>
          <w:kern w:val="0"/>
          <w:sz w:val="24"/>
          <w:szCs w:val="24"/>
          <w:highlight w:val="none"/>
          <w:lang w:val="en-US" w:eastAsia="zh-CN" w:bidi="ar"/>
        </w:rPr>
        <w:t>、</w:t>
      </w:r>
      <w:r>
        <w:rPr>
          <w:rFonts w:hint="default" w:ascii="Times New Roman" w:hAnsi="Times New Roman" w:cs="Times New Roman"/>
          <w:sz w:val="24"/>
          <w:szCs w:val="24"/>
          <w:highlight w:val="none"/>
          <w:lang w:eastAsia="zh-CN"/>
        </w:rPr>
        <w:t>安盈象</w:t>
      </w:r>
      <w:r>
        <w:rPr>
          <w:rFonts w:hint="default" w:ascii="Times New Roman" w:hAnsi="Times New Roman" w:cs="Times New Roman"/>
          <w:sz w:val="24"/>
          <w:szCs w:val="24"/>
          <w:highlight w:val="none"/>
          <w:lang w:val="en-US" w:eastAsia="zh-CN"/>
        </w:rPr>
        <w:t>13号每3个月开放赎回、</w:t>
      </w:r>
      <w:r>
        <w:rPr>
          <w:rFonts w:hint="default" w:ascii="Times New Roman" w:hAnsi="Times New Roman" w:eastAsia="宋体" w:cs="Times New Roman"/>
          <w:sz w:val="24"/>
          <w:szCs w:val="24"/>
        </w:rPr>
        <w:t>安顺1号每轮周期为7天</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highlight w:val="none"/>
        </w:rPr>
        <w:t>其</w:t>
      </w:r>
      <w:r>
        <w:rPr>
          <w:rFonts w:hint="default" w:ascii="Times New Roman" w:hAnsi="Times New Roman" w:eastAsia="宋体" w:cs="Times New Roman"/>
          <w:sz w:val="24"/>
          <w:szCs w:val="24"/>
        </w:rPr>
        <w:t>他产品无固定期限</w:t>
      </w:r>
      <w:r>
        <w:rPr>
          <w:rFonts w:hint="default" w:ascii="Times New Roman" w:hAnsi="Times New Roman" w:cs="Times New Roman" w:eastAsiaTheme="minorEastAsia"/>
          <w:color w:val="000000"/>
          <w:kern w:val="0"/>
          <w:sz w:val="24"/>
          <w:szCs w:val="24"/>
          <w:highlight w:val="none"/>
          <w:lang w:eastAsia="zh-CN" w:bidi="ar"/>
        </w:rPr>
        <w:t>。</w:t>
      </w:r>
    </w:p>
    <w:p>
      <w:pPr>
        <w:widowControl/>
        <w:numPr>
          <w:ilvl w:val="0"/>
          <w:numId w:val="1"/>
        </w:numPr>
        <w:spacing w:line="360" w:lineRule="auto"/>
        <w:rPr>
          <w:rFonts w:asciiTheme="minorEastAsia" w:hAnsiTheme="minorEastAsia" w:eastAsiaTheme="minorEastAsia" w:cstheme="minorEastAsia"/>
          <w:color w:val="000000"/>
          <w:sz w:val="24"/>
          <w:szCs w:val="24"/>
          <w:highlight w:val="none"/>
        </w:rPr>
      </w:pPr>
      <w:r>
        <w:rPr>
          <w:rFonts w:hint="default" w:ascii="Times New Roman" w:hAnsi="Times New Roman" w:cs="Times New Roman" w:eastAsiaTheme="minorEastAsia"/>
          <w:color w:val="000000"/>
          <w:kern w:val="0"/>
          <w:sz w:val="24"/>
          <w:szCs w:val="24"/>
          <w:highlight w:val="none"/>
          <w:lang w:bidi="ar"/>
        </w:rPr>
        <w:t>履行的审议程序：</w:t>
      </w:r>
      <w:r>
        <w:rPr>
          <w:rFonts w:hint="default" w:ascii="Times New Roman" w:hAnsi="Times New Roman" w:cs="Times New Roman" w:eastAsiaTheme="minorEastAsia"/>
          <w:color w:val="000000"/>
          <w:sz w:val="24"/>
          <w:szCs w:val="24"/>
          <w:highlight w:val="none"/>
        </w:rPr>
        <w:t>格尔软件股份有限公司（</w:t>
      </w:r>
      <w:r>
        <w:rPr>
          <w:rFonts w:hint="eastAsia" w:asciiTheme="minorEastAsia" w:hAnsiTheme="minorEastAsia" w:eastAsiaTheme="minorEastAsia" w:cstheme="minorEastAsia"/>
          <w:color w:val="000000"/>
          <w:sz w:val="24"/>
          <w:szCs w:val="24"/>
          <w:highlight w:val="none"/>
        </w:rPr>
        <w:t>以下简称“公司”）</w:t>
      </w:r>
      <w:r>
        <w:rPr>
          <w:rFonts w:hint="eastAsia" w:asciiTheme="minorEastAsia" w:hAnsiTheme="minorEastAsia" w:eastAsiaTheme="minorEastAsia" w:cstheme="minorEastAsia"/>
          <w:color w:val="000000"/>
          <w:kern w:val="0"/>
          <w:sz w:val="24"/>
          <w:szCs w:val="24"/>
          <w:highlight w:val="none"/>
          <w:lang w:bidi="ar"/>
        </w:rPr>
        <w:t>分</w:t>
      </w:r>
      <w:r>
        <w:rPr>
          <w:rFonts w:hint="default" w:ascii="Times New Roman" w:hAnsi="Times New Roman" w:cs="Times New Roman" w:eastAsiaTheme="minorEastAsia"/>
          <w:color w:val="000000"/>
          <w:kern w:val="0"/>
          <w:sz w:val="24"/>
          <w:szCs w:val="24"/>
          <w:highlight w:val="none"/>
          <w:lang w:bidi="ar"/>
        </w:rPr>
        <w:t>别于202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default" w:ascii="Times New Roman" w:hAnsi="Times New Roman" w:cs="Times New Roman" w:eastAsiaTheme="minorEastAsia"/>
          <w:color w:val="000000"/>
          <w:kern w:val="0"/>
          <w:sz w:val="24"/>
          <w:szCs w:val="24"/>
          <w:highlight w:val="none"/>
          <w:lang w:val="en-US" w:eastAsia="zh-CN" w:bidi="ar"/>
        </w:rPr>
        <w:t>4</w:t>
      </w:r>
      <w:r>
        <w:rPr>
          <w:rFonts w:hint="default" w:ascii="Times New Roman" w:hAnsi="Times New Roman" w:cs="Times New Roman" w:eastAsiaTheme="minorEastAsia"/>
          <w:color w:val="000000"/>
          <w:kern w:val="0"/>
          <w:sz w:val="24"/>
          <w:szCs w:val="24"/>
          <w:highlight w:val="none"/>
          <w:lang w:bidi="ar"/>
        </w:rPr>
        <w:t>月</w:t>
      </w:r>
      <w:r>
        <w:rPr>
          <w:rFonts w:hint="default" w:ascii="Times New Roman" w:hAnsi="Times New Roman" w:cs="Times New Roman" w:eastAsiaTheme="minorEastAsia"/>
          <w:color w:val="000000"/>
          <w:kern w:val="0"/>
          <w:sz w:val="24"/>
          <w:szCs w:val="24"/>
          <w:highlight w:val="none"/>
          <w:lang w:val="en-US" w:eastAsia="zh-CN" w:bidi="ar"/>
        </w:rPr>
        <w:t>22</w:t>
      </w:r>
      <w:r>
        <w:rPr>
          <w:rFonts w:hint="default" w:ascii="Times New Roman" w:hAnsi="Times New Roman" w:cs="Times New Roman" w:eastAsiaTheme="minorEastAsia"/>
          <w:color w:val="000000"/>
          <w:kern w:val="0"/>
          <w:sz w:val="24"/>
          <w:szCs w:val="24"/>
          <w:highlight w:val="none"/>
          <w:lang w:bidi="ar"/>
        </w:rPr>
        <w:t>日、202</w:t>
      </w:r>
      <w:r>
        <w:rPr>
          <w:rFonts w:hint="default" w:ascii="Times New Roman" w:hAnsi="Times New Roman"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default" w:ascii="Times New Roman" w:hAnsi="Times New Roman" w:cs="Times New Roman" w:eastAsiaTheme="minorEastAsia"/>
          <w:color w:val="000000"/>
          <w:kern w:val="0"/>
          <w:sz w:val="24"/>
          <w:szCs w:val="24"/>
          <w:highlight w:val="none"/>
          <w:lang w:val="en-US" w:eastAsia="zh-CN" w:bidi="ar"/>
        </w:rPr>
        <w:t>5</w:t>
      </w:r>
      <w:r>
        <w:rPr>
          <w:rFonts w:hint="default" w:ascii="Times New Roman" w:hAnsi="Times New Roman" w:cs="Times New Roman" w:eastAsiaTheme="minorEastAsia"/>
          <w:color w:val="000000"/>
          <w:kern w:val="0"/>
          <w:sz w:val="24"/>
          <w:szCs w:val="24"/>
          <w:highlight w:val="none"/>
          <w:lang w:bidi="ar"/>
        </w:rPr>
        <w:t>月</w:t>
      </w:r>
      <w:r>
        <w:rPr>
          <w:rFonts w:hint="default" w:ascii="Times New Roman" w:hAnsi="Times New Roman" w:cs="Times New Roman" w:eastAsiaTheme="minorEastAsia"/>
          <w:color w:val="000000"/>
          <w:kern w:val="0"/>
          <w:sz w:val="24"/>
          <w:szCs w:val="24"/>
          <w:highlight w:val="none"/>
          <w:lang w:val="en-US" w:eastAsia="zh-CN" w:bidi="ar"/>
        </w:rPr>
        <w:t>13</w:t>
      </w:r>
      <w:r>
        <w:rPr>
          <w:rFonts w:hint="default" w:ascii="Times New Roman" w:hAnsi="Times New Roman" w:cs="Times New Roman" w:eastAsiaTheme="minorEastAsia"/>
          <w:color w:val="000000"/>
          <w:kern w:val="0"/>
          <w:sz w:val="24"/>
          <w:szCs w:val="24"/>
          <w:highlight w:val="none"/>
          <w:lang w:bidi="ar"/>
        </w:rPr>
        <w:t>日召开了公司第七届董事会第十</w:t>
      </w:r>
      <w:r>
        <w:rPr>
          <w:rFonts w:hint="eastAsia" w:cs="Times New Roman" w:eastAsiaTheme="minorEastAsia"/>
          <w:color w:val="000000"/>
          <w:kern w:val="0"/>
          <w:sz w:val="24"/>
          <w:szCs w:val="24"/>
          <w:highlight w:val="none"/>
          <w:lang w:val="en-US" w:eastAsia="zh-CN" w:bidi="ar"/>
        </w:rPr>
        <w:t>六</w:t>
      </w:r>
      <w:r>
        <w:rPr>
          <w:rFonts w:hint="default" w:ascii="Times New Roman" w:hAnsi="Times New Roman" w:cs="Times New Roman" w:eastAsiaTheme="minorEastAsia"/>
          <w:color w:val="000000"/>
          <w:kern w:val="0"/>
          <w:sz w:val="24"/>
          <w:szCs w:val="24"/>
          <w:highlight w:val="none"/>
          <w:lang w:bidi="ar"/>
        </w:rPr>
        <w:t>次会议、第七届监事会第</w:t>
      </w:r>
      <w:r>
        <w:rPr>
          <w:rFonts w:hint="eastAsia" w:cs="Times New Roman" w:eastAsiaTheme="minorEastAsia"/>
          <w:color w:val="000000"/>
          <w:kern w:val="0"/>
          <w:sz w:val="24"/>
          <w:szCs w:val="24"/>
          <w:highlight w:val="none"/>
          <w:lang w:val="en-US" w:eastAsia="zh-CN" w:bidi="ar"/>
        </w:rPr>
        <w:t>十二</w:t>
      </w:r>
      <w:r>
        <w:rPr>
          <w:rFonts w:hint="default" w:ascii="Times New Roman" w:hAnsi="Times New Roman" w:cs="Times New Roman" w:eastAsiaTheme="minorEastAsia"/>
          <w:color w:val="000000"/>
          <w:kern w:val="0"/>
          <w:sz w:val="24"/>
          <w:szCs w:val="24"/>
          <w:highlight w:val="none"/>
          <w:lang w:bidi="ar"/>
        </w:rPr>
        <w:t>次会议及公司202</w:t>
      </w:r>
      <w:r>
        <w:rPr>
          <w:rFonts w:hint="eastAsia" w:cs="Times New Roman" w:eastAsiaTheme="minorEastAsia"/>
          <w:color w:val="000000"/>
          <w:kern w:val="0"/>
          <w:sz w:val="24"/>
          <w:szCs w:val="24"/>
          <w:highlight w:val="none"/>
          <w:lang w:val="en-US" w:eastAsia="zh-CN" w:bidi="ar"/>
        </w:rPr>
        <w:t>0</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年度</w:t>
      </w:r>
      <w:r>
        <w:rPr>
          <w:rFonts w:hint="default" w:ascii="Times New Roman" w:hAnsi="Times New Roman" w:cs="Times New Roman" w:eastAsiaTheme="minorEastAsia"/>
          <w:color w:val="000000"/>
          <w:kern w:val="0"/>
          <w:sz w:val="24"/>
          <w:szCs w:val="24"/>
          <w:highlight w:val="none"/>
          <w:lang w:bidi="ar"/>
        </w:rPr>
        <w:t>股东大会，</w:t>
      </w:r>
      <w:r>
        <w:rPr>
          <w:rFonts w:hint="default" w:ascii="Times New Roman" w:hAnsi="Times New Roman" w:cs="Times New Roman"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股东大会审议通过之日起二年内有效。公司独立董事、监事会及保荐机构已分别对此发表了同意的意见。具体详情详见公司分别于202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4</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23</w:t>
      </w:r>
      <w:r>
        <w:rPr>
          <w:rFonts w:hint="default" w:ascii="Times New Roman" w:hAnsi="Times New Roman" w:cs="Times New Roman" w:eastAsiaTheme="minorEastAsia"/>
          <w:color w:val="000000"/>
          <w:sz w:val="24"/>
          <w:szCs w:val="24"/>
          <w:highlight w:val="none"/>
        </w:rPr>
        <w:t>日、202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5</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14</w:t>
      </w:r>
      <w:r>
        <w:rPr>
          <w:rFonts w:hint="default" w:ascii="Times New Roman" w:hAnsi="Times New Roman" w:cs="Times New Roman" w:eastAsiaTheme="minorEastAsia"/>
          <w:color w:val="000000"/>
          <w:sz w:val="24"/>
          <w:szCs w:val="24"/>
          <w:highlight w:val="none"/>
        </w:rPr>
        <w:t>日刊登在上海证券交易所网站（www.sse.com.cn）的《</w:t>
      </w:r>
      <w:r>
        <w:rPr>
          <w:rFonts w:hint="default" w:ascii="Times New Roman" w:hAnsi="Times New Roman" w:cs="Times New Roman" w:eastAsiaTheme="minorEastAsia"/>
          <w:sz w:val="24"/>
          <w:szCs w:val="24"/>
          <w:highlight w:val="none"/>
        </w:rPr>
        <w:t>格尔软件股份有限公司关于使用部分闲置自有资金进行现金管理的公告</w:t>
      </w:r>
      <w:r>
        <w:rPr>
          <w:rFonts w:hint="default" w:ascii="Times New Roman" w:hAnsi="Times New Roman" w:cs="Times New Roman" w:eastAsiaTheme="minorEastAsia"/>
          <w:color w:val="000000"/>
          <w:sz w:val="24"/>
          <w:szCs w:val="24"/>
          <w:highlight w:val="none"/>
        </w:rPr>
        <w:t>》（公告编号：202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）、《格尔软件股份有限公司202</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股东大会决议公告》（公告编号：202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28</w:t>
      </w:r>
      <w:r>
        <w:rPr>
          <w:rFonts w:hint="default" w:ascii="Times New Roman" w:hAnsi="Times New Roman" w:cs="Times New Roman" w:eastAsiaTheme="minorEastAsia"/>
          <w:color w:val="000000"/>
          <w:sz w:val="24"/>
          <w:szCs w:val="24"/>
          <w:highlight w:val="none"/>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公司近期使用暂时闲置自有资金进行现金管理的赎回情况</w:t>
      </w:r>
    </w:p>
    <w:tbl>
      <w:tblPr>
        <w:tblStyle w:val="3"/>
        <w:tblW w:w="9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875"/>
        <w:gridCol w:w="1921"/>
        <w:gridCol w:w="1092"/>
        <w:gridCol w:w="1192"/>
        <w:gridCol w:w="1225"/>
        <w:gridCol w:w="1116"/>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受托方名称</w:t>
            </w:r>
          </w:p>
        </w:tc>
        <w:tc>
          <w:tcPr>
            <w:tcW w:w="87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产品类型</w:t>
            </w:r>
          </w:p>
        </w:tc>
        <w:tc>
          <w:tcPr>
            <w:tcW w:w="1921"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产品名称</w:t>
            </w:r>
          </w:p>
        </w:tc>
        <w:tc>
          <w:tcPr>
            <w:tcW w:w="1092"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eastAsia" w:ascii="Times New Roman" w:hAnsi="Times New Roman" w:cs="Times New Roman" w:eastAsiaTheme="minorEastAsia"/>
                <w:b/>
                <w:color w:val="000000"/>
                <w:kern w:val="0"/>
                <w:sz w:val="21"/>
                <w:szCs w:val="21"/>
                <w:lang w:val="en-US" w:eastAsia="zh-CN"/>
              </w:rPr>
              <w:t>赎回</w:t>
            </w:r>
            <w:r>
              <w:rPr>
                <w:rFonts w:hint="default" w:ascii="Times New Roman" w:hAnsi="Times New Roman" w:cs="Times New Roman" w:eastAsiaTheme="minorEastAsia"/>
                <w:b/>
                <w:color w:val="000000"/>
                <w:kern w:val="0"/>
                <w:sz w:val="21"/>
                <w:szCs w:val="21"/>
                <w:lang w:val="en-US" w:eastAsia="zh-CN"/>
              </w:rPr>
              <w:t>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c>
          <w:tcPr>
            <w:tcW w:w="1192"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收益类型</w:t>
            </w:r>
          </w:p>
        </w:tc>
        <w:tc>
          <w:tcPr>
            <w:tcW w:w="1225"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起始日</w:t>
            </w:r>
          </w:p>
        </w:tc>
        <w:tc>
          <w:tcPr>
            <w:tcW w:w="1116"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赎回日</w:t>
            </w:r>
            <w:r>
              <w:rPr>
                <w:rFonts w:hint="eastAsia" w:cs="Times New Roman" w:eastAsiaTheme="minorEastAsia"/>
                <w:b/>
                <w:color w:val="000000"/>
                <w:kern w:val="0"/>
                <w:sz w:val="21"/>
                <w:szCs w:val="21"/>
                <w:lang w:val="en-US" w:eastAsia="zh-CN"/>
              </w:rPr>
              <w:t>/兑付日</w:t>
            </w:r>
          </w:p>
        </w:tc>
        <w:tc>
          <w:tcPr>
            <w:tcW w:w="968" w:type="dxa"/>
            <w:vAlign w:val="center"/>
          </w:tcPr>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实际收益金额</w:t>
            </w:r>
          </w:p>
          <w:p>
            <w:pPr>
              <w:keepNext w:val="0"/>
              <w:keepLines w:val="0"/>
              <w:pageBreakBefore w:val="0"/>
              <w:kinsoku/>
              <w:wordWrap/>
              <w:overflowPunct/>
              <w:topLinePunct w:val="0"/>
              <w:autoSpaceDE w:val="0"/>
              <w:autoSpaceDN w:val="0"/>
              <w:bidi w:val="0"/>
              <w:adjustRightInd w:val="0"/>
              <w:snapToGrid/>
              <w:jc w:val="center"/>
              <w:rPr>
                <w:rFonts w:hint="default" w:ascii="Times New Roman" w:hAnsi="Times New Roman" w:cs="Times New Roman" w:eastAsiaTheme="minorEastAsia"/>
                <w:b/>
                <w:color w:val="000000"/>
                <w:kern w:val="0"/>
                <w:sz w:val="21"/>
                <w:szCs w:val="21"/>
                <w:lang w:val="en-US" w:eastAsia="zh-CN"/>
              </w:rPr>
            </w:pPr>
            <w:r>
              <w:rPr>
                <w:rFonts w:hint="default" w:ascii="Times New Roman" w:hAnsi="Times New Roman" w:cs="Times New Roman" w:eastAsiaTheme="minorEastAsia"/>
                <w:b/>
                <w:color w:val="000000"/>
                <w:kern w:val="0"/>
                <w:sz w:val="21"/>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w:t>
            </w:r>
            <w:r>
              <w:rPr>
                <w:rFonts w:hint="default" w:ascii="Times New Roman" w:hAnsi="Times New Roman" w:eastAsia="宋体" w:cs="Times New Roman"/>
                <w:i w:val="0"/>
                <w:color w:val="000000"/>
                <w:kern w:val="0"/>
                <w:sz w:val="21"/>
                <w:szCs w:val="21"/>
                <w:highlight w:val="none"/>
                <w:u w:val="none"/>
                <w:lang w:val="en-US" w:eastAsia="zh-CN" w:bidi="ar"/>
              </w:rPr>
              <w:t>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300.00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2021.4.30</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2021.7.13</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华夏理财固收增强周期30天A款</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5,000.00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2021.</w:t>
            </w:r>
            <w:r>
              <w:rPr>
                <w:rFonts w:hint="eastAsia" w:ascii="Times New Roman" w:hAnsi="Times New Roman" w:eastAsia="宋体" w:cs="Times New Roman"/>
                <w:i w:val="0"/>
                <w:color w:val="000000"/>
                <w:kern w:val="0"/>
                <w:sz w:val="21"/>
                <w:szCs w:val="21"/>
                <w:highlight w:val="none"/>
                <w:u w:val="none"/>
                <w:lang w:val="en-US" w:eastAsia="zh-CN" w:bidi="ar"/>
              </w:rPr>
              <w:t>5</w:t>
            </w:r>
            <w:r>
              <w:rPr>
                <w:rFonts w:hint="default" w:ascii="Times New Roman" w:hAnsi="Times New Roman" w:eastAsia="宋体" w:cs="Times New Roman"/>
                <w:i w:val="0"/>
                <w:color w:val="000000"/>
                <w:kern w:val="0"/>
                <w:sz w:val="21"/>
                <w:szCs w:val="21"/>
                <w:highlight w:val="none"/>
                <w:u w:val="none"/>
                <w:lang w:val="en-US" w:eastAsia="zh-CN" w:bidi="ar"/>
              </w:rPr>
              <w:t>.</w:t>
            </w:r>
            <w:r>
              <w:rPr>
                <w:rFonts w:hint="eastAsia" w:ascii="Times New Roman" w:hAnsi="Times New Roman" w:eastAsia="宋体" w:cs="Times New Roman"/>
                <w:i w:val="0"/>
                <w:color w:val="000000"/>
                <w:kern w:val="0"/>
                <w:sz w:val="21"/>
                <w:szCs w:val="21"/>
                <w:highlight w:val="none"/>
                <w:u w:val="none"/>
                <w:lang w:val="en-US" w:eastAsia="zh-CN" w:bidi="ar"/>
              </w:rPr>
              <w:t>11</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2021.</w:t>
            </w:r>
            <w:r>
              <w:rPr>
                <w:rFonts w:hint="eastAsia" w:ascii="Times New Roman" w:hAnsi="Times New Roman" w:eastAsia="宋体" w:cs="Times New Roman"/>
                <w:i w:val="0"/>
                <w:color w:val="000000"/>
                <w:kern w:val="0"/>
                <w:sz w:val="21"/>
                <w:szCs w:val="21"/>
                <w:highlight w:val="none"/>
                <w:u w:val="none"/>
                <w:lang w:val="en-US" w:eastAsia="zh-CN" w:bidi="ar"/>
              </w:rPr>
              <w:t>7</w:t>
            </w:r>
            <w:r>
              <w:rPr>
                <w:rFonts w:hint="default" w:ascii="Times New Roman" w:hAnsi="Times New Roman" w:eastAsia="宋体" w:cs="Times New Roman"/>
                <w:i w:val="0"/>
                <w:color w:val="000000"/>
                <w:kern w:val="0"/>
                <w:sz w:val="21"/>
                <w:szCs w:val="21"/>
                <w:highlight w:val="none"/>
                <w:u w:val="none"/>
                <w:lang w:val="en-US" w:eastAsia="zh-CN" w:bidi="ar"/>
              </w:rPr>
              <w:t>.</w:t>
            </w:r>
            <w:r>
              <w:rPr>
                <w:rFonts w:hint="eastAsia" w:ascii="Times New Roman" w:hAnsi="Times New Roman" w:eastAsia="宋体" w:cs="Times New Roman"/>
                <w:i w:val="0"/>
                <w:color w:val="000000"/>
                <w:kern w:val="0"/>
                <w:sz w:val="21"/>
                <w:szCs w:val="21"/>
                <w:highlight w:val="none"/>
                <w:u w:val="none"/>
                <w:lang w:val="en-US" w:eastAsia="zh-CN" w:bidi="ar"/>
              </w:rPr>
              <w:t>1</w:t>
            </w:r>
            <w:r>
              <w:rPr>
                <w:rFonts w:hint="eastAsia" w:cs="Times New Roman"/>
                <w:i w:val="0"/>
                <w:color w:val="000000"/>
                <w:kern w:val="0"/>
                <w:sz w:val="21"/>
                <w:szCs w:val="21"/>
                <w:highlight w:val="none"/>
                <w:u w:val="none"/>
                <w:lang w:val="en-US" w:eastAsia="zh-CN" w:bidi="ar"/>
              </w:rPr>
              <w:t>4</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35.42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步步增盈</w:t>
            </w:r>
            <w:r>
              <w:rPr>
                <w:rFonts w:hint="eastAsia" w:cs="Times New Roman"/>
                <w:i w:val="0"/>
                <w:color w:val="000000"/>
                <w:kern w:val="0"/>
                <w:sz w:val="21"/>
                <w:szCs w:val="21"/>
                <w:highlight w:val="none"/>
                <w:u w:val="none"/>
                <w:lang w:val="en-US" w:eastAsia="zh-CN" w:bidi="ar"/>
              </w:rPr>
              <w:t>安心版</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2021.3.11</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2021.7.15</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w:t>
            </w:r>
            <w:r>
              <w:rPr>
                <w:rFonts w:hint="default" w:ascii="Times New Roman" w:hAnsi="Times New Roman" w:eastAsia="宋体" w:cs="Times New Roman"/>
                <w:i w:val="0"/>
                <w:color w:val="000000"/>
                <w:kern w:val="0"/>
                <w:sz w:val="21"/>
                <w:szCs w:val="21"/>
                <w:highlight w:val="none"/>
                <w:u w:val="none"/>
                <w:lang w:val="en-US" w:eastAsia="zh-CN" w:bidi="ar"/>
              </w:rPr>
              <w:t>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800.00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2021.7.15</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2021.7.19</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w:t>
            </w:r>
            <w:r>
              <w:rPr>
                <w:rFonts w:hint="default" w:ascii="Times New Roman" w:hAnsi="Times New Roman" w:eastAsia="宋体" w:cs="Times New Roman"/>
                <w:i w:val="0"/>
                <w:color w:val="000000"/>
                <w:kern w:val="0"/>
                <w:sz w:val="21"/>
                <w:szCs w:val="21"/>
                <w:highlight w:val="none"/>
                <w:u w:val="none"/>
                <w:lang w:val="en-US" w:eastAsia="zh-CN" w:bidi="ar"/>
              </w:rPr>
              <w:t>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600.00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2021.7.15</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2021.7.21</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共赢稳健91天</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2021.4.25</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2021.7.26</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华夏理财现金管理1号</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500.00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2021.7.26</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华夏理财现金管理1号</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500.00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2021.7.14</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2021.7.26</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w:t>
            </w:r>
            <w:r>
              <w:rPr>
                <w:rFonts w:hint="default" w:ascii="Times New Roman" w:hAnsi="Times New Roman" w:eastAsia="宋体" w:cs="Times New Roman"/>
                <w:i w:val="0"/>
                <w:color w:val="000000"/>
                <w:kern w:val="0"/>
                <w:sz w:val="21"/>
                <w:szCs w:val="21"/>
                <w:highlight w:val="none"/>
                <w:u w:val="none"/>
                <w:lang w:val="en-US" w:eastAsia="zh-CN" w:bidi="ar"/>
              </w:rPr>
              <w:t>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600.00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2021.7.15</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2021.7.28</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共赢稳健91天</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2021.5.10</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2021.8.9</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中信银行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共赢智信结构性存款91天</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2021.5.10</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2021.8.9</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华夏理财现金管理1号</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2021.7.12</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2021.8.12</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600.00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2021.8.16</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2021.8.17</w:t>
            </w:r>
          </w:p>
        </w:tc>
        <w:tc>
          <w:tcPr>
            <w:tcW w:w="96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交通银行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稳得利180天</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400.00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2020.12.11</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2021.8.18</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5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华夏理财现金管理1号</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515.00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2021.7.14</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2021.8.24</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上海银行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400.00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2021.8.16</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2021.9.3</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华夏理财固收增强周期30天A款</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1,000.00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2021.5.14</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2021.9.10</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华夏理财现金管理1号</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500.00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2021.8.16</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2021.9.13</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华夏理财固收增强周期30天A款</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2,700.00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2021.4.26</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2021.9.23</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49.11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上海</w:t>
            </w:r>
            <w:r>
              <w:rPr>
                <w:rFonts w:hint="default" w:ascii="Times New Roman" w:hAnsi="Times New Roman" w:eastAsia="宋体" w:cs="Times New Roman"/>
                <w:i w:val="0"/>
                <w:color w:val="000000"/>
                <w:kern w:val="0"/>
                <w:sz w:val="21"/>
                <w:szCs w:val="21"/>
                <w:highlight w:val="none"/>
                <w:u w:val="none"/>
                <w:lang w:val="en-US" w:eastAsia="zh-CN" w:bidi="ar"/>
              </w:rPr>
              <w:t>银行</w:t>
            </w:r>
          </w:p>
        </w:tc>
        <w:tc>
          <w:tcPr>
            <w:tcW w:w="87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1092"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1</w:t>
            </w:r>
            <w:r>
              <w:rPr>
                <w:rFonts w:hint="eastAsia" w:cs="Times New Roman"/>
                <w:i w:val="0"/>
                <w:color w:val="000000"/>
                <w:kern w:val="0"/>
                <w:sz w:val="21"/>
                <w:szCs w:val="21"/>
                <w:highlight w:val="none"/>
                <w:u w:val="none"/>
                <w:lang w:val="en-US" w:eastAsia="zh-CN" w:bidi="ar"/>
              </w:rPr>
              <w:t>5</w:t>
            </w:r>
            <w:r>
              <w:rPr>
                <w:rFonts w:hint="eastAsia" w:ascii="Times New Roman" w:hAnsi="Times New Roman" w:eastAsia="宋体" w:cs="Times New Roman"/>
                <w:i w:val="0"/>
                <w:color w:val="000000"/>
                <w:kern w:val="0"/>
                <w:sz w:val="21"/>
                <w:szCs w:val="21"/>
                <w:highlight w:val="none"/>
                <w:u w:val="none"/>
                <w:lang w:val="en-US" w:eastAsia="zh-CN" w:bidi="ar"/>
              </w:rPr>
              <w:t>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2021.9.30</w:t>
            </w:r>
          </w:p>
        </w:tc>
        <w:tc>
          <w:tcPr>
            <w:tcW w:w="1116"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2021.10.8</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w:t>
            </w:r>
            <w:r>
              <w:rPr>
                <w:rFonts w:hint="eastAsia" w:cs="Times New Roman"/>
                <w:i w:val="0"/>
                <w:color w:val="000000"/>
                <w:kern w:val="0"/>
                <w:sz w:val="21"/>
                <w:szCs w:val="21"/>
                <w:highlight w:val="none"/>
                <w:u w:val="none"/>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华夏理财固收增强周期30天A款</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5,500.00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2021.5.11</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2021.10.8</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98.76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58"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华夏银行</w:t>
            </w:r>
          </w:p>
        </w:tc>
        <w:tc>
          <w:tcPr>
            <w:tcW w:w="875" w:type="dxa"/>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921"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华夏理财固收增强周期30天A款</w:t>
            </w:r>
          </w:p>
        </w:tc>
        <w:tc>
          <w:tcPr>
            <w:tcW w:w="10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3,200.00</w:t>
            </w:r>
          </w:p>
        </w:tc>
        <w:tc>
          <w:tcPr>
            <w:tcW w:w="1192"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非保本浮动收益型</w:t>
            </w:r>
          </w:p>
        </w:tc>
        <w:tc>
          <w:tcPr>
            <w:tcW w:w="1225"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2021.7.1</w:t>
            </w:r>
          </w:p>
        </w:tc>
        <w:tc>
          <w:tcPr>
            <w:tcW w:w="1116"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2021.10.8</w:t>
            </w:r>
          </w:p>
        </w:tc>
        <w:tc>
          <w:tcPr>
            <w:tcW w:w="968" w:type="dxa"/>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38.72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4" w:type="dxa"/>
            <w:gridSpan w:val="3"/>
            <w:vAlign w:val="center"/>
          </w:tcPr>
          <w:p>
            <w:pPr>
              <w:keepNext w:val="0"/>
              <w:keepLines w:val="0"/>
              <w:widowControl/>
              <w:suppressLineNumbers w:val="0"/>
              <w:jc w:val="center"/>
              <w:textAlignment w:val="center"/>
              <w:rPr>
                <w:rFonts w:hint="default" w:ascii="Times New Roman" w:hAnsi="Times New Roman" w:eastAsia="宋体" w:cs="Times New Roman"/>
                <w:b/>
                <w:bCs/>
                <w:i w:val="0"/>
                <w:color w:val="000000"/>
                <w:kern w:val="0"/>
                <w:sz w:val="21"/>
                <w:szCs w:val="21"/>
                <w:u w:val="none"/>
                <w:lang w:val="en-US" w:eastAsia="zh-CN" w:bidi="ar"/>
              </w:rPr>
            </w:pPr>
            <w:r>
              <w:rPr>
                <w:rFonts w:hint="default" w:ascii="Times New Roman" w:hAnsi="Times New Roman" w:cs="Times New Roman"/>
                <w:b/>
                <w:bCs/>
                <w:i w:val="0"/>
                <w:color w:val="000000"/>
                <w:kern w:val="0"/>
                <w:sz w:val="21"/>
                <w:szCs w:val="21"/>
                <w:u w:val="none"/>
                <w:lang w:val="en-US" w:eastAsia="zh-CN" w:bidi="ar"/>
              </w:rPr>
              <w:t>合计</w:t>
            </w:r>
          </w:p>
        </w:tc>
        <w:tc>
          <w:tcPr>
            <w:tcW w:w="1092" w:type="dxa"/>
            <w:vAlign w:val="center"/>
          </w:tcPr>
          <w:p>
            <w:pPr>
              <w:keepNext w:val="0"/>
              <w:keepLines w:val="0"/>
              <w:widowControl/>
              <w:suppressLineNumbers w:val="0"/>
              <w:jc w:val="right"/>
              <w:textAlignment w:val="center"/>
              <w:rPr>
                <w:rFonts w:hint="default" w:ascii="Times New Roman" w:hAnsi="Times New Roman" w:eastAsia="宋体" w:cs="Times New Roman"/>
                <w:b/>
                <w:bCs/>
                <w:i w:val="0"/>
                <w:color w:val="000000"/>
                <w:kern w:val="0"/>
                <w:sz w:val="21"/>
                <w:szCs w:val="21"/>
                <w:highlight w:val="none"/>
                <w:u w:val="none"/>
                <w:lang w:val="en-US" w:eastAsia="zh-CN" w:bidi="ar"/>
              </w:rPr>
            </w:pPr>
            <w:r>
              <w:rPr>
                <w:rFonts w:hint="eastAsia" w:cs="Times New Roman"/>
                <w:b/>
                <w:bCs/>
                <w:i w:val="0"/>
                <w:color w:val="000000"/>
                <w:kern w:val="0"/>
                <w:sz w:val="21"/>
                <w:szCs w:val="21"/>
                <w:highlight w:val="none"/>
                <w:u w:val="none"/>
                <w:lang w:val="en-US" w:eastAsia="zh-CN" w:bidi="ar"/>
              </w:rPr>
              <w:t>27,565.00</w:t>
            </w:r>
          </w:p>
        </w:tc>
        <w:tc>
          <w:tcPr>
            <w:tcW w:w="1192"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1225"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1116"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ascii="Times New Roman" w:hAnsi="Times New Roman" w:eastAsia="宋体" w:cs="Times New Roman"/>
                <w:b/>
                <w:bCs/>
                <w:i w:val="0"/>
                <w:color w:val="000000"/>
                <w:kern w:val="0"/>
                <w:sz w:val="21"/>
                <w:szCs w:val="21"/>
                <w:highlight w:val="none"/>
                <w:u w:val="none"/>
                <w:lang w:val="en-US" w:eastAsia="zh-CN" w:bidi="ar"/>
              </w:rPr>
            </w:pPr>
          </w:p>
        </w:tc>
        <w:tc>
          <w:tcPr>
            <w:tcW w:w="968" w:type="dxa"/>
            <w:vAlign w:val="center"/>
          </w:tcPr>
          <w:p>
            <w:pPr>
              <w:keepNext w:val="0"/>
              <w:keepLines w:val="0"/>
              <w:pageBreakBefore w:val="0"/>
              <w:widowControl/>
              <w:suppressLineNumbers w:val="0"/>
              <w:kinsoku/>
              <w:wordWrap/>
              <w:overflowPunct/>
              <w:topLinePunct w:val="0"/>
              <w:bidi w:val="0"/>
              <w:snapToGrid/>
              <w:jc w:val="center"/>
              <w:textAlignment w:val="top"/>
              <w:rPr>
                <w:rFonts w:hint="default" w:cs="Times New Roman"/>
                <w:b/>
                <w:bCs/>
                <w:i w:val="0"/>
                <w:color w:val="000000"/>
                <w:kern w:val="0"/>
                <w:sz w:val="21"/>
                <w:szCs w:val="21"/>
                <w:highlight w:val="none"/>
                <w:u w:val="none"/>
                <w:lang w:val="en-US" w:eastAsia="zh-CN" w:bidi="ar"/>
              </w:rPr>
            </w:pPr>
            <w:r>
              <w:rPr>
                <w:rFonts w:hint="eastAsia" w:cs="Times New Roman"/>
                <w:b/>
                <w:bCs/>
                <w:i w:val="0"/>
                <w:color w:val="000000"/>
                <w:kern w:val="0"/>
                <w:sz w:val="21"/>
                <w:szCs w:val="21"/>
                <w:highlight w:val="none"/>
                <w:u w:val="none"/>
                <w:lang w:val="en-US" w:eastAsia="zh-CN" w:bidi="ar"/>
              </w:rPr>
              <w:t>282.83</w:t>
            </w:r>
          </w:p>
        </w:tc>
      </w:tr>
    </w:tbl>
    <w:p>
      <w:pPr>
        <w:widowControl/>
        <w:spacing w:before="156" w:beforeLines="50" w:after="156" w:afterLines="50" w:line="360" w:lineRule="auto"/>
        <w:jc w:val="left"/>
        <w:rPr>
          <w:rFonts w:hint="eastAsia" w:cs="Times New Roman" w:eastAsiaTheme="minorEastAsia"/>
          <w:b w:val="0"/>
          <w:bCs/>
          <w:color w:val="000000"/>
          <w:sz w:val="24"/>
          <w:szCs w:val="24"/>
          <w:highlight w:val="none"/>
          <w:lang w:val="en-US" w:eastAsia="zh-CN"/>
        </w:rPr>
      </w:pPr>
      <w:r>
        <w:rPr>
          <w:rFonts w:hint="default" w:ascii="Times New Roman" w:hAnsi="Times New Roman" w:cs="Times New Roman" w:eastAsiaTheme="minorEastAsia"/>
          <w:b w:val="0"/>
          <w:bCs/>
          <w:color w:val="000000"/>
          <w:sz w:val="24"/>
          <w:szCs w:val="24"/>
          <w:highlight w:val="none"/>
          <w:lang w:val="en-US" w:eastAsia="zh-CN"/>
        </w:rPr>
        <w:t>注：上述理财产品中，</w:t>
      </w:r>
      <w:r>
        <w:rPr>
          <w:rFonts w:hint="eastAsia" w:cs="Times New Roman" w:eastAsiaTheme="minorEastAsia"/>
          <w:b w:val="0"/>
          <w:bCs/>
          <w:color w:val="000000"/>
          <w:sz w:val="24"/>
          <w:szCs w:val="24"/>
          <w:highlight w:val="none"/>
          <w:lang w:val="en-US" w:eastAsia="zh-CN"/>
        </w:rPr>
        <w:t>赢家易精灵、步步增盈安心版</w:t>
      </w:r>
      <w:bookmarkStart w:id="0" w:name="_GoBack"/>
      <w:bookmarkEnd w:id="0"/>
      <w:r>
        <w:rPr>
          <w:rFonts w:hint="eastAsia" w:cs="Times New Roman" w:eastAsiaTheme="minorEastAsia"/>
          <w:b w:val="0"/>
          <w:bCs/>
          <w:color w:val="000000"/>
          <w:sz w:val="24"/>
          <w:szCs w:val="24"/>
          <w:highlight w:val="none"/>
          <w:lang w:val="en-US" w:eastAsia="zh-CN"/>
        </w:rPr>
        <w:t>、</w:t>
      </w:r>
      <w:r>
        <w:rPr>
          <w:rFonts w:hint="default" w:cs="Times New Roman" w:eastAsiaTheme="minorEastAsia"/>
          <w:b w:val="0"/>
          <w:bCs/>
          <w:color w:val="000000"/>
          <w:sz w:val="24"/>
          <w:szCs w:val="24"/>
          <w:highlight w:val="none"/>
          <w:lang w:val="en-US" w:eastAsia="zh-CN"/>
        </w:rPr>
        <w:t>华夏理财现金管理1号</w:t>
      </w:r>
      <w:r>
        <w:rPr>
          <w:rFonts w:hint="eastAsia" w:cs="Times New Roman" w:eastAsiaTheme="minorEastAsia"/>
          <w:b w:val="0"/>
          <w:bCs/>
          <w:color w:val="000000"/>
          <w:sz w:val="24"/>
          <w:szCs w:val="24"/>
          <w:highlight w:val="none"/>
          <w:lang w:val="en-US" w:eastAsia="zh-CN"/>
        </w:rPr>
        <w:t>为无固定期限理财产品，</w:t>
      </w:r>
      <w:r>
        <w:rPr>
          <w:rFonts w:hint="default" w:cs="Times New Roman" w:eastAsiaTheme="minorEastAsia"/>
          <w:b w:val="0"/>
          <w:bCs/>
          <w:color w:val="000000"/>
          <w:sz w:val="24"/>
          <w:szCs w:val="24"/>
          <w:highlight w:val="none"/>
          <w:lang w:val="en-US" w:eastAsia="zh-CN"/>
        </w:rPr>
        <w:t>到期日为T+1</w:t>
      </w:r>
      <w:r>
        <w:rPr>
          <w:rFonts w:hint="eastAsia" w:cs="Times New Roman" w:eastAsiaTheme="minorEastAsia"/>
          <w:b w:val="0"/>
          <w:bCs/>
          <w:color w:val="000000"/>
          <w:sz w:val="24"/>
          <w:szCs w:val="24"/>
          <w:highlight w:val="none"/>
          <w:lang w:val="en-US" w:eastAsia="zh-CN"/>
        </w:rPr>
        <w:t>，暨</w:t>
      </w:r>
      <w:r>
        <w:rPr>
          <w:rFonts w:hint="default" w:cs="Times New Roman" w:eastAsiaTheme="minorEastAsia"/>
          <w:b w:val="0"/>
          <w:bCs/>
          <w:color w:val="000000"/>
          <w:sz w:val="24"/>
          <w:szCs w:val="24"/>
          <w:highlight w:val="none"/>
          <w:lang w:val="en-US" w:eastAsia="zh-CN"/>
        </w:rPr>
        <w:t>T+1赎回</w:t>
      </w:r>
      <w:r>
        <w:rPr>
          <w:rFonts w:hint="eastAsia" w:cs="Times New Roman" w:eastAsiaTheme="minorEastAsia"/>
          <w:b w:val="0"/>
          <w:bCs/>
          <w:color w:val="000000"/>
          <w:sz w:val="24"/>
          <w:szCs w:val="24"/>
          <w:highlight w:val="none"/>
          <w:lang w:val="en-US" w:eastAsia="zh-CN"/>
        </w:rPr>
        <w:t>。</w:t>
      </w:r>
    </w:p>
    <w:p>
      <w:pPr>
        <w:widowControl/>
        <w:spacing w:before="156" w:beforeLines="50" w:after="156" w:afterLines="50" w:line="360" w:lineRule="auto"/>
        <w:jc w:val="left"/>
        <w:rPr>
          <w:rFonts w:hint="eastAsia" w:eastAsiaTheme="minorEastAsia"/>
          <w:b/>
          <w:color w:val="000000"/>
          <w:sz w:val="24"/>
          <w:szCs w:val="24"/>
          <w:lang w:eastAsia="zh-CN"/>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widowControl/>
        <w:spacing w:before="156" w:beforeLines="50" w:after="156" w:afterLines="50" w:line="360" w:lineRule="auto"/>
        <w:ind w:firstLine="420" w:firstLineChars="175"/>
        <w:jc w:val="left"/>
        <w:rPr>
          <w:rFonts w:eastAsiaTheme="minorEastAsia"/>
          <w:color w:val="000000"/>
          <w:sz w:val="24"/>
          <w:szCs w:val="24"/>
          <w:highlight w:val="none"/>
        </w:rPr>
      </w:pPr>
      <w:r>
        <w:rPr>
          <w:rFonts w:eastAsiaTheme="minorEastAsia"/>
          <w:color w:val="000000"/>
          <w:sz w:val="24"/>
          <w:szCs w:val="24"/>
          <w:highlight w:val="none"/>
        </w:rPr>
        <w:t>为进一步提高资金使用效率，合理利用闲置自有资金，在确保不影响公司正常经营的前提下，公司使用总额不超过人民币8亿元（含8亿元）的闲置自有资金进行现金管理，以更好实现公司资金的保值增值，保障公司及股东的利益。</w:t>
      </w:r>
    </w:p>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widowControl/>
        <w:spacing w:before="156" w:beforeLines="50" w:after="156" w:afterLines="50" w:line="360" w:lineRule="auto"/>
        <w:ind w:firstLine="420" w:firstLineChars="175"/>
        <w:jc w:val="left"/>
        <w:rPr>
          <w:rFonts w:hint="eastAsia" w:eastAsiaTheme="minorEastAsia"/>
          <w:color w:val="000000"/>
          <w:sz w:val="24"/>
          <w:szCs w:val="24"/>
        </w:rPr>
      </w:pPr>
      <w:r>
        <w:rPr>
          <w:rFonts w:hint="eastAsia" w:eastAsiaTheme="minorEastAsia"/>
          <w:color w:val="000000"/>
          <w:sz w:val="24"/>
          <w:szCs w:val="24"/>
        </w:rPr>
        <w:t>本次委托理财的资金来源为公司及控股子公司暂时闲置的自有资金。</w:t>
      </w:r>
    </w:p>
    <w:p>
      <w:pPr>
        <w:widowControl/>
        <w:spacing w:before="156" w:beforeLines="50" w:after="156" w:afterLines="50"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9120" w:type="dxa"/>
        <w:jc w:val="center"/>
        <w:tblLayout w:type="fixed"/>
        <w:tblCellMar>
          <w:top w:w="0" w:type="dxa"/>
          <w:left w:w="108" w:type="dxa"/>
          <w:bottom w:w="0" w:type="dxa"/>
          <w:right w:w="108" w:type="dxa"/>
        </w:tblCellMar>
      </w:tblPr>
      <w:tblGrid>
        <w:gridCol w:w="685"/>
        <w:gridCol w:w="879"/>
        <w:gridCol w:w="1327"/>
        <w:gridCol w:w="956"/>
        <w:gridCol w:w="850"/>
        <w:gridCol w:w="958"/>
        <w:gridCol w:w="872"/>
        <w:gridCol w:w="1136"/>
        <w:gridCol w:w="692"/>
        <w:gridCol w:w="765"/>
      </w:tblGrid>
      <w:tr>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highlight w:val="none"/>
              </w:rPr>
              <w:t>华夏理财固收增强周期30天A款</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3.30%-3.90%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default" w:ascii="Times New Roman" w:hAnsi="Times New Roman" w:eastAsia="宋体"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cs="Times New Roman"/>
                <w:color w:val="000000"/>
                <w:sz w:val="21"/>
                <w:szCs w:val="21"/>
                <w:highlight w:val="none"/>
                <w:lang w:val="en-US" w:eastAsia="zh-CN"/>
              </w:rPr>
              <w:t>30</w:t>
            </w:r>
            <w:r>
              <w:rPr>
                <w:rFonts w:hint="default" w:ascii="Times New Roman" w:hAnsi="Times New Roman" w:eastAsia="宋体" w:cs="Times New Roman"/>
                <w:color w:val="000000"/>
                <w:sz w:val="21"/>
                <w:szCs w:val="21"/>
                <w:highlight w:val="none"/>
                <w:lang w:val="en-US" w:eastAsia="zh-CN"/>
              </w:rPr>
              <w:t>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rPr>
              <w:t>非保本浮动收益</w:t>
            </w:r>
            <w:r>
              <w:rPr>
                <w:rFonts w:hint="default" w:ascii="Times New Roman" w:hAnsi="Times New Roman" w:eastAsia="宋体" w:cs="Times New Roman"/>
                <w:color w:val="000000"/>
                <w:sz w:val="21"/>
                <w:szCs w:val="21"/>
                <w:highlight w:val="none"/>
                <w:lang w:val="en-US" w:eastAsia="zh-CN"/>
              </w:rPr>
              <w:t>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中信</w:t>
            </w:r>
          </w:p>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kern w:val="2"/>
                <w:sz w:val="21"/>
                <w:szCs w:val="21"/>
                <w:highlight w:val="none"/>
                <w:lang w:val="en-US" w:eastAsia="zh-CN" w:bidi="ar-SA"/>
              </w:rPr>
              <w:t>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银行理</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kern w:val="2"/>
                <w:sz w:val="21"/>
                <w:szCs w:val="21"/>
                <w:highlight w:val="none"/>
                <w:lang w:val="en-US" w:eastAsia="zh-CN" w:bidi="ar-SA"/>
              </w:rPr>
              <w:t>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sz w:val="21"/>
                <w:szCs w:val="21"/>
                <w:highlight w:val="none"/>
                <w:lang w:val="en-US" w:eastAsia="zh-CN"/>
              </w:rPr>
            </w:pPr>
            <w:r>
              <w:rPr>
                <w:rFonts w:hint="eastAsia" w:cs="Times New Roman"/>
                <w:color w:val="000000"/>
                <w:sz w:val="21"/>
                <w:szCs w:val="21"/>
                <w:highlight w:val="none"/>
                <w:lang w:val="en-US" w:eastAsia="zh-CN"/>
              </w:rPr>
              <w:t>共赢稳健91</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rPr>
            </w:pPr>
            <w:r>
              <w:rPr>
                <w:rFonts w:hint="eastAsia" w:cs="Times New Roman"/>
                <w:color w:val="000000"/>
                <w:sz w:val="21"/>
                <w:szCs w:val="21"/>
                <w:highlight w:val="none"/>
                <w:lang w:val="en-US" w:eastAsia="zh-CN"/>
              </w:rPr>
              <w:t>天</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202</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bidi="ar-SA"/>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91天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华夏理财现金管理1号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中信</w:t>
            </w:r>
            <w:r>
              <w:rPr>
                <w:rFonts w:hint="default" w:ascii="Times New Roman" w:hAnsi="Times New Roman" w:eastAsia="宋体" w:cs="Times New Roman"/>
                <w:color w:val="000000"/>
                <w:sz w:val="21"/>
                <w:szCs w:val="21"/>
                <w:highlight w:val="none"/>
                <w:lang w:val="en-US" w:eastAsia="zh-CN"/>
              </w:rPr>
              <w:t>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安盈象13号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2,000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cs="Times New Roman"/>
                <w:color w:val="000000"/>
                <w:sz w:val="21"/>
                <w:szCs w:val="21"/>
                <w:highlight w:val="none"/>
                <w:vertAlign w:val="baseline"/>
                <w:lang w:val="en-US" w:eastAsia="zh-CN"/>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每3个月开放赎回</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中信</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银行理</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sz w:val="21"/>
                <w:szCs w:val="21"/>
                <w:highlight w:val="none"/>
                <w:lang w:val="en-US" w:eastAsia="zh-CN"/>
              </w:rPr>
            </w:pPr>
            <w:r>
              <w:rPr>
                <w:rFonts w:hint="eastAsia" w:cs="Times New Roman"/>
                <w:color w:val="000000"/>
                <w:sz w:val="21"/>
                <w:szCs w:val="21"/>
                <w:highlight w:val="none"/>
                <w:lang w:val="en-US" w:eastAsia="zh-CN"/>
              </w:rPr>
              <w:t>共赢稳健91</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天</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101</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91天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华夏理财现金管理1号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90"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中信</w:t>
            </w:r>
          </w:p>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银行理</w:t>
            </w:r>
          </w:p>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sz w:val="21"/>
                <w:szCs w:val="21"/>
                <w:highlight w:val="none"/>
                <w:lang w:val="en-US" w:eastAsia="zh-CN"/>
              </w:rPr>
            </w:pPr>
            <w:r>
              <w:rPr>
                <w:rFonts w:hint="eastAsia" w:cs="Times New Roman"/>
                <w:color w:val="000000"/>
                <w:sz w:val="21"/>
                <w:szCs w:val="21"/>
                <w:highlight w:val="none"/>
                <w:lang w:val="en-US" w:eastAsia="zh-CN"/>
              </w:rPr>
              <w:t>共赢稳健91</w:t>
            </w:r>
          </w:p>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天</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310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4.00%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bidi="ar-SA"/>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91天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华夏理财现金管理1号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500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国融证券</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券商理财产品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eastAsia" w:cs="Times New Roman"/>
                <w:color w:val="000000"/>
                <w:kern w:val="2"/>
                <w:sz w:val="21"/>
                <w:szCs w:val="21"/>
                <w:highlight w:val="none"/>
                <w:lang w:val="en-US" w:eastAsia="zh-CN" w:bidi="ar-SA"/>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1,200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b/>
                <w:color w:val="000000"/>
                <w:kern w:val="0"/>
                <w:sz w:val="21"/>
                <w:szCs w:val="21"/>
                <w:highlight w:val="none"/>
                <w:lang w:val="en-US" w:eastAsia="zh-CN" w:bidi="ar-SA"/>
              </w:rPr>
            </w:pPr>
            <w:r>
              <w:rPr>
                <w:rFonts w:hint="eastAsia" w:cs="Times New Roman"/>
                <w:b/>
                <w:color w:val="000000"/>
                <w:kern w:val="0"/>
                <w:sz w:val="21"/>
                <w:szCs w:val="21"/>
                <w:highlight w:val="none"/>
                <w:lang w:val="en-US" w:eastAsia="zh-CN" w:bidi="ar-SA"/>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color w:val="000000"/>
                <w:sz w:val="21"/>
                <w:szCs w:val="21"/>
                <w:highlight w:val="none"/>
                <w:lang w:val="en-US" w:eastAsia="zh-CN"/>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上海</w:t>
            </w:r>
            <w:r>
              <w:rPr>
                <w:rFonts w:hint="default" w:ascii="Times New Roman" w:hAnsi="Times New Roman" w:eastAsia="宋体" w:cs="Times New Roman"/>
                <w:i w:val="0"/>
                <w:color w:val="000000"/>
                <w:kern w:val="0"/>
                <w:sz w:val="21"/>
                <w:szCs w:val="21"/>
                <w:highlight w:val="none"/>
                <w:u w:val="none"/>
                <w:lang w:val="en-US" w:eastAsia="zh-CN" w:bidi="ar"/>
              </w:rPr>
              <w:t>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赢家易精灵</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1,200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2.70%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color w:val="000000"/>
                <w:sz w:val="21"/>
                <w:szCs w:val="21"/>
                <w:highlight w:val="none"/>
                <w:lang w:val="en-US" w:eastAsia="zh-CN"/>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国融证券</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eastAsia" w:ascii="Times New Roman" w:hAnsi="Times New Roman" w:eastAsia="宋体" w:cs="Times New Roman"/>
                <w:i w:val="0"/>
                <w:color w:val="000000"/>
                <w:kern w:val="0"/>
                <w:sz w:val="21"/>
                <w:szCs w:val="21"/>
                <w:highlight w:val="none"/>
                <w:u w:val="none"/>
                <w:lang w:val="en-US" w:eastAsia="zh-CN" w:bidi="ar"/>
              </w:rPr>
            </w:pPr>
            <w:r>
              <w:rPr>
                <w:rFonts w:hint="eastAsia" w:cs="Times New Roman"/>
                <w:color w:val="000000"/>
                <w:kern w:val="2"/>
                <w:sz w:val="21"/>
                <w:szCs w:val="21"/>
                <w:highlight w:val="none"/>
                <w:lang w:val="en-US" w:eastAsia="zh-CN" w:bidi="ar-SA"/>
              </w:rPr>
              <w:t>券商理财产品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top"/>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安顺1号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6,000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s="Times New Roman"/>
                <w:color w:val="000000"/>
                <w:sz w:val="21"/>
                <w:szCs w:val="21"/>
                <w:highlight w:val="none"/>
                <w:lang w:val="en-US" w:eastAsia="zh-CN"/>
              </w:rPr>
              <w:t>7天</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否</w:t>
            </w:r>
          </w:p>
        </w:tc>
      </w:tr>
      <w:tr>
        <w:tblPrEx>
          <w:tblCellMar>
            <w:top w:w="0" w:type="dxa"/>
            <w:left w:w="108" w:type="dxa"/>
            <w:bottom w:w="0" w:type="dxa"/>
            <w:right w:w="108" w:type="dxa"/>
          </w:tblCellMar>
        </w:tblPrEx>
        <w:trPr>
          <w:trHeight w:val="397" w:hRule="atLeast"/>
          <w:jc w:val="center"/>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i w:val="0"/>
                <w:color w:val="000000"/>
                <w:kern w:val="0"/>
                <w:sz w:val="21"/>
                <w:szCs w:val="21"/>
                <w:highlight w:val="none"/>
                <w:u w:val="none"/>
                <w:lang w:val="en-US" w:eastAsia="zh-CN" w:bidi="ar"/>
              </w:rPr>
            </w:pPr>
            <w:r>
              <w:rPr>
                <w:rFonts w:hint="default" w:ascii="Times New Roman" w:hAnsi="Times New Roman" w:eastAsia="宋体" w:cs="Times New Roman"/>
                <w:color w:val="000000"/>
                <w:sz w:val="21"/>
                <w:szCs w:val="21"/>
                <w:highlight w:val="none"/>
                <w:lang w:val="en-US" w:eastAsia="zh-CN"/>
              </w:rPr>
              <w:t>华夏银行</w:t>
            </w:r>
          </w:p>
        </w:tc>
        <w:tc>
          <w:tcPr>
            <w:tcW w:w="87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lang w:val="en-US" w:eastAsia="zh-CN" w:bidi="ar-SA"/>
              </w:rPr>
            </w:pPr>
            <w:r>
              <w:rPr>
                <w:rFonts w:hint="default" w:ascii="Times New Roman" w:hAnsi="Times New Roman" w:eastAsia="宋体" w:cs="Times New Roman"/>
                <w:color w:val="000000"/>
                <w:sz w:val="21"/>
                <w:szCs w:val="21"/>
                <w:highlight w:val="none"/>
                <w:lang w:val="en-US" w:eastAsia="zh-CN"/>
              </w:rPr>
              <w:t>银行理财产品</w:t>
            </w:r>
          </w:p>
        </w:tc>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i w:val="0"/>
                <w:color w:val="000000"/>
                <w:kern w:val="0"/>
                <w:sz w:val="21"/>
                <w:szCs w:val="21"/>
                <w:highlight w:val="none"/>
                <w:u w:val="none"/>
                <w:lang w:val="en-US" w:eastAsia="zh-CN" w:bidi="ar"/>
              </w:rPr>
            </w:pPr>
            <w:r>
              <w:rPr>
                <w:rFonts w:hint="eastAsia" w:cs="Times New Roman"/>
                <w:color w:val="000000"/>
                <w:sz w:val="21"/>
                <w:szCs w:val="21"/>
                <w:highlight w:val="none"/>
                <w:lang w:val="en-US" w:eastAsia="zh-CN"/>
              </w:rPr>
              <w:t>华夏理财现金管理1号</w:t>
            </w:r>
          </w:p>
        </w:tc>
        <w:tc>
          <w:tcPr>
            <w:tcW w:w="95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vertAlign w:val="baseline"/>
                <w:lang w:val="en-US" w:eastAsia="zh-CN" w:bidi="ar-SA"/>
              </w:rPr>
            </w:pPr>
            <w:r>
              <w:rPr>
                <w:rFonts w:hint="eastAsia" w:cs="Times New Roman"/>
                <w:color w:val="000000"/>
                <w:kern w:val="2"/>
                <w:sz w:val="21"/>
                <w:szCs w:val="21"/>
                <w:highlight w:val="none"/>
                <w:vertAlign w:val="baseline"/>
                <w:lang w:val="en-US" w:eastAsia="zh-CN" w:bidi="ar-SA"/>
              </w:rPr>
              <w:t>600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eastAsia"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cs="Times New Roman"/>
                <w:b/>
                <w:color w:val="000000"/>
                <w:kern w:val="0"/>
                <w:sz w:val="21"/>
                <w:szCs w:val="21"/>
                <w:highlight w:val="none"/>
                <w:lang w:val="en-US" w:eastAsia="zh-CN"/>
              </w:rPr>
            </w:pPr>
            <w:r>
              <w:rPr>
                <w:rFonts w:hint="eastAsia" w:cs="Times New Roman"/>
                <w:b/>
                <w:color w:val="000000"/>
                <w:kern w:val="0"/>
                <w:sz w:val="21"/>
                <w:szCs w:val="21"/>
                <w:highlight w:val="none"/>
                <w:lang w:val="en-US" w:eastAsia="zh-CN"/>
              </w:rPr>
              <w:t>-</w:t>
            </w:r>
          </w:p>
        </w:tc>
        <w:tc>
          <w:tcPr>
            <w:tcW w:w="87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hint="eastAsia" w:cs="Times New Roman"/>
                <w:color w:val="000000"/>
                <w:sz w:val="21"/>
                <w:szCs w:val="21"/>
                <w:highlight w:val="none"/>
                <w:lang w:val="en-US" w:eastAsia="zh-CN"/>
              </w:rPr>
            </w:pPr>
            <w:r>
              <w:rPr>
                <w:rFonts w:hint="eastAsia" w:cs="Times New Roman"/>
                <w:color w:val="000000"/>
                <w:sz w:val="21"/>
                <w:szCs w:val="21"/>
                <w:highlight w:val="none"/>
                <w:lang w:val="en-US" w:eastAsia="zh-CN"/>
              </w:rPr>
              <w:t>无固定期限</w:t>
            </w:r>
          </w:p>
        </w:tc>
        <w:tc>
          <w:tcPr>
            <w:tcW w:w="113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textAlignment w:val="auto"/>
              <w:rPr>
                <w:rFonts w:eastAsiaTheme="minorEastAsia"/>
                <w:bCs/>
                <w:color w:val="000000"/>
                <w:kern w:val="0"/>
                <w:szCs w:val="21"/>
                <w:highlight w:val="none"/>
              </w:rPr>
            </w:pPr>
            <w:r>
              <w:rPr>
                <w:rFonts w:eastAsiaTheme="minorEastAsia"/>
                <w:bCs/>
                <w:color w:val="000000"/>
                <w:kern w:val="0"/>
                <w:szCs w:val="21"/>
                <w:highlight w:val="none"/>
              </w:rPr>
              <w:t>非保本浮动收益型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无</w:t>
            </w:r>
          </w:p>
        </w:tc>
        <w:tc>
          <w:tcPr>
            <w:tcW w:w="76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否</w:t>
            </w:r>
          </w:p>
        </w:tc>
      </w:tr>
    </w:tbl>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eastAsiaTheme="minorEastAsia"/>
          <w:color w:val="000000"/>
          <w:sz w:val="24"/>
          <w:szCs w:val="24"/>
          <w:highlight w:val="none"/>
        </w:rPr>
      </w:pPr>
      <w:r>
        <w:rPr>
          <w:rFonts w:eastAsiaTheme="minorEastAsia"/>
          <w:color w:val="000000"/>
          <w:sz w:val="24"/>
          <w:szCs w:val="24"/>
          <w:highlight w:val="none"/>
        </w:rPr>
        <w:t>公司使用部分闲置自有资金进行现金管理，</w:t>
      </w:r>
      <w:r>
        <w:rPr>
          <w:rFonts w:hint="eastAsia" w:eastAsiaTheme="minorEastAsia"/>
          <w:color w:val="000000"/>
          <w:sz w:val="24"/>
          <w:szCs w:val="24"/>
          <w:highlight w:val="none"/>
          <w:lang w:eastAsia="zh-CN"/>
        </w:rPr>
        <w:t>主要用于投资</w:t>
      </w:r>
      <w:r>
        <w:rPr>
          <w:rFonts w:ascii="宋体" w:hAnsi="宋体" w:eastAsia="宋体" w:cs="宋体"/>
          <w:sz w:val="24"/>
          <w:szCs w:val="24"/>
          <w:highlight w:val="none"/>
        </w:rPr>
        <w:t>合法金融机构发行的风险可控、流动性好的理财产品。不直接用于其他证券投资，不购买股票及其衍生品、无担保债券。</w:t>
      </w:r>
      <w:r>
        <w:rPr>
          <w:rFonts w:eastAsiaTheme="minorEastAsia"/>
          <w:color w:val="000000"/>
          <w:sz w:val="24"/>
          <w:szCs w:val="24"/>
          <w:highlight w:val="none"/>
        </w:rPr>
        <w:t>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highlight w:val="none"/>
        </w:rPr>
      </w:pPr>
      <w:r>
        <w:rPr>
          <w:rFonts w:eastAsiaTheme="minorEastAsia"/>
          <w:color w:val="000000"/>
          <w:sz w:val="24"/>
          <w:szCs w:val="24"/>
          <w:highlight w:val="none"/>
        </w:rPr>
        <w:t>公司根据内部控制制度，对投资理财产品行为进行规范和控制，严格审批投资产品准入范围，确保现金管理事宜的有效开展和规范运行。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highlight w:val="none"/>
        </w:rPr>
      </w:pPr>
      <w:r>
        <w:rPr>
          <w:rFonts w:eastAsiaTheme="minorEastAsia"/>
          <w:color w:val="000000"/>
          <w:sz w:val="24"/>
          <w:szCs w:val="24"/>
          <w:highlight w:val="none"/>
        </w:rPr>
        <w:t>公司董事会审计委员会、独立董事、监事会有权对理财资金使用情况进行监督与检查。</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widowControl/>
        <w:spacing w:before="156" w:beforeLines="50" w:after="156" w:afterLines="50" w:line="360" w:lineRule="auto"/>
        <w:ind w:firstLine="422" w:firstLineChars="175"/>
        <w:jc w:val="left"/>
        <w:rPr>
          <w:rFonts w:hint="eastAsia" w:eastAsiaTheme="minorEastAsia"/>
          <w:b/>
          <w:color w:val="000000"/>
          <w:sz w:val="24"/>
          <w:szCs w:val="24"/>
        </w:rPr>
      </w:pPr>
      <w:r>
        <w:rPr>
          <w:rFonts w:hint="eastAsia" w:eastAsiaTheme="minorEastAsia"/>
          <w:b/>
          <w:color w:val="000000"/>
          <w:sz w:val="24"/>
          <w:szCs w:val="24"/>
        </w:rPr>
        <w:t>（一）委托理财合同主要条款</w:t>
      </w:r>
    </w:p>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highlight w:val="none"/>
          <w:lang w:val="en-US" w:eastAsia="zh-CN"/>
        </w:rPr>
      </w:pPr>
      <w:r>
        <w:rPr>
          <w:rFonts w:hint="eastAsia" w:cs="Times New Roman" w:eastAsiaTheme="minorEastAsia"/>
          <w:color w:val="000000"/>
          <w:sz w:val="24"/>
          <w:szCs w:val="24"/>
          <w:highlight w:val="none"/>
          <w:lang w:val="en-US" w:eastAsia="zh-CN"/>
        </w:rPr>
        <w:t>1、</w:t>
      </w:r>
      <w:r>
        <w:rPr>
          <w:rFonts w:hint="eastAsia" w:eastAsiaTheme="minorEastAsia"/>
          <w:bCs/>
          <w:color w:val="000000"/>
          <w:kern w:val="0"/>
          <w:sz w:val="24"/>
          <w:szCs w:val="24"/>
          <w:highlight w:val="none"/>
        </w:rPr>
        <w:t>华夏理财固收增强周期30天A款</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华夏理财固</w:t>
            </w:r>
            <w:r>
              <w:rPr>
                <w:rFonts w:hint="eastAsia" w:eastAsiaTheme="minorEastAsia"/>
                <w:bCs/>
                <w:color w:val="000000"/>
                <w:kern w:val="0"/>
                <w:szCs w:val="21"/>
                <w:lang w:eastAsia="zh-CN"/>
              </w:rPr>
              <w:t>定</w:t>
            </w:r>
            <w:r>
              <w:rPr>
                <w:rFonts w:hint="eastAsia" w:eastAsiaTheme="minorEastAsia"/>
                <w:bCs/>
                <w:color w:val="000000"/>
                <w:kern w:val="0"/>
                <w:szCs w:val="21"/>
              </w:rPr>
              <w:t>收</w:t>
            </w:r>
            <w:r>
              <w:rPr>
                <w:rFonts w:hint="eastAsia" w:eastAsiaTheme="minorEastAsia"/>
                <w:bCs/>
                <w:color w:val="000000"/>
                <w:kern w:val="0"/>
                <w:szCs w:val="21"/>
                <w:lang w:eastAsia="zh-CN"/>
              </w:rPr>
              <w:t>益</w:t>
            </w:r>
            <w:r>
              <w:rPr>
                <w:rFonts w:hint="eastAsia" w:eastAsiaTheme="minorEastAsia"/>
                <w:bCs/>
                <w:color w:val="000000"/>
                <w:kern w:val="0"/>
                <w:szCs w:val="21"/>
              </w:rPr>
              <w:t>增强周期30天</w:t>
            </w:r>
            <w:r>
              <w:rPr>
                <w:rFonts w:hint="eastAsia" w:eastAsiaTheme="minorEastAsia"/>
                <w:bCs/>
                <w:color w:val="000000"/>
                <w:kern w:val="0"/>
                <w:szCs w:val="21"/>
                <w:lang w:eastAsia="zh-CN"/>
              </w:rPr>
              <w:t>理财产品</w:t>
            </w:r>
            <w:r>
              <w:rPr>
                <w:rFonts w:hint="eastAsia" w:eastAsiaTheme="minorEastAsia"/>
                <w:bCs/>
                <w:color w:val="000000"/>
                <w:kern w:val="0"/>
                <w:szCs w:val="21"/>
              </w:rPr>
              <w:t>A款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211918701001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highlight w:val="yellow"/>
                <w:lang w:val="en-US" w:eastAsia="zh-CN"/>
              </w:rPr>
            </w:pPr>
            <w:r>
              <w:rPr>
                <w:rFonts w:hint="eastAsia" w:eastAsiaTheme="minorEastAsia"/>
                <w:bCs/>
                <w:color w:val="000000"/>
                <w:kern w:val="0"/>
                <w:szCs w:val="21"/>
                <w:highlight w:val="none"/>
                <w:lang w:val="en-US" w:eastAsia="zh-CN"/>
              </w:rPr>
              <w:t>2021年7月15日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val="en-US" w:eastAsia="zh-CN"/>
              </w:rPr>
              <w:t>首个滚存到期日</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highlight w:val="yellow"/>
                <w:lang w:val="en-US" w:eastAsia="zh-CN"/>
              </w:rPr>
            </w:pPr>
            <w:r>
              <w:rPr>
                <w:rFonts w:hint="eastAsia" w:eastAsiaTheme="minorEastAsia"/>
                <w:bCs/>
                <w:color w:val="000000"/>
                <w:kern w:val="0"/>
                <w:szCs w:val="21"/>
                <w:highlight w:val="none"/>
                <w:lang w:val="en-US" w:eastAsia="zh-CN"/>
              </w:rPr>
              <w:t>2021年8月15日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净值型（业</w:t>
            </w:r>
            <w:r>
              <w:rPr>
                <w:rFonts w:hint="eastAsia" w:eastAsiaTheme="minorEastAsia"/>
                <w:bCs/>
                <w:color w:val="000000"/>
                <w:kern w:val="0"/>
                <w:szCs w:val="21"/>
                <w:highlight w:val="none"/>
                <w:lang w:val="en-US" w:eastAsia="zh-CN"/>
              </w:rPr>
              <w:t>绩基准为</w:t>
            </w:r>
            <w:r>
              <w:rPr>
                <w:rFonts w:hint="default" w:eastAsiaTheme="minorEastAsia"/>
                <w:bCs/>
                <w:color w:val="000000"/>
                <w:kern w:val="0"/>
                <w:szCs w:val="21"/>
                <w:highlight w:val="none"/>
                <w:lang w:val="en-US" w:eastAsia="zh-CN"/>
              </w:rPr>
              <w:t>3.30%-3.90%</w:t>
            </w:r>
            <w:r>
              <w:rPr>
                <w:rFonts w:hint="eastAsia" w:eastAsiaTheme="minorEastAsia"/>
                <w:bCs/>
                <w:color w:val="000000"/>
                <w:kern w:val="0"/>
                <w:szCs w:val="21"/>
                <w:highlight w:val="none"/>
                <w:lang w:val="en-US" w:eastAsia="zh-CN"/>
              </w:rPr>
              <w:t>，本理财产品为净值型产品，其业绩表现将随市场波动。）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pct"/>
            <w:vAlign w:val="center"/>
          </w:tcPr>
          <w:p>
            <w:pPr>
              <w:keepNext w:val="0"/>
              <w:keepLines w:val="0"/>
              <w:widowControl/>
              <w:suppressLineNumbers w:val="0"/>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rPr>
              <w:t>投资周期</w:t>
            </w:r>
          </w:p>
        </w:tc>
        <w:tc>
          <w:tcPr>
            <w:tcW w:w="3680" w:type="pct"/>
            <w:vAlign w:val="center"/>
          </w:tcPr>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w:t>
            </w:r>
            <w:r>
              <w:rPr>
                <w:rFonts w:hint="default" w:eastAsiaTheme="minorEastAsia"/>
                <w:bCs/>
                <w:color w:val="000000"/>
                <w:kern w:val="0"/>
                <w:szCs w:val="21"/>
                <w:lang w:val="en-US" w:eastAsia="zh-CN"/>
              </w:rPr>
              <w:t>投资者购买本理财产品的每一笔份额，自成立日（含）/申购确认日（含）/上一投资周期到期日的下一自然日（含）起每30个自然日为一个投资周期。产品到期/终止时，投资者持有份额不满一个投资周期，则按照实际天数计算。投资周期内，投资者可根据赎回规定选择投资周期到期后是否赎回本理财产品。</w:t>
            </w:r>
          </w:p>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华夏理财将于投资周期到期日后2个工作日，根据实际投资结果向华夏银行/华夏理财客户及其他代销机构一次性划付理财本金及收益（如有），其他代销机构客户理财本金及收益（如有）的具体到账账户、到账日及到账时间以该代销机构划付规定为准。</w:t>
            </w:r>
          </w:p>
          <w:p>
            <w:pPr>
              <w:keepNext w:val="0"/>
              <w:keepLines w:val="0"/>
              <w:widowControl/>
              <w:suppressLineNumbers w:val="0"/>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投资周期到期日如遇非工作日，则自动顺延至下一工作日。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keepNext w:val="0"/>
              <w:keepLines w:val="0"/>
              <w:widowControl/>
              <w:suppressLineNumbers w:val="0"/>
              <w:autoSpaceDE w:val="0"/>
              <w:autoSpaceDN w:val="0"/>
              <w:adjustRightInd w:val="0"/>
              <w:spacing w:line="276" w:lineRule="auto"/>
              <w:jc w:val="center"/>
              <w:rPr>
                <w:rFonts w:hint="eastAsia" w:eastAsiaTheme="minorEastAsia"/>
                <w:b/>
                <w:color w:val="000000"/>
                <w:kern w:val="0"/>
                <w:szCs w:val="21"/>
                <w:lang w:val="en-US" w:eastAsia="zh-CN"/>
              </w:rPr>
            </w:pPr>
            <w:r>
              <w:rPr>
                <w:rFonts w:hint="eastAsia" w:eastAsiaTheme="minorEastAsia"/>
                <w:b/>
                <w:color w:val="000000"/>
                <w:kern w:val="0"/>
                <w:szCs w:val="21"/>
                <w:lang w:val="en-US" w:eastAsia="zh-CN"/>
              </w:rPr>
              <w:t>赎回规定</w:t>
            </w:r>
          </w:p>
        </w:tc>
        <w:tc>
          <w:tcPr>
            <w:tcW w:w="3680" w:type="pct"/>
            <w:vAlign w:val="center"/>
          </w:tcPr>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投资者购买本理财产品时应就每笔认/申购资金选择本投资周期到期后是否赎回产品：</w:t>
            </w:r>
          </w:p>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1.如选择赎回，则投资周期到期后自动赎回。</w:t>
            </w:r>
          </w:p>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2.如选择续投，则投资周期到期后自动续期，直至产品到期或投资者取消续投。续投后的投资周期自上一投资周期到期日的下一自然日（含）起计算。</w:t>
            </w:r>
          </w:p>
          <w:p>
            <w:pPr>
              <w:keepNext w:val="0"/>
              <w:keepLines w:val="0"/>
              <w:widowControl/>
              <w:suppressLineNumbers w:val="0"/>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3.每一笔购买交易存续的当个投资周期到期日前2个工作日的开放时间结束前，投资者均可变更赎回或续投选择。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本产品主要投资于货币市场工具、标准化债权类资产、权益类资产、商品及金融衍生品类资产及资产管理产品，其中投资的资管产品需符合产品约定的投资范围。</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其中货币市场工具包括但不限于银行存款、大额存单、同业存单（CD）、短期融资券、超短期融资券、剩余期限在397天以内（含397天）的债券、期限在一年以内（含一年）的债券回购、期限在一年以内（含一年）的中央银行票据、货币市场基金以及中国人民银行、中国银保监会认可的其他具有良好流动性的金融工具；</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标准化债权类资产包括但不限于国债、中央银行票据、地方政府债券、政府支持机构债券、金融债券、非金融企业债务融资工具、公司债券、企业债券、国际机构债券、同业存单、信贷资产支持证券、资产支持票据、证券交易所挂牌交易的资产支持证券、固定收益类公开募集证券投资基金，以及《标准化债权类资产认定规则》认定的标准化债权类资产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权益类资产包括但不限于国内依法发行和上市的股票（包括主板、创业板、中小板、科创板以及其他经中国证监会核准上市的股票，包括新股申购、定向增发、大宗交易、询价转让等）、内地与香港股票市场交易互联互通机制允许买卖的香港市场股票，以及股票型、混合型公募证券投资基金等。</w:t>
            </w:r>
          </w:p>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rPr>
              <w:t>商品类资产包括贵金属和大宗商品类等以实物形式存在的商品资产；金融衍生品类资产包括但不限于远期合同、期货合同、互换和期权，以及具有远期合同、期货合同、互换和期权中一种或一种以上特征的工具。</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lang w:val="en-US" w:eastAsia="zh-CN"/>
        </w:rPr>
        <w:t>共赢稳健91</w:t>
      </w:r>
      <w:r>
        <w:rPr>
          <w:rFonts w:hint="eastAsia" w:cs="Times New Roman"/>
          <w:color w:val="000000"/>
          <w:sz w:val="24"/>
          <w:szCs w:val="24"/>
          <w:highlight w:val="none"/>
          <w:lang w:val="en-US" w:eastAsia="zh-CN"/>
        </w:rPr>
        <w:t>天</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6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中信银行理财之共赢稳健周期91天理财产品新客专享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A20SC5393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2021年7月29日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eastAsia="zh-CN"/>
              </w:rPr>
              <w:t>产品到期日期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2021年10月27日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5" w:type="pct"/>
            <w:vAlign w:val="center"/>
          </w:tcPr>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本产品募集资金主要投资于：</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（1）货币市场类：现金、存款、货币基金、质押式回购和其他货币市场类资产；</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（2）固定收益类：债券、资产支持证券、非公开定向债务融资工具、债券基金和其他固定收益类资产；</w:t>
            </w:r>
          </w:p>
          <w:p>
            <w:pPr>
              <w:autoSpaceDE w:val="0"/>
              <w:autoSpaceDN w:val="0"/>
              <w:adjustRightInd w:val="0"/>
              <w:spacing w:line="276" w:lineRule="auto"/>
              <w:jc w:val="left"/>
              <w:rPr>
                <w:rFonts w:eastAsiaTheme="minorEastAsia"/>
                <w:bCs/>
                <w:color w:val="000000"/>
                <w:kern w:val="0"/>
                <w:szCs w:val="21"/>
              </w:rPr>
            </w:pPr>
            <w:r>
              <w:rPr>
                <w:rFonts w:hint="eastAsia" w:eastAsiaTheme="minorEastAsia"/>
                <w:bCs/>
                <w:color w:val="000000"/>
                <w:kern w:val="0"/>
                <w:sz w:val="21"/>
                <w:szCs w:val="21"/>
                <w:lang w:val="en-US" w:eastAsia="zh-CN"/>
              </w:rPr>
              <w:t>（3）非标准化债权资产和其他类：符合监管机构要求的基金公司及其资产管理公司资产管理计划、证券公司及其资产管理公司资产管理计划、保险资产管理公司资产管理计划、信托计划、委托债权投资、人民币利率互换、人民币利率远期、信用风险缓释工具、国债期货及其他资产或者资产组合。</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3、</w:t>
      </w:r>
      <w:r>
        <w:rPr>
          <w:rFonts w:hint="eastAsia" w:ascii="Times New Roman" w:hAnsi="Times New Roman" w:eastAsia="宋体" w:cs="Times New Roman"/>
          <w:color w:val="000000"/>
          <w:sz w:val="24"/>
          <w:szCs w:val="24"/>
          <w:highlight w:val="none"/>
          <w:lang w:val="en-US" w:eastAsia="zh-CN"/>
        </w:rPr>
        <w:t>华夏理财现金管理1号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华夏理财现金管理类理财产品</w:t>
            </w:r>
            <w:r>
              <w:rPr>
                <w:rFonts w:hint="eastAsia" w:eastAsiaTheme="minorEastAsia"/>
                <w:bCs/>
                <w:color w:val="000000"/>
                <w:kern w:val="0"/>
                <w:szCs w:val="21"/>
                <w:lang w:val="en-US" w:eastAsia="zh-CN"/>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default" w:ascii="Times New Roman" w:hAnsi="Times New Roman" w:eastAsia="等线" w:cs="Times New Roman"/>
                <w:bCs/>
                <w:szCs w:val="21"/>
                <w:highlight w:val="none"/>
              </w:rPr>
              <w:t>211</w:t>
            </w:r>
            <w:r>
              <w:rPr>
                <w:rFonts w:hint="default" w:ascii="Times New Roman" w:hAnsi="Times New Roman" w:eastAsia="等线" w:cs="Times New Roman"/>
                <w:bCs/>
                <w:szCs w:val="21"/>
                <w:highlight w:val="none"/>
                <w:lang w:val="en-US" w:eastAsia="zh-CN"/>
              </w:rPr>
              <w:t>9</w:t>
            </w:r>
            <w:r>
              <w:rPr>
                <w:rFonts w:hint="default" w:ascii="Times New Roman" w:hAnsi="Times New Roman" w:eastAsia="等线" w:cs="Times New Roman"/>
                <w:bCs/>
                <w:szCs w:val="21"/>
                <w:highlight w:val="none"/>
              </w:rPr>
              <w:t>987</w:t>
            </w:r>
            <w:r>
              <w:rPr>
                <w:rFonts w:hint="default" w:ascii="Times New Roman" w:hAnsi="Times New Roman" w:eastAsia="等线" w:cs="Times New Roman"/>
                <w:bCs/>
                <w:szCs w:val="21"/>
                <w:highlight w:val="none"/>
                <w:lang w:val="en-US" w:eastAsia="zh-CN"/>
              </w:rPr>
              <w:t>00101A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2021年8月10日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eastAsia="zh-CN"/>
              </w:rPr>
              <w:t>净值型（</w:t>
            </w:r>
            <w:r>
              <w:rPr>
                <w:rFonts w:hint="eastAsia" w:eastAsiaTheme="minorEastAsia"/>
                <w:bCs/>
                <w:color w:val="000000"/>
                <w:kern w:val="0"/>
                <w:szCs w:val="21"/>
              </w:rPr>
              <w:t>无</w:t>
            </w:r>
            <w:r>
              <w:rPr>
                <w:rFonts w:hint="eastAsia" w:eastAsiaTheme="minorEastAsia"/>
                <w:bCs/>
                <w:color w:val="000000"/>
                <w:kern w:val="0"/>
                <w:szCs w:val="21"/>
                <w:lang w:eastAsia="zh-CN"/>
              </w:rPr>
              <w:t>业绩基准，近</w:t>
            </w:r>
            <w:r>
              <w:rPr>
                <w:rFonts w:hint="eastAsia" w:eastAsiaTheme="minorEastAsia"/>
                <w:bCs/>
                <w:color w:val="000000"/>
                <w:kern w:val="0"/>
                <w:szCs w:val="21"/>
                <w:lang w:val="en-US" w:eastAsia="zh-CN"/>
              </w:rPr>
              <w:t>七日年化收益率为3.3520%</w:t>
            </w:r>
            <w:r>
              <w:rPr>
                <w:rFonts w:hint="eastAsia" w:eastAsiaTheme="minorEastAsia"/>
                <w:bCs/>
                <w:color w:val="000000"/>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lang w:val="en-US" w:eastAsia="zh-CN"/>
              </w:rPr>
              <w:t>赎回规定</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lang w:eastAsia="zh-CN"/>
              </w:rPr>
            </w:pPr>
            <w:r>
              <w:rPr>
                <w:rFonts w:hint="eastAsia" w:eastAsiaTheme="minorEastAsia"/>
                <w:bCs/>
                <w:color w:val="000000"/>
                <w:kern w:val="0"/>
                <w:szCs w:val="21"/>
                <w:lang w:eastAsia="zh-CN"/>
              </w:rPr>
              <w:t>每个开放日的开放时间</w:t>
            </w:r>
            <w:r>
              <w:rPr>
                <w:rFonts w:hint="eastAsia" w:eastAsiaTheme="minorEastAsia"/>
                <w:bCs/>
                <w:color w:val="000000"/>
                <w:kern w:val="0"/>
                <w:szCs w:val="21"/>
                <w:lang w:val="en-US" w:eastAsia="zh-CN"/>
              </w:rPr>
              <w:t>00:00-15:30，</w:t>
            </w:r>
            <w:r>
              <w:rPr>
                <w:rFonts w:hint="eastAsia" w:eastAsiaTheme="minorEastAsia"/>
                <w:bCs/>
                <w:color w:val="000000"/>
                <w:kern w:val="0"/>
                <w:szCs w:val="21"/>
                <w:lang w:eastAsia="zh-CN"/>
              </w:rPr>
              <w:t>投资者</w:t>
            </w:r>
            <w:r>
              <w:rPr>
                <w:rFonts w:hint="eastAsia" w:eastAsiaTheme="minorEastAsia"/>
                <w:bCs/>
                <w:color w:val="000000"/>
                <w:kern w:val="0"/>
                <w:szCs w:val="21"/>
                <w:lang w:val="en-US" w:eastAsia="zh-CN"/>
              </w:rPr>
              <w:t>可</w:t>
            </w:r>
            <w:r>
              <w:rPr>
                <w:rFonts w:hint="eastAsia" w:eastAsiaTheme="minorEastAsia"/>
                <w:bCs/>
                <w:color w:val="000000"/>
                <w:kern w:val="0"/>
                <w:szCs w:val="21"/>
                <w:lang w:eastAsia="zh-CN"/>
              </w:rPr>
              <w:t>于开放日的开放时间内进行</w:t>
            </w:r>
            <w:r>
              <w:rPr>
                <w:rFonts w:hint="eastAsia" w:eastAsiaTheme="minorEastAsia"/>
                <w:bCs/>
                <w:color w:val="000000"/>
                <w:kern w:val="0"/>
                <w:szCs w:val="21"/>
                <w:lang w:val="en-US" w:eastAsia="zh-CN"/>
              </w:rPr>
              <w:t>普通</w:t>
            </w:r>
            <w:r>
              <w:rPr>
                <w:rFonts w:hint="eastAsia" w:eastAsiaTheme="minorEastAsia"/>
                <w:bCs/>
                <w:color w:val="000000"/>
                <w:kern w:val="0"/>
                <w:szCs w:val="21"/>
                <w:lang w:eastAsia="zh-CN"/>
              </w:rPr>
              <w:t>赎回，</w:t>
            </w:r>
            <w:r>
              <w:rPr>
                <w:rFonts w:hint="eastAsia" w:eastAsiaTheme="minorEastAsia"/>
                <w:bCs/>
                <w:color w:val="000000"/>
                <w:kern w:val="0"/>
                <w:szCs w:val="21"/>
                <w:lang w:val="en-US" w:eastAsia="zh-CN"/>
              </w:rPr>
              <w:t>T日非开放时间提交的普通赎回申请等同于下一开放日提交的普通赎回申请</w:t>
            </w:r>
            <w:r>
              <w:rPr>
                <w:rFonts w:hint="eastAsia" w:eastAsiaTheme="minorEastAsia"/>
                <w:bCs/>
                <w:color w:val="000000"/>
                <w:kern w:val="0"/>
                <w:szCs w:val="21"/>
                <w:lang w:eastAsia="zh-CN"/>
              </w:rPr>
              <w:t>。华夏理财有权调整按上述规则确定的开放日及开放时间，并在调整前3个工作日公告。</w:t>
            </w:r>
          </w:p>
          <w:p>
            <w:pPr>
              <w:autoSpaceDE w:val="0"/>
              <w:autoSpaceDN w:val="0"/>
              <w:adjustRightInd w:val="0"/>
              <w:spacing w:line="276" w:lineRule="auto"/>
              <w:ind w:left="0" w:leftChars="0" w:firstLine="420" w:firstLineChars="200"/>
              <w:jc w:val="both"/>
              <w:rPr>
                <w:rFonts w:hint="eastAsia" w:ascii="仿宋" w:hAnsi="仿宋" w:eastAsia="仿宋"/>
                <w:bCs/>
                <w:szCs w:val="21"/>
                <w:highlight w:val="none"/>
                <w:lang w:eastAsia="zh-CN"/>
              </w:rPr>
            </w:pPr>
            <w:r>
              <w:rPr>
                <w:rFonts w:hint="eastAsia" w:eastAsiaTheme="minorEastAsia"/>
                <w:bCs/>
                <w:color w:val="000000"/>
                <w:kern w:val="0"/>
                <w:szCs w:val="21"/>
                <w:lang w:eastAsia="zh-CN"/>
              </w:rPr>
              <w:t>本理财产品采取份额赎回的方式。投资者可选择全额或部分赎回，部分赎回后投资者持有本理财产品的实时余额低于理财账户最低保留限额时，将在赎回日末对投资者的剩余份额发起强制赎回。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lang w:eastAsia="zh-CN"/>
              </w:rPr>
              <w:t>本产品</w:t>
            </w:r>
            <w:r>
              <w:rPr>
                <w:rFonts w:hint="eastAsia" w:eastAsiaTheme="minorEastAsia"/>
                <w:bCs/>
                <w:color w:val="000000"/>
                <w:kern w:val="0"/>
                <w:szCs w:val="21"/>
                <w:lang w:val="en-US" w:eastAsia="zh-CN"/>
              </w:rPr>
              <w:t>100%投资于</w:t>
            </w:r>
            <w:r>
              <w:rPr>
                <w:rFonts w:hint="eastAsia" w:eastAsiaTheme="minorEastAsia"/>
                <w:bCs/>
                <w:color w:val="000000"/>
                <w:kern w:val="0"/>
                <w:szCs w:val="21"/>
                <w:lang w:eastAsia="zh-CN"/>
              </w:rPr>
              <w:t>货币市场工具、债券类资产、货币型公募证券投资基金以及符合上述投资范围的资产管理计划工具。包括但不限于：期限在一年以内（含一年）的银行存款、债券回购、中央银行票据、同业存单、国债、政策性金融债、地方政府债、短期融资券、超短期融资券、中期票据、企业债、公司债、非公开定向债务融资工具、资产支持证券、货币型公募证券投资基金及其他符合监管要求的债</w:t>
            </w:r>
            <w:r>
              <w:rPr>
                <w:rFonts w:hint="eastAsia" w:eastAsiaTheme="minorEastAsia"/>
                <w:bCs/>
                <w:color w:val="000000"/>
                <w:kern w:val="0"/>
                <w:szCs w:val="21"/>
                <w:lang w:val="en-US" w:eastAsia="zh-CN"/>
              </w:rPr>
              <w:t>券</w:t>
            </w:r>
            <w:r>
              <w:rPr>
                <w:rFonts w:hint="eastAsia" w:eastAsiaTheme="minorEastAsia"/>
                <w:bCs/>
                <w:color w:val="000000"/>
                <w:kern w:val="0"/>
                <w:szCs w:val="21"/>
                <w:lang w:eastAsia="zh-CN"/>
              </w:rPr>
              <w:t>类资产。</w:t>
            </w:r>
          </w:p>
        </w:tc>
      </w:tr>
    </w:tbl>
    <w:p>
      <w:pPr>
        <w:widowControl/>
        <w:numPr>
          <w:ilvl w:val="0"/>
          <w:numId w:val="2"/>
        </w:numPr>
        <w:spacing w:before="156" w:beforeLines="50" w:after="156" w:afterLines="50" w:line="360" w:lineRule="auto"/>
        <w:ind w:left="0" w:leftChars="0" w:firstLine="0" w:firstLineChars="0"/>
        <w:jc w:val="left"/>
        <w:rPr>
          <w:rFonts w:hint="eastAsia" w:eastAsiaTheme="minorEastAsia"/>
          <w:color w:val="000000"/>
          <w:sz w:val="24"/>
          <w:szCs w:val="24"/>
          <w:highlight w:val="none"/>
          <w:lang w:val="en-US" w:eastAsia="zh-CN"/>
        </w:rPr>
      </w:pPr>
      <w:r>
        <w:rPr>
          <w:rFonts w:hint="eastAsia" w:eastAsiaTheme="minorEastAsia"/>
          <w:color w:val="000000"/>
          <w:sz w:val="24"/>
          <w:szCs w:val="24"/>
          <w:highlight w:val="none"/>
          <w:lang w:val="en-US" w:eastAsia="zh-CN"/>
        </w:rPr>
        <w:t>安盈象13号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信银理财安盈象固收稳健季开13号理财产品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产品代码</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Z7002621000367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产品期限</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lang w:eastAsia="zh-CN"/>
              </w:rPr>
            </w:pPr>
            <w:r>
              <w:rPr>
                <w:rFonts w:hint="eastAsia" w:cs="Times New Roman"/>
                <w:color w:val="000000"/>
                <w:sz w:val="21"/>
                <w:szCs w:val="21"/>
                <w:highlight w:val="none"/>
                <w:lang w:val="en-US" w:eastAsia="zh-CN"/>
              </w:rPr>
              <w:t>每3个月开放赎回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lang w:eastAsia="zh-CN"/>
              </w:rPr>
            </w:pPr>
            <w:r>
              <w:rPr>
                <w:rFonts w:hint="eastAsia" w:eastAsiaTheme="minorEastAsia"/>
                <w:bCs/>
                <w:color w:val="000000"/>
                <w:kern w:val="0"/>
                <w:szCs w:val="21"/>
                <w:highlight w:val="none"/>
              </w:rPr>
              <w:t>202</w:t>
            </w:r>
            <w:r>
              <w:rPr>
                <w:rFonts w:hint="eastAsia" w:eastAsiaTheme="minorEastAsia"/>
                <w:bCs/>
                <w:color w:val="000000"/>
                <w:kern w:val="0"/>
                <w:szCs w:val="21"/>
                <w:highlight w:val="none"/>
                <w:lang w:val="en-US" w:eastAsia="zh-CN"/>
              </w:rPr>
              <w:t>1</w:t>
            </w:r>
            <w:r>
              <w:rPr>
                <w:rFonts w:hint="eastAsia" w:eastAsiaTheme="minorEastAsia"/>
                <w:bCs/>
                <w:color w:val="000000"/>
                <w:kern w:val="0"/>
                <w:szCs w:val="21"/>
                <w:highlight w:val="none"/>
              </w:rPr>
              <w:t>年</w:t>
            </w:r>
            <w:r>
              <w:rPr>
                <w:rFonts w:hint="eastAsia" w:eastAsiaTheme="minorEastAsia"/>
                <w:bCs/>
                <w:color w:val="000000"/>
                <w:kern w:val="0"/>
                <w:szCs w:val="21"/>
                <w:highlight w:val="none"/>
                <w:lang w:val="en-US" w:eastAsia="zh-CN"/>
              </w:rPr>
              <w:t>8</w:t>
            </w:r>
            <w:r>
              <w:rPr>
                <w:rFonts w:hint="eastAsia" w:eastAsiaTheme="minorEastAsia"/>
                <w:bCs/>
                <w:color w:val="000000"/>
                <w:kern w:val="0"/>
                <w:szCs w:val="21"/>
                <w:highlight w:val="none"/>
              </w:rPr>
              <w:t>月</w:t>
            </w:r>
            <w:r>
              <w:rPr>
                <w:rFonts w:hint="eastAsia" w:eastAsiaTheme="minorEastAsia"/>
                <w:bCs/>
                <w:color w:val="000000"/>
                <w:kern w:val="0"/>
                <w:szCs w:val="21"/>
                <w:highlight w:val="none"/>
                <w:lang w:val="en-US" w:eastAsia="zh-CN"/>
              </w:rPr>
              <w:t>17</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lang w:bidi="ar"/>
              </w:rPr>
            </w:pPr>
            <w:r>
              <w:rPr>
                <w:rFonts w:hint="eastAsia" w:eastAsiaTheme="minorEastAsia"/>
                <w:b/>
                <w:color w:val="000000"/>
                <w:kern w:val="0"/>
                <w:szCs w:val="21"/>
                <w:lang w:bidi="ar"/>
              </w:rPr>
              <w:t>开放日</w:t>
            </w:r>
          </w:p>
        </w:tc>
        <w:tc>
          <w:tcPr>
            <w:tcW w:w="3636" w:type="pct"/>
            <w:vAlign w:val="center"/>
          </w:tcPr>
          <w:p>
            <w:pPr>
              <w:autoSpaceDE w:val="0"/>
              <w:autoSpaceDN w:val="0"/>
              <w:adjustRightInd w:val="0"/>
              <w:spacing w:line="276" w:lineRule="auto"/>
              <w:ind w:firstLine="420" w:firstLineChars="200"/>
              <w:jc w:val="left"/>
              <w:rPr>
                <w:rFonts w:hint="eastAsia" w:eastAsiaTheme="minorEastAsia"/>
                <w:bCs/>
                <w:color w:val="000000"/>
                <w:kern w:val="0"/>
                <w:szCs w:val="21"/>
                <w:highlight w:val="none"/>
              </w:rPr>
            </w:pPr>
            <w:r>
              <w:rPr>
                <w:rFonts w:hint="eastAsia" w:eastAsiaTheme="minorEastAsia"/>
                <w:bCs/>
                <w:color w:val="000000"/>
                <w:kern w:val="0"/>
                <w:szCs w:val="21"/>
                <w:highlight w:val="none"/>
              </w:rPr>
              <w:t>1.本产品在【2021】年【8】月【17】日-【2021】年【11】月【15】日期间封闭运作，在【2021】年【11】月【16】日开放申购，之后按【季度】为周期进行开放，开放日为【每年2月、5月、8月、11月的第三个周二】（如遇非工作日则自动顺延至下一工作日）。本产品首个赎回开放日为【2021】年【11】月【16】日，之后按【季度】为周期进行开放，开放日为【每年2月、5月、8月、11月的第三个周二】（如遇非工作日则自动顺延至下一工作日）。</w:t>
            </w:r>
          </w:p>
          <w:p>
            <w:pPr>
              <w:autoSpaceDE w:val="0"/>
              <w:autoSpaceDN w:val="0"/>
              <w:adjustRightInd w:val="0"/>
              <w:spacing w:line="276" w:lineRule="auto"/>
              <w:ind w:firstLine="420" w:firstLineChars="200"/>
              <w:jc w:val="left"/>
              <w:rPr>
                <w:rFonts w:hint="eastAsia" w:eastAsiaTheme="minorEastAsia"/>
                <w:bCs/>
                <w:color w:val="000000"/>
                <w:kern w:val="0"/>
                <w:szCs w:val="21"/>
                <w:highlight w:val="none"/>
              </w:rPr>
            </w:pPr>
            <w:r>
              <w:rPr>
                <w:rFonts w:hint="eastAsia" w:eastAsiaTheme="minorEastAsia"/>
                <w:bCs/>
                <w:color w:val="000000"/>
                <w:kern w:val="0"/>
                <w:szCs w:val="21"/>
                <w:highlight w:val="none"/>
              </w:rPr>
              <w:t>2.如因实际投资运作需要等因素，管理人有权增加或调整开放日和到期日，并最迟于增加或调整生效前【2】个工作日以本说明书约定的方式向投资者发布相关信息。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3" w:type="dxa"/>
            <w:vAlign w:val="center"/>
          </w:tcPr>
          <w:p>
            <w:pPr>
              <w:autoSpaceDE w:val="0"/>
              <w:autoSpaceDN w:val="0"/>
              <w:adjustRightInd w:val="0"/>
              <w:spacing w:line="276" w:lineRule="auto"/>
              <w:jc w:val="center"/>
              <w:rPr>
                <w:rFonts w:eastAsiaTheme="minorEastAsia"/>
                <w:b/>
                <w:color w:val="000000"/>
                <w:kern w:val="0"/>
                <w:szCs w:val="21"/>
                <w:lang w:bidi="ar"/>
              </w:rPr>
            </w:pPr>
            <w:r>
              <w:rPr>
                <w:rFonts w:eastAsiaTheme="minorEastAsia"/>
                <w:b/>
                <w:color w:val="000000" w:themeColor="text1"/>
                <w:kern w:val="0"/>
                <w:szCs w:val="21"/>
                <w:highlight w:val="none"/>
                <w14:textFill>
                  <w14:solidFill>
                    <w14:schemeClr w14:val="tx1"/>
                  </w14:solidFill>
                </w14:textFill>
              </w:rPr>
              <w:t>产品预期年化收益率</w:t>
            </w:r>
          </w:p>
        </w:tc>
        <w:tc>
          <w:tcPr>
            <w:tcW w:w="6196" w:type="dxa"/>
            <w:vAlign w:val="center"/>
          </w:tcPr>
          <w:p>
            <w:pPr>
              <w:autoSpaceDE w:val="0"/>
              <w:autoSpaceDN w:val="0"/>
              <w:adjustRightInd w:val="0"/>
              <w:spacing w:line="276" w:lineRule="auto"/>
              <w:jc w:val="center"/>
              <w:rPr>
                <w:rFonts w:hint="eastAsia" w:eastAsiaTheme="minorEastAsia"/>
                <w:bCs/>
                <w:color w:val="000000"/>
                <w:kern w:val="0"/>
                <w:szCs w:val="21"/>
                <w:highlight w:val="none"/>
              </w:rPr>
            </w:pPr>
            <w:r>
              <w:rPr>
                <w:rFonts w:hint="eastAsia" w:eastAsiaTheme="minorEastAsia"/>
                <w:bCs/>
                <w:color w:val="000000"/>
                <w:kern w:val="0"/>
                <w:szCs w:val="21"/>
                <w:lang w:eastAsia="zh-CN"/>
              </w:rPr>
              <w:t>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业绩比较基准</w:t>
            </w:r>
          </w:p>
        </w:tc>
        <w:tc>
          <w:tcPr>
            <w:tcW w:w="3636" w:type="pct"/>
            <w:vAlign w:val="center"/>
          </w:tcPr>
          <w:p>
            <w:pPr>
              <w:autoSpaceDE w:val="0"/>
              <w:autoSpaceDN w:val="0"/>
              <w:adjustRightInd w:val="0"/>
              <w:spacing w:line="276" w:lineRule="auto"/>
              <w:ind w:firstLine="420" w:firstLineChars="200"/>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C类份额：【3.65%】</w:t>
            </w:r>
          </w:p>
          <w:p>
            <w:pPr>
              <w:autoSpaceDE w:val="0"/>
              <w:autoSpaceDN w:val="0"/>
              <w:adjustRightInd w:val="0"/>
              <w:spacing w:line="276" w:lineRule="auto"/>
              <w:ind w:firstLine="420" w:firstLineChars="200"/>
              <w:jc w:val="left"/>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业绩基准测算依据：【产品重点投资于信用债、非标等资产，并结合一定的杠杆操作和交易策略对组合收益进行增厚。根据当前市场环境，可获取的合意资产收益率平均在4.00%左右，同时根据流动性管理需要和监管要求配置不低于5.00%的高流动性资产。综合来看，扣除相关税费成本后投资者可获得收益率的中枢预计在3.65%左右。】上述业绩比较基准不代表理财产品未来表现，不等于实际收益，投资须谨慎。本理财产品实际收益率将可能低于业绩比较基准，甚至无法取得任何收益。</w:t>
            </w:r>
          </w:p>
          <w:p>
            <w:pPr>
              <w:autoSpaceDE w:val="0"/>
              <w:autoSpaceDN w:val="0"/>
              <w:adjustRightInd w:val="0"/>
              <w:spacing w:line="276" w:lineRule="auto"/>
              <w:ind w:firstLine="420" w:firstLineChars="200"/>
              <w:jc w:val="left"/>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若今后法律法规发生变化，或有其他代表性更强、更科学客观的业绩比较基准适用于本产品时，本产品可变更业绩比较基准并及时告知投资者。管理人有权根据法律法规要求、市场情况在每个开放日调整当期业绩比较基准，并在每个开放日前【2】个工作日以符合监管规定要求的方式向投资者披露，投资者不接受的，可于最近一个开放日赎回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eastAsiaTheme="minorEastAsia"/>
                <w:b/>
                <w:color w:val="000000"/>
                <w:kern w:val="0"/>
                <w:szCs w:val="21"/>
              </w:rPr>
              <w:t>资金投向</w:t>
            </w:r>
          </w:p>
        </w:tc>
        <w:tc>
          <w:tcPr>
            <w:tcW w:w="3636" w:type="pct"/>
            <w:vAlign w:val="top"/>
          </w:tcPr>
          <w:p>
            <w:pPr>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债权类资产</w:t>
            </w:r>
            <w:r>
              <w:rPr>
                <w:rFonts w:hint="eastAsia" w:eastAsiaTheme="minorEastAsia"/>
                <w:bCs/>
                <w:color w:val="000000"/>
                <w:kern w:val="0"/>
                <w:szCs w:val="21"/>
                <w:lang w:val="en-US" w:eastAsia="zh-CN"/>
              </w:rPr>
              <w:t>：</w:t>
            </w:r>
          </w:p>
          <w:p>
            <w:pPr>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a.货币市场类：现金、存款、大额存单、同业存单、货币基金、质押式回购和其他货币市场类资产；</w:t>
            </w:r>
          </w:p>
          <w:p>
            <w:pPr>
              <w:autoSpaceDE w:val="0"/>
              <w:autoSpaceDN w:val="0"/>
              <w:adjustRightInd w:val="0"/>
              <w:spacing w:line="276" w:lineRule="auto"/>
              <w:jc w:val="both"/>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b.固定收益类：国债、地方政府债券、中央银行票据、政府机构债券、金融债券、公司信用类债券、在银行间市场和证券交易所市场发行的资产支持证券、非公开定向债务融资工具、债券型证券投资基金、非标准化债权类资产和其他固定收益类资产</w:t>
            </w:r>
            <w:r>
              <w:rPr>
                <w:rFonts w:hint="eastAsia" w:eastAsiaTheme="minorEastAsia"/>
                <w:bCs/>
                <w:color w:val="000000"/>
                <w:kern w:val="0"/>
                <w:szCs w:val="21"/>
                <w:lang w:val="en-US" w:eastAsia="zh-CN"/>
              </w:rPr>
              <w:t>。</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lang w:val="en-US" w:eastAsia="zh-CN"/>
        </w:rPr>
        <w:t>共赢稳健91</w:t>
      </w:r>
      <w:r>
        <w:rPr>
          <w:rFonts w:hint="eastAsia" w:cs="Times New Roman"/>
          <w:color w:val="000000"/>
          <w:sz w:val="24"/>
          <w:szCs w:val="24"/>
          <w:highlight w:val="none"/>
          <w:lang w:val="en-US" w:eastAsia="zh-CN"/>
        </w:rPr>
        <w:t>天</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6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中信银行理财之共赢稳健周期91天理财产品新客专享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A20SC5393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2021年8月13日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eastAsia="zh-CN"/>
              </w:rPr>
              <w:t>产品到期日期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2021年11月11日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5" w:type="pct"/>
            <w:vAlign w:val="center"/>
          </w:tcPr>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本产品募集资金主要投资于：</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（1）货币市场类：现金、存款、货币基金、质押式回购和其他货币市场类资产；</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（2）固定收益类：债券、资产支持证券、非公开定向债务融资工具、债券基金和其他固定收益类资产；</w:t>
            </w:r>
          </w:p>
          <w:p>
            <w:pPr>
              <w:autoSpaceDE w:val="0"/>
              <w:autoSpaceDN w:val="0"/>
              <w:adjustRightInd w:val="0"/>
              <w:spacing w:line="276" w:lineRule="auto"/>
              <w:jc w:val="left"/>
              <w:rPr>
                <w:rFonts w:eastAsiaTheme="minorEastAsia"/>
                <w:bCs/>
                <w:color w:val="000000"/>
                <w:kern w:val="0"/>
                <w:szCs w:val="21"/>
              </w:rPr>
            </w:pPr>
            <w:r>
              <w:rPr>
                <w:rFonts w:hint="eastAsia" w:eastAsiaTheme="minorEastAsia"/>
                <w:bCs/>
                <w:color w:val="000000"/>
                <w:kern w:val="0"/>
                <w:sz w:val="21"/>
                <w:szCs w:val="21"/>
                <w:lang w:val="en-US" w:eastAsia="zh-CN"/>
              </w:rPr>
              <w:t>（3）非标准化债权资产和其他类：符合监管机构要求的基金公司及其资产管理公司资产管理计划、证券公司及其资产管理公司资产管理计划、保险资产管理公司资产管理计划、信托计划、委托债权投资、人民币利率互换、人民币利率远期、信用风险缓释工具、国债期货及其他资产或者资产组合。</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default" w:ascii="Times New Roman" w:hAnsi="Times New Roman" w:cs="Times New Roman" w:eastAsiaTheme="minorEastAsia"/>
          <w:color w:val="000000"/>
          <w:sz w:val="24"/>
          <w:szCs w:val="24"/>
          <w:lang w:val="en-US" w:eastAsia="zh-CN"/>
        </w:rPr>
        <w:t>6、</w:t>
      </w:r>
      <w:r>
        <w:rPr>
          <w:rFonts w:hint="default" w:ascii="Times New Roman" w:hAnsi="Times New Roman" w:eastAsia="宋体" w:cs="Times New Roman"/>
          <w:sz w:val="24"/>
          <w:szCs w:val="24"/>
        </w:rPr>
        <w:t>华夏理财现金管理</w:t>
      </w:r>
      <w:r>
        <w:rPr>
          <w:rFonts w:hint="default" w:ascii="Times New Roman" w:hAnsi="Times New Roman" w:eastAsia="宋体" w:cs="Times New Roman"/>
          <w:sz w:val="24"/>
          <w:szCs w:val="24"/>
          <w:lang w:val="en-US" w:eastAsia="zh-CN"/>
        </w:rPr>
        <w:t>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华夏理财现金管理类理财产品</w:t>
            </w:r>
            <w:r>
              <w:rPr>
                <w:rFonts w:hint="eastAsia" w:eastAsiaTheme="minorEastAsia"/>
                <w:bCs/>
                <w:color w:val="000000"/>
                <w:kern w:val="0"/>
                <w:szCs w:val="21"/>
                <w:lang w:val="en-US" w:eastAsia="zh-CN"/>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default" w:ascii="Times New Roman" w:hAnsi="Times New Roman" w:eastAsia="等线" w:cs="Times New Roman"/>
                <w:bCs/>
                <w:szCs w:val="21"/>
                <w:highlight w:val="none"/>
              </w:rPr>
              <w:t>211</w:t>
            </w:r>
            <w:r>
              <w:rPr>
                <w:rFonts w:hint="default" w:ascii="Times New Roman" w:hAnsi="Times New Roman" w:eastAsia="等线" w:cs="Times New Roman"/>
                <w:bCs/>
                <w:szCs w:val="21"/>
                <w:highlight w:val="none"/>
                <w:lang w:val="en-US" w:eastAsia="zh-CN"/>
              </w:rPr>
              <w:t>9</w:t>
            </w:r>
            <w:r>
              <w:rPr>
                <w:rFonts w:hint="default" w:ascii="Times New Roman" w:hAnsi="Times New Roman" w:eastAsia="等线" w:cs="Times New Roman"/>
                <w:bCs/>
                <w:szCs w:val="21"/>
                <w:highlight w:val="none"/>
              </w:rPr>
              <w:t>987</w:t>
            </w:r>
            <w:r>
              <w:rPr>
                <w:rFonts w:hint="default" w:ascii="Times New Roman" w:hAnsi="Times New Roman" w:eastAsia="等线" w:cs="Times New Roman"/>
                <w:bCs/>
                <w:szCs w:val="21"/>
                <w:highlight w:val="none"/>
                <w:lang w:val="en-US" w:eastAsia="zh-CN"/>
              </w:rPr>
              <w:t>00101A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2021年8月16日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eastAsia="zh-CN"/>
              </w:rPr>
              <w:t>净值型（</w:t>
            </w:r>
            <w:r>
              <w:rPr>
                <w:rFonts w:hint="eastAsia" w:eastAsiaTheme="minorEastAsia"/>
                <w:bCs/>
                <w:color w:val="000000"/>
                <w:kern w:val="0"/>
                <w:szCs w:val="21"/>
              </w:rPr>
              <w:t>无</w:t>
            </w:r>
            <w:r>
              <w:rPr>
                <w:rFonts w:hint="eastAsia" w:eastAsiaTheme="minorEastAsia"/>
                <w:bCs/>
                <w:color w:val="000000"/>
                <w:kern w:val="0"/>
                <w:szCs w:val="21"/>
                <w:lang w:eastAsia="zh-CN"/>
              </w:rPr>
              <w:t>业绩基准，近</w:t>
            </w:r>
            <w:r>
              <w:rPr>
                <w:rFonts w:hint="eastAsia" w:eastAsiaTheme="minorEastAsia"/>
                <w:bCs/>
                <w:color w:val="000000"/>
                <w:kern w:val="0"/>
                <w:szCs w:val="21"/>
                <w:lang w:val="en-US" w:eastAsia="zh-CN"/>
              </w:rPr>
              <w:t>七日年化收益率为3.3520%</w:t>
            </w:r>
            <w:r>
              <w:rPr>
                <w:rFonts w:hint="eastAsia" w:eastAsiaTheme="minorEastAsia"/>
                <w:bCs/>
                <w:color w:val="000000"/>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lang w:val="en-US" w:eastAsia="zh-CN"/>
              </w:rPr>
              <w:t>赎回规定</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lang w:eastAsia="zh-CN"/>
              </w:rPr>
            </w:pPr>
            <w:r>
              <w:rPr>
                <w:rFonts w:hint="eastAsia" w:eastAsiaTheme="minorEastAsia"/>
                <w:bCs/>
                <w:color w:val="000000"/>
                <w:kern w:val="0"/>
                <w:szCs w:val="21"/>
                <w:lang w:eastAsia="zh-CN"/>
              </w:rPr>
              <w:t>每个开放日的开放时间</w:t>
            </w:r>
            <w:r>
              <w:rPr>
                <w:rFonts w:hint="eastAsia" w:eastAsiaTheme="minorEastAsia"/>
                <w:bCs/>
                <w:color w:val="000000"/>
                <w:kern w:val="0"/>
                <w:szCs w:val="21"/>
                <w:lang w:val="en-US" w:eastAsia="zh-CN"/>
              </w:rPr>
              <w:t>00:00-15:30，</w:t>
            </w:r>
            <w:r>
              <w:rPr>
                <w:rFonts w:hint="eastAsia" w:eastAsiaTheme="minorEastAsia"/>
                <w:bCs/>
                <w:color w:val="000000"/>
                <w:kern w:val="0"/>
                <w:szCs w:val="21"/>
                <w:lang w:eastAsia="zh-CN"/>
              </w:rPr>
              <w:t>投资者</w:t>
            </w:r>
            <w:r>
              <w:rPr>
                <w:rFonts w:hint="eastAsia" w:eastAsiaTheme="minorEastAsia"/>
                <w:bCs/>
                <w:color w:val="000000"/>
                <w:kern w:val="0"/>
                <w:szCs w:val="21"/>
                <w:lang w:val="en-US" w:eastAsia="zh-CN"/>
              </w:rPr>
              <w:t>可</w:t>
            </w:r>
            <w:r>
              <w:rPr>
                <w:rFonts w:hint="eastAsia" w:eastAsiaTheme="minorEastAsia"/>
                <w:bCs/>
                <w:color w:val="000000"/>
                <w:kern w:val="0"/>
                <w:szCs w:val="21"/>
                <w:lang w:eastAsia="zh-CN"/>
              </w:rPr>
              <w:t>于开放日的开放时间内进行</w:t>
            </w:r>
            <w:r>
              <w:rPr>
                <w:rFonts w:hint="eastAsia" w:eastAsiaTheme="minorEastAsia"/>
                <w:bCs/>
                <w:color w:val="000000"/>
                <w:kern w:val="0"/>
                <w:szCs w:val="21"/>
                <w:lang w:val="en-US" w:eastAsia="zh-CN"/>
              </w:rPr>
              <w:t>普通</w:t>
            </w:r>
            <w:r>
              <w:rPr>
                <w:rFonts w:hint="eastAsia" w:eastAsiaTheme="minorEastAsia"/>
                <w:bCs/>
                <w:color w:val="000000"/>
                <w:kern w:val="0"/>
                <w:szCs w:val="21"/>
                <w:lang w:eastAsia="zh-CN"/>
              </w:rPr>
              <w:t>赎回，</w:t>
            </w:r>
            <w:r>
              <w:rPr>
                <w:rFonts w:hint="eastAsia" w:eastAsiaTheme="minorEastAsia"/>
                <w:bCs/>
                <w:color w:val="000000"/>
                <w:kern w:val="0"/>
                <w:szCs w:val="21"/>
                <w:lang w:val="en-US" w:eastAsia="zh-CN"/>
              </w:rPr>
              <w:t>T日非开放时间提交的普通赎回申请等同于下一开放日提交的普通赎回申请</w:t>
            </w:r>
            <w:r>
              <w:rPr>
                <w:rFonts w:hint="eastAsia" w:eastAsiaTheme="minorEastAsia"/>
                <w:bCs/>
                <w:color w:val="000000"/>
                <w:kern w:val="0"/>
                <w:szCs w:val="21"/>
                <w:lang w:eastAsia="zh-CN"/>
              </w:rPr>
              <w:t>。华夏理财有权调整按上述规则确定的开放日及开放时间，并在调整前3个工作日公告。</w:t>
            </w:r>
          </w:p>
          <w:p>
            <w:pPr>
              <w:autoSpaceDE w:val="0"/>
              <w:autoSpaceDN w:val="0"/>
              <w:adjustRightInd w:val="0"/>
              <w:spacing w:line="276" w:lineRule="auto"/>
              <w:ind w:left="0" w:leftChars="0" w:firstLine="420" w:firstLineChars="200"/>
              <w:jc w:val="both"/>
              <w:rPr>
                <w:rFonts w:hint="eastAsia" w:ascii="仿宋" w:hAnsi="仿宋" w:eastAsia="仿宋"/>
                <w:bCs/>
                <w:szCs w:val="21"/>
                <w:highlight w:val="none"/>
                <w:lang w:eastAsia="zh-CN"/>
              </w:rPr>
            </w:pPr>
            <w:r>
              <w:rPr>
                <w:rFonts w:hint="eastAsia" w:eastAsiaTheme="minorEastAsia"/>
                <w:bCs/>
                <w:color w:val="000000"/>
                <w:kern w:val="0"/>
                <w:szCs w:val="21"/>
                <w:lang w:eastAsia="zh-CN"/>
              </w:rPr>
              <w:t>本理财产品采取份额赎回的方式。投资者可选择全额或部分赎回，部分赎回后投资者持有本理财产品的实时余额低于理财账户最低保留限额时，将在赎回日末对投资者的剩余份额发起强制赎回。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lang w:eastAsia="zh-CN"/>
              </w:rPr>
              <w:t>本产品</w:t>
            </w:r>
            <w:r>
              <w:rPr>
                <w:rFonts w:hint="eastAsia" w:eastAsiaTheme="minorEastAsia"/>
                <w:bCs/>
                <w:color w:val="000000"/>
                <w:kern w:val="0"/>
                <w:szCs w:val="21"/>
                <w:lang w:val="en-US" w:eastAsia="zh-CN"/>
              </w:rPr>
              <w:t>100%投资于</w:t>
            </w:r>
            <w:r>
              <w:rPr>
                <w:rFonts w:hint="eastAsia" w:eastAsiaTheme="minorEastAsia"/>
                <w:bCs/>
                <w:color w:val="000000"/>
                <w:kern w:val="0"/>
                <w:szCs w:val="21"/>
                <w:lang w:eastAsia="zh-CN"/>
              </w:rPr>
              <w:t>货币市场工具、债券类资产、货币型公募证券投资基金以及符合上述投资范围的资产管理计划工具。包括但不限于：期限在一年以内（含一年）的银行存款、债券回购、中央银行票据、同业存单、国债、政策性金融债、地方政府债、短期融资券、超短期融资券、中期票据、企业债、公司债、非公开定向债务融资工具、资产支持证券、货币型公募证券投资基金及其他符合监管要求的债</w:t>
            </w:r>
            <w:r>
              <w:rPr>
                <w:rFonts w:hint="eastAsia" w:eastAsiaTheme="minorEastAsia"/>
                <w:bCs/>
                <w:color w:val="000000"/>
                <w:kern w:val="0"/>
                <w:szCs w:val="21"/>
                <w:lang w:val="en-US" w:eastAsia="zh-CN"/>
              </w:rPr>
              <w:t>券</w:t>
            </w:r>
            <w:r>
              <w:rPr>
                <w:rFonts w:hint="eastAsia" w:eastAsiaTheme="minorEastAsia"/>
                <w:bCs/>
                <w:color w:val="000000"/>
                <w:kern w:val="0"/>
                <w:szCs w:val="21"/>
                <w:lang w:eastAsia="zh-CN"/>
              </w:rPr>
              <w:t>类资产。</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eastAsiaTheme="minorEastAsia"/>
          <w:color w:val="000000"/>
          <w:sz w:val="24"/>
          <w:szCs w:val="24"/>
          <w:highlight w:val="none"/>
          <w:lang w:val="en-US" w:eastAsia="zh-CN"/>
        </w:rPr>
        <w:t>7、</w:t>
      </w:r>
      <w:r>
        <w:rPr>
          <w:rFonts w:hint="default" w:ascii="Times New Roman" w:hAnsi="Times New Roman" w:eastAsia="宋体" w:cs="Times New Roman"/>
          <w:color w:val="000000"/>
          <w:sz w:val="24"/>
          <w:szCs w:val="24"/>
          <w:highlight w:val="none"/>
          <w:lang w:val="en-US" w:eastAsia="zh-CN"/>
        </w:rPr>
        <w:t>共赢稳健91</w:t>
      </w:r>
      <w:r>
        <w:rPr>
          <w:rFonts w:hint="eastAsia" w:cs="Times New Roman"/>
          <w:color w:val="000000"/>
          <w:sz w:val="24"/>
          <w:szCs w:val="24"/>
          <w:highlight w:val="none"/>
          <w:lang w:val="en-US" w:eastAsia="zh-CN"/>
        </w:rPr>
        <w:t>天</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6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lang w:val="en-US" w:eastAsia="zh-CN"/>
              </w:rPr>
              <w:t>中信银行理财之共赢稳健周期91天理财产品新客专享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A20SC5393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75"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2021年9月6日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hint="default" w:eastAsiaTheme="minorEastAsia"/>
                <w:b/>
                <w:color w:val="000000"/>
                <w:kern w:val="0"/>
                <w:szCs w:val="21"/>
                <w:lang w:val="en-US" w:eastAsia="zh-CN"/>
              </w:rPr>
            </w:pPr>
            <w:r>
              <w:rPr>
                <w:rFonts w:hint="eastAsia" w:eastAsiaTheme="minorEastAsia"/>
                <w:b/>
                <w:color w:val="000000"/>
                <w:kern w:val="0"/>
                <w:szCs w:val="21"/>
                <w:lang w:eastAsia="zh-CN"/>
              </w:rPr>
              <w:t>产品到期日期</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2021年12月5日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产品预期年化收益率</w:t>
            </w:r>
          </w:p>
        </w:tc>
        <w:tc>
          <w:tcPr>
            <w:tcW w:w="3675"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24"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75" w:type="pct"/>
            <w:vAlign w:val="center"/>
          </w:tcPr>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本产品募集资金主要投资于：</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（1）货币市场类：现金、存款、货币基金、质押式回购和其他货币市场类资产；</w:t>
            </w:r>
          </w:p>
          <w:p>
            <w:pPr>
              <w:autoSpaceDE w:val="0"/>
              <w:autoSpaceDN w:val="0"/>
              <w:adjustRightInd w:val="0"/>
              <w:jc w:val="left"/>
              <w:rPr>
                <w:rFonts w:hint="eastAsia" w:eastAsiaTheme="minorEastAsia"/>
                <w:bCs/>
                <w:color w:val="000000"/>
                <w:kern w:val="0"/>
                <w:sz w:val="21"/>
                <w:szCs w:val="21"/>
                <w:lang w:val="en-US" w:eastAsia="zh-CN"/>
              </w:rPr>
            </w:pPr>
            <w:r>
              <w:rPr>
                <w:rFonts w:hint="eastAsia" w:eastAsiaTheme="minorEastAsia"/>
                <w:bCs/>
                <w:color w:val="000000"/>
                <w:kern w:val="0"/>
                <w:sz w:val="21"/>
                <w:szCs w:val="21"/>
                <w:lang w:val="en-US" w:eastAsia="zh-CN"/>
              </w:rPr>
              <w:t>（2）固定收益类：债券、资产支持证券、非公开定向债务融资工具、债券基金和其他固定收益类资产；</w:t>
            </w:r>
          </w:p>
          <w:p>
            <w:pPr>
              <w:autoSpaceDE w:val="0"/>
              <w:autoSpaceDN w:val="0"/>
              <w:adjustRightInd w:val="0"/>
              <w:spacing w:line="276" w:lineRule="auto"/>
              <w:jc w:val="left"/>
              <w:rPr>
                <w:rFonts w:eastAsiaTheme="minorEastAsia"/>
                <w:bCs/>
                <w:color w:val="000000"/>
                <w:kern w:val="0"/>
                <w:szCs w:val="21"/>
              </w:rPr>
            </w:pPr>
            <w:r>
              <w:rPr>
                <w:rFonts w:hint="eastAsia" w:eastAsiaTheme="minorEastAsia"/>
                <w:bCs/>
                <w:color w:val="000000"/>
                <w:kern w:val="0"/>
                <w:sz w:val="21"/>
                <w:szCs w:val="21"/>
                <w:lang w:val="en-US" w:eastAsia="zh-CN"/>
              </w:rPr>
              <w:t>（3）非标准化债权资产和其他类：符合监管机构要求的基金公司及其资产管理公司资产管理计划、证券公司及其资产管理公司资产管理计划、保险资产管理公司资产管理计划、信托计划、委托债权投资、人民币利率互换、人民币利率远期、信用风险缓释工具、国债期货及其他资产或者资产组合。</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default" w:ascii="Times New Roman" w:hAnsi="Times New Roman" w:cs="Times New Roman" w:eastAsiaTheme="minorEastAsia"/>
          <w:color w:val="000000"/>
          <w:sz w:val="24"/>
          <w:szCs w:val="24"/>
          <w:lang w:val="en-US" w:eastAsia="zh-CN"/>
        </w:rPr>
        <w:t>8、</w:t>
      </w:r>
      <w:r>
        <w:rPr>
          <w:rFonts w:hint="default" w:ascii="Times New Roman" w:hAnsi="Times New Roman" w:eastAsia="宋体" w:cs="Times New Roman"/>
          <w:sz w:val="24"/>
          <w:szCs w:val="24"/>
        </w:rPr>
        <w:t>华夏理财现金管理</w:t>
      </w:r>
      <w:r>
        <w:rPr>
          <w:rFonts w:hint="default" w:ascii="Times New Roman" w:hAnsi="Times New Roman" w:eastAsia="宋体" w:cs="Times New Roman"/>
          <w:sz w:val="24"/>
          <w:szCs w:val="24"/>
          <w:lang w:val="en-US" w:eastAsia="zh-CN"/>
        </w:rPr>
        <w:t>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华夏理财现金管理类理财产品</w:t>
            </w:r>
            <w:r>
              <w:rPr>
                <w:rFonts w:hint="eastAsia" w:eastAsiaTheme="minorEastAsia"/>
                <w:bCs/>
                <w:color w:val="000000"/>
                <w:kern w:val="0"/>
                <w:szCs w:val="21"/>
                <w:lang w:val="en-US" w:eastAsia="zh-CN"/>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default" w:ascii="Times New Roman" w:hAnsi="Times New Roman" w:eastAsia="等线" w:cs="Times New Roman"/>
                <w:bCs/>
                <w:szCs w:val="21"/>
                <w:highlight w:val="none"/>
              </w:rPr>
              <w:t>211</w:t>
            </w:r>
            <w:r>
              <w:rPr>
                <w:rFonts w:hint="default" w:ascii="Times New Roman" w:hAnsi="Times New Roman" w:eastAsia="等线" w:cs="Times New Roman"/>
                <w:bCs/>
                <w:szCs w:val="21"/>
                <w:highlight w:val="none"/>
                <w:lang w:val="en-US" w:eastAsia="zh-CN"/>
              </w:rPr>
              <w:t>9</w:t>
            </w:r>
            <w:r>
              <w:rPr>
                <w:rFonts w:hint="default" w:ascii="Times New Roman" w:hAnsi="Times New Roman" w:eastAsia="等线" w:cs="Times New Roman"/>
                <w:bCs/>
                <w:szCs w:val="21"/>
                <w:highlight w:val="none"/>
              </w:rPr>
              <w:t>987</w:t>
            </w:r>
            <w:r>
              <w:rPr>
                <w:rFonts w:hint="default" w:ascii="Times New Roman" w:hAnsi="Times New Roman" w:eastAsia="等线" w:cs="Times New Roman"/>
                <w:bCs/>
                <w:szCs w:val="21"/>
                <w:highlight w:val="none"/>
                <w:lang w:val="en-US" w:eastAsia="zh-CN"/>
              </w:rPr>
              <w:t>00101A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2021年9月27日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eastAsia="zh-CN"/>
              </w:rPr>
              <w:t>净值型（</w:t>
            </w:r>
            <w:r>
              <w:rPr>
                <w:rFonts w:hint="eastAsia" w:eastAsiaTheme="minorEastAsia"/>
                <w:bCs/>
                <w:color w:val="000000"/>
                <w:kern w:val="0"/>
                <w:szCs w:val="21"/>
              </w:rPr>
              <w:t>无</w:t>
            </w:r>
            <w:r>
              <w:rPr>
                <w:rFonts w:hint="eastAsia" w:eastAsiaTheme="minorEastAsia"/>
                <w:bCs/>
                <w:color w:val="000000"/>
                <w:kern w:val="0"/>
                <w:szCs w:val="21"/>
                <w:lang w:eastAsia="zh-CN"/>
              </w:rPr>
              <w:t>业绩基准，近</w:t>
            </w:r>
            <w:r>
              <w:rPr>
                <w:rFonts w:hint="eastAsia" w:eastAsiaTheme="minorEastAsia"/>
                <w:bCs/>
                <w:color w:val="000000"/>
                <w:kern w:val="0"/>
                <w:szCs w:val="21"/>
                <w:lang w:val="en-US" w:eastAsia="zh-CN"/>
              </w:rPr>
              <w:t>七日年化收益率为3.3520%</w:t>
            </w:r>
            <w:r>
              <w:rPr>
                <w:rFonts w:hint="eastAsia" w:eastAsiaTheme="minorEastAsia"/>
                <w:bCs/>
                <w:color w:val="000000"/>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lang w:val="en-US" w:eastAsia="zh-CN"/>
              </w:rPr>
              <w:t>赎回规定</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lang w:eastAsia="zh-CN"/>
              </w:rPr>
            </w:pPr>
            <w:r>
              <w:rPr>
                <w:rFonts w:hint="eastAsia" w:eastAsiaTheme="minorEastAsia"/>
                <w:bCs/>
                <w:color w:val="000000"/>
                <w:kern w:val="0"/>
                <w:szCs w:val="21"/>
                <w:lang w:eastAsia="zh-CN"/>
              </w:rPr>
              <w:t>每个开放日的开放时间</w:t>
            </w:r>
            <w:r>
              <w:rPr>
                <w:rFonts w:hint="eastAsia" w:eastAsiaTheme="minorEastAsia"/>
                <w:bCs/>
                <w:color w:val="000000"/>
                <w:kern w:val="0"/>
                <w:szCs w:val="21"/>
                <w:lang w:val="en-US" w:eastAsia="zh-CN"/>
              </w:rPr>
              <w:t>00:00-15:30，</w:t>
            </w:r>
            <w:r>
              <w:rPr>
                <w:rFonts w:hint="eastAsia" w:eastAsiaTheme="minorEastAsia"/>
                <w:bCs/>
                <w:color w:val="000000"/>
                <w:kern w:val="0"/>
                <w:szCs w:val="21"/>
                <w:lang w:eastAsia="zh-CN"/>
              </w:rPr>
              <w:t>投资者</w:t>
            </w:r>
            <w:r>
              <w:rPr>
                <w:rFonts w:hint="eastAsia" w:eastAsiaTheme="minorEastAsia"/>
                <w:bCs/>
                <w:color w:val="000000"/>
                <w:kern w:val="0"/>
                <w:szCs w:val="21"/>
                <w:lang w:val="en-US" w:eastAsia="zh-CN"/>
              </w:rPr>
              <w:t>可</w:t>
            </w:r>
            <w:r>
              <w:rPr>
                <w:rFonts w:hint="eastAsia" w:eastAsiaTheme="minorEastAsia"/>
                <w:bCs/>
                <w:color w:val="000000"/>
                <w:kern w:val="0"/>
                <w:szCs w:val="21"/>
                <w:lang w:eastAsia="zh-CN"/>
              </w:rPr>
              <w:t>于开放日的开放时间内进行</w:t>
            </w:r>
            <w:r>
              <w:rPr>
                <w:rFonts w:hint="eastAsia" w:eastAsiaTheme="minorEastAsia"/>
                <w:bCs/>
                <w:color w:val="000000"/>
                <w:kern w:val="0"/>
                <w:szCs w:val="21"/>
                <w:lang w:val="en-US" w:eastAsia="zh-CN"/>
              </w:rPr>
              <w:t>普通</w:t>
            </w:r>
            <w:r>
              <w:rPr>
                <w:rFonts w:hint="eastAsia" w:eastAsiaTheme="minorEastAsia"/>
                <w:bCs/>
                <w:color w:val="000000"/>
                <w:kern w:val="0"/>
                <w:szCs w:val="21"/>
                <w:lang w:eastAsia="zh-CN"/>
              </w:rPr>
              <w:t>赎回，</w:t>
            </w:r>
            <w:r>
              <w:rPr>
                <w:rFonts w:hint="eastAsia" w:eastAsiaTheme="minorEastAsia"/>
                <w:bCs/>
                <w:color w:val="000000"/>
                <w:kern w:val="0"/>
                <w:szCs w:val="21"/>
                <w:lang w:val="en-US" w:eastAsia="zh-CN"/>
              </w:rPr>
              <w:t>T日非开放时间提交的普通赎回申请等同于下一开放日提交的普通赎回申请</w:t>
            </w:r>
            <w:r>
              <w:rPr>
                <w:rFonts w:hint="eastAsia" w:eastAsiaTheme="minorEastAsia"/>
                <w:bCs/>
                <w:color w:val="000000"/>
                <w:kern w:val="0"/>
                <w:szCs w:val="21"/>
                <w:lang w:eastAsia="zh-CN"/>
              </w:rPr>
              <w:t>。华夏理财有权调整按上述规则确定的开放日及开放时间，并在调整前3个工作日公告。</w:t>
            </w:r>
          </w:p>
          <w:p>
            <w:pPr>
              <w:autoSpaceDE w:val="0"/>
              <w:autoSpaceDN w:val="0"/>
              <w:adjustRightInd w:val="0"/>
              <w:spacing w:line="276" w:lineRule="auto"/>
              <w:ind w:left="0" w:leftChars="0" w:firstLine="420" w:firstLineChars="200"/>
              <w:jc w:val="both"/>
              <w:rPr>
                <w:rFonts w:hint="eastAsia" w:ascii="仿宋" w:hAnsi="仿宋" w:eastAsia="仿宋"/>
                <w:bCs/>
                <w:szCs w:val="21"/>
                <w:highlight w:val="none"/>
                <w:lang w:eastAsia="zh-CN"/>
              </w:rPr>
            </w:pPr>
            <w:r>
              <w:rPr>
                <w:rFonts w:hint="eastAsia" w:eastAsiaTheme="minorEastAsia"/>
                <w:bCs/>
                <w:color w:val="000000"/>
                <w:kern w:val="0"/>
                <w:szCs w:val="21"/>
                <w:lang w:eastAsia="zh-CN"/>
              </w:rPr>
              <w:t>本理财产品采取份额赎回的方式。投资者可选择全额或部分赎回，部分赎回后投资者持有本理财产品的实时余额低于理财账户最低保留限额时，将在赎回日末对投资者的剩余份额发起强制赎回。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lang w:eastAsia="zh-CN"/>
              </w:rPr>
              <w:t>本产品</w:t>
            </w:r>
            <w:r>
              <w:rPr>
                <w:rFonts w:hint="eastAsia" w:eastAsiaTheme="minorEastAsia"/>
                <w:bCs/>
                <w:color w:val="000000"/>
                <w:kern w:val="0"/>
                <w:szCs w:val="21"/>
                <w:lang w:val="en-US" w:eastAsia="zh-CN"/>
              </w:rPr>
              <w:t>100%投资于</w:t>
            </w:r>
            <w:r>
              <w:rPr>
                <w:rFonts w:hint="eastAsia" w:eastAsiaTheme="minorEastAsia"/>
                <w:bCs/>
                <w:color w:val="000000"/>
                <w:kern w:val="0"/>
                <w:szCs w:val="21"/>
                <w:lang w:eastAsia="zh-CN"/>
              </w:rPr>
              <w:t>货币市场工具、债券类资产、货币型公募证券投资基金以及符合上述投资范围的资产管理计划工具。包括但不限于：期限在一年以内（含一年）的银行存款、债券回购、中央银行票据、同业存单、国债、政策性金融债、地方政府债、短期融资券、超短期融资券、中期票据、企业债、公司债、非公开定向债务融资工具、资产支持证券、货币型公募证券投资基金及其他符合监管要求的债</w:t>
            </w:r>
            <w:r>
              <w:rPr>
                <w:rFonts w:hint="eastAsia" w:eastAsiaTheme="minorEastAsia"/>
                <w:bCs/>
                <w:color w:val="000000"/>
                <w:kern w:val="0"/>
                <w:szCs w:val="21"/>
                <w:lang w:val="en-US" w:eastAsia="zh-CN"/>
              </w:rPr>
              <w:t>券</w:t>
            </w:r>
            <w:r>
              <w:rPr>
                <w:rFonts w:hint="eastAsia" w:eastAsiaTheme="minorEastAsia"/>
                <w:bCs/>
                <w:color w:val="000000"/>
                <w:kern w:val="0"/>
                <w:szCs w:val="21"/>
                <w:lang w:eastAsia="zh-CN"/>
              </w:rPr>
              <w:t>类资产。</w:t>
            </w:r>
          </w:p>
        </w:tc>
      </w:tr>
    </w:tbl>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9、</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420" w:firstLineChars="20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420" w:firstLineChars="200"/>
              <w:jc w:val="center"/>
              <w:rPr>
                <w:rFonts w:hint="eastAsia" w:eastAsiaTheme="minorEastAsia"/>
                <w:bCs/>
                <w:color w:val="000000"/>
                <w:kern w:val="0"/>
                <w:szCs w:val="21"/>
              </w:rPr>
            </w:pPr>
            <w:r>
              <w:rPr>
                <w:rFonts w:hint="eastAsia" w:eastAsiaTheme="minorEastAsia"/>
                <w:bCs/>
                <w:color w:val="000000"/>
                <w:kern w:val="0"/>
                <w:szCs w:val="21"/>
              </w:rPr>
              <w:t>固定收益类集合资产管理计划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09</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29</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10</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13</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投资于超出上述投资范围的其他金融产品，须各方协商一致并按照合同变更流程对产品合同进行修改。</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法律法规或中国证监会允许集合计划投资其他品种的，或管理人拟变更本集合计划的投向和比例的，管理人在事先取得投资者同意并履行合同变更程序后，可以调整本计划的投资范围和投资比例。</w:t>
            </w:r>
          </w:p>
        </w:tc>
      </w:tr>
    </w:tbl>
    <w:p>
      <w:pPr>
        <w:widowControl/>
        <w:spacing w:before="156" w:beforeLines="50" w:after="156" w:afterLines="50" w:line="360" w:lineRule="auto"/>
        <w:ind w:left="0" w:leftChars="0" w:firstLine="0" w:firstLineChars="0"/>
        <w:jc w:val="left"/>
        <w:rPr>
          <w:rFonts w:hint="default" w:eastAsiaTheme="minorEastAsia"/>
          <w:color w:val="000000"/>
          <w:sz w:val="24"/>
          <w:szCs w:val="24"/>
          <w:highlight w:val="none"/>
          <w:lang w:val="en-US" w:eastAsia="zh-CN"/>
        </w:rPr>
      </w:pPr>
      <w:r>
        <w:rPr>
          <w:rFonts w:hint="eastAsia" w:eastAsiaTheme="minorEastAsia"/>
          <w:color w:val="000000"/>
          <w:sz w:val="24"/>
          <w:szCs w:val="24"/>
          <w:highlight w:val="none"/>
          <w:lang w:val="en-US" w:eastAsia="zh-CN"/>
        </w:rPr>
        <w:t>10、</w:t>
      </w:r>
      <w:r>
        <w:rPr>
          <w:rFonts w:ascii="宋体" w:hAnsi="宋体" w:eastAsia="宋体" w:cs="宋体"/>
          <w:sz w:val="24"/>
          <w:szCs w:val="24"/>
        </w:rPr>
        <w:t>赢家易精灵</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赢家易精灵GKF12001期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产品代码</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eastAsia" w:eastAsiaTheme="minorEastAsia"/>
                <w:bCs/>
                <w:color w:val="000000"/>
                <w:kern w:val="0"/>
                <w:szCs w:val="21"/>
              </w:rPr>
              <w:t>GKF12001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产品期限</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lang w:eastAsia="zh-CN"/>
              </w:rPr>
            </w:pPr>
            <w:r>
              <w:rPr>
                <w:rFonts w:hint="eastAsia" w:eastAsiaTheme="minorEastAsia"/>
                <w:bCs/>
                <w:color w:val="000000"/>
                <w:kern w:val="0"/>
                <w:szCs w:val="21"/>
                <w:lang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rPr>
            </w:pPr>
            <w:r>
              <w:rPr>
                <w:rFonts w:hint="eastAsia" w:eastAsiaTheme="minorEastAsia"/>
                <w:bCs/>
                <w:color w:val="000000"/>
                <w:kern w:val="0"/>
                <w:szCs w:val="21"/>
              </w:rPr>
              <w:t>1,</w:t>
            </w:r>
            <w:r>
              <w:rPr>
                <w:rFonts w:hint="eastAsia" w:eastAsiaTheme="minorEastAsia"/>
                <w:bCs/>
                <w:color w:val="000000"/>
                <w:kern w:val="0"/>
                <w:szCs w:val="21"/>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lang w:eastAsia="zh-CN"/>
              </w:rPr>
              <w:t>非</w:t>
            </w:r>
            <w:r>
              <w:rPr>
                <w:rFonts w:hint="eastAsia" w:eastAsiaTheme="minorEastAsia"/>
                <w:bCs/>
                <w:color w:val="000000"/>
                <w:kern w:val="0"/>
                <w:szCs w:val="21"/>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autoSpaceDE w:val="0"/>
              <w:autoSpaceDN w:val="0"/>
              <w:adjustRightInd w:val="0"/>
              <w:spacing w:line="276" w:lineRule="auto"/>
              <w:ind w:firstLine="420" w:firstLineChars="200"/>
              <w:jc w:val="center"/>
              <w:rPr>
                <w:rFonts w:hint="eastAsia" w:eastAsiaTheme="minorEastAsia"/>
                <w:bCs/>
                <w:color w:val="000000"/>
                <w:kern w:val="0"/>
                <w:szCs w:val="21"/>
              </w:rPr>
            </w:pPr>
            <w:r>
              <w:rPr>
                <w:rFonts w:hint="eastAsia" w:eastAsiaTheme="minorEastAsia"/>
                <w:bCs/>
                <w:color w:val="000000"/>
                <w:kern w:val="0"/>
                <w:szCs w:val="21"/>
              </w:rPr>
              <w:t>202</w:t>
            </w:r>
            <w:r>
              <w:rPr>
                <w:rFonts w:hint="eastAsia" w:eastAsiaTheme="minorEastAsia"/>
                <w:bCs/>
                <w:color w:val="000000"/>
                <w:kern w:val="0"/>
                <w:szCs w:val="21"/>
                <w:lang w:val="en-US" w:eastAsia="zh-CN"/>
              </w:rPr>
              <w:t>1</w:t>
            </w:r>
            <w:r>
              <w:rPr>
                <w:rFonts w:hint="eastAsia" w:eastAsiaTheme="minorEastAsia"/>
                <w:bCs/>
                <w:color w:val="000000"/>
                <w:kern w:val="0"/>
                <w:szCs w:val="21"/>
              </w:rPr>
              <w:t>年</w:t>
            </w:r>
            <w:r>
              <w:rPr>
                <w:rFonts w:hint="eastAsia" w:eastAsiaTheme="minorEastAsia"/>
                <w:bCs/>
                <w:color w:val="000000"/>
                <w:kern w:val="0"/>
                <w:szCs w:val="21"/>
                <w:lang w:val="en-US" w:eastAsia="zh-CN"/>
              </w:rPr>
              <w:t>9</w:t>
            </w:r>
            <w:r>
              <w:rPr>
                <w:rFonts w:hint="eastAsia" w:eastAsiaTheme="minorEastAsia"/>
                <w:bCs/>
                <w:color w:val="000000"/>
                <w:kern w:val="0"/>
                <w:szCs w:val="21"/>
              </w:rPr>
              <w:t>月</w:t>
            </w:r>
            <w:r>
              <w:rPr>
                <w:rFonts w:hint="eastAsia" w:eastAsiaTheme="minorEastAsia"/>
                <w:bCs/>
                <w:color w:val="000000"/>
                <w:kern w:val="0"/>
                <w:szCs w:val="21"/>
                <w:lang w:val="en-US" w:eastAsia="zh-CN"/>
              </w:rPr>
              <w:t>30</w:t>
            </w:r>
            <w:r>
              <w:rPr>
                <w:rFonts w:hint="eastAsia" w:eastAsiaTheme="minorEastAsia"/>
                <w:bCs/>
                <w:color w:val="000000"/>
                <w:kern w:val="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产品预期年化收益率</w:t>
            </w:r>
          </w:p>
        </w:tc>
        <w:tc>
          <w:tcPr>
            <w:tcW w:w="3636" w:type="pct"/>
            <w:vAlign w:val="center"/>
          </w:tcPr>
          <w:p>
            <w:pPr>
              <w:autoSpaceDE w:val="0"/>
              <w:autoSpaceDN w:val="0"/>
              <w:adjustRightInd w:val="0"/>
              <w:spacing w:line="276" w:lineRule="auto"/>
              <w:ind w:firstLine="420" w:firstLineChars="20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rPr>
              <w:t>资金投向</w:t>
            </w:r>
          </w:p>
        </w:tc>
        <w:tc>
          <w:tcPr>
            <w:tcW w:w="3636" w:type="pct"/>
            <w:vAlign w:val="center"/>
          </w:tcPr>
          <w:p>
            <w:pPr>
              <w:autoSpaceDE w:val="0"/>
              <w:autoSpaceDN w:val="0"/>
              <w:adjustRightInd w:val="0"/>
              <w:spacing w:line="276" w:lineRule="auto"/>
              <w:jc w:val="both"/>
              <w:rPr>
                <w:rFonts w:hint="eastAsia" w:eastAsiaTheme="minorEastAsia"/>
                <w:bCs/>
                <w:color w:val="000000"/>
                <w:kern w:val="0"/>
                <w:szCs w:val="21"/>
              </w:rPr>
            </w:pPr>
            <w:r>
              <w:rPr>
                <w:rFonts w:hint="eastAsia" w:eastAsiaTheme="minorEastAsia"/>
                <w:bCs/>
                <w:color w:val="000000"/>
                <w:kern w:val="0"/>
                <w:szCs w:val="21"/>
                <w:lang w:eastAsia="zh-CN"/>
              </w:rPr>
              <w:t>本理财计划投资于银行间和交易所市场信用级别较高、流动性较好的金融资产和金融工具，包括但不限于债券、资产支持证券、资金拆借、逆回购、银行存款、券商收益凭证等资产，并可投资信托计划、资产管理计划（含不良信贷资产受益权）等其他金融资产。</w:t>
            </w:r>
          </w:p>
        </w:tc>
      </w:tr>
    </w:tbl>
    <w:p>
      <w:pPr>
        <w:widowControl/>
        <w:spacing w:before="156" w:beforeLines="50" w:after="156" w:afterLines="50" w:line="360" w:lineRule="auto"/>
        <w:ind w:left="0" w:leftChars="0" w:firstLine="0" w:firstLineChars="0"/>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11、</w:t>
      </w:r>
      <w:r>
        <w:rPr>
          <w:rFonts w:hint="default" w:ascii="Times New Roman" w:hAnsi="Times New Roman" w:cs="Times New Roman"/>
          <w:sz w:val="24"/>
          <w:szCs w:val="24"/>
          <w:lang w:val="en-US" w:eastAsia="zh-CN"/>
        </w:rPr>
        <w:t>安顺1号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3"/>
        <w:gridCol w:w="6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产品名称</w:t>
            </w:r>
          </w:p>
        </w:tc>
        <w:tc>
          <w:tcPr>
            <w:tcW w:w="3636" w:type="pct"/>
            <w:vAlign w:val="center"/>
          </w:tcPr>
          <w:p>
            <w:pPr>
              <w:autoSpaceDE w:val="0"/>
              <w:autoSpaceDN w:val="0"/>
              <w:adjustRightInd w:val="0"/>
              <w:spacing w:line="276" w:lineRule="auto"/>
              <w:ind w:left="0" w:leftChars="0" w:firstLine="420" w:firstLineChars="200"/>
              <w:jc w:val="center"/>
              <w:rPr>
                <w:rFonts w:hint="eastAsia" w:eastAsiaTheme="minorEastAsia"/>
                <w:bCs/>
                <w:color w:val="000000"/>
                <w:kern w:val="0"/>
                <w:szCs w:val="21"/>
              </w:rPr>
            </w:pPr>
            <w:r>
              <w:rPr>
                <w:rFonts w:hint="eastAsia" w:eastAsiaTheme="minorEastAsia"/>
                <w:bCs/>
                <w:color w:val="000000"/>
                <w:kern w:val="0"/>
                <w:szCs w:val="21"/>
                <w:lang w:eastAsia="zh-CN"/>
              </w:rPr>
              <w:t>国融证券国融安顺</w:t>
            </w:r>
            <w:r>
              <w:rPr>
                <w:rFonts w:hint="eastAsia" w:eastAsiaTheme="minorEastAsia"/>
                <w:bCs/>
                <w:color w:val="000000"/>
                <w:kern w:val="0"/>
                <w:szCs w:val="21"/>
                <w:lang w:val="en-US" w:eastAsia="zh-CN"/>
              </w:rPr>
              <w:t>1号集合资产管理计划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产品类型</w:t>
            </w:r>
          </w:p>
        </w:tc>
        <w:tc>
          <w:tcPr>
            <w:tcW w:w="3636" w:type="pct"/>
            <w:vAlign w:val="center"/>
          </w:tcPr>
          <w:p>
            <w:pPr>
              <w:autoSpaceDE w:val="0"/>
              <w:autoSpaceDN w:val="0"/>
              <w:adjustRightInd w:val="0"/>
              <w:spacing w:line="276" w:lineRule="auto"/>
              <w:ind w:left="0" w:leftChars="0" w:firstLine="420" w:firstLineChars="200"/>
              <w:jc w:val="center"/>
              <w:rPr>
                <w:rFonts w:hint="eastAsia" w:eastAsiaTheme="minorEastAsia"/>
                <w:bCs/>
                <w:color w:val="000000"/>
                <w:kern w:val="0"/>
                <w:szCs w:val="21"/>
              </w:rPr>
            </w:pPr>
            <w:r>
              <w:rPr>
                <w:rFonts w:hint="eastAsia" w:eastAsiaTheme="minorEastAsia"/>
                <w:bCs/>
                <w:color w:val="000000"/>
                <w:kern w:val="0"/>
                <w:szCs w:val="21"/>
              </w:rPr>
              <w:t>固定收益类集合资产管理计划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eastAsia="zh-CN" w:bidi="ar"/>
              </w:rPr>
              <w:t>产品期限</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val="en-US" w:eastAsia="zh-CN" w:bidi="ar"/>
              </w:rPr>
              <w:t>7</w:t>
            </w:r>
            <w:r>
              <w:rPr>
                <w:rFonts w:eastAsiaTheme="minorEastAsia"/>
                <w:color w:val="000000"/>
                <w:kern w:val="0"/>
                <w:szCs w:val="21"/>
                <w:highlight w:val="none"/>
                <w:lang w:bidi="ar"/>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本金（万元）</w:t>
            </w:r>
          </w:p>
        </w:tc>
        <w:tc>
          <w:tcPr>
            <w:tcW w:w="3636" w:type="pct"/>
            <w:vAlign w:val="center"/>
          </w:tcPr>
          <w:p>
            <w:pPr>
              <w:widowControl/>
              <w:spacing w:line="276" w:lineRule="auto"/>
              <w:jc w:val="center"/>
              <w:textAlignment w:val="center"/>
              <w:rPr>
                <w:rFonts w:hint="default" w:eastAsiaTheme="minorEastAsia"/>
                <w:bCs/>
                <w:color w:val="000000"/>
                <w:kern w:val="0"/>
                <w:szCs w:val="21"/>
                <w:highlight w:val="none"/>
                <w:lang w:val="en-US" w:eastAsia="zh-CN"/>
              </w:rPr>
            </w:pPr>
            <w:r>
              <w:rPr>
                <w:rFonts w:hint="eastAsia" w:eastAsiaTheme="minorEastAsia"/>
                <w:color w:val="000000"/>
                <w:kern w:val="0"/>
                <w:szCs w:val="21"/>
                <w:highlight w:val="none"/>
                <w:lang w:val="en-US" w:eastAsia="zh-CN" w:bidi="ar"/>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收益类型</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hint="eastAsia" w:eastAsiaTheme="minorEastAsia"/>
                <w:color w:val="000000"/>
                <w:kern w:val="0"/>
                <w:szCs w:val="21"/>
                <w:highlight w:val="none"/>
                <w:lang w:eastAsia="zh-CN" w:bidi="ar"/>
              </w:rPr>
              <w:t>非</w:t>
            </w:r>
            <w:r>
              <w:rPr>
                <w:rFonts w:eastAsiaTheme="minorEastAsia"/>
                <w:color w:val="000000"/>
                <w:kern w:val="0"/>
                <w:szCs w:val="21"/>
                <w:highlight w:val="none"/>
                <w:lang w:bidi="ar"/>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rPr>
            </w:pPr>
            <w:r>
              <w:rPr>
                <w:rFonts w:eastAsiaTheme="minorEastAsia"/>
                <w:b/>
                <w:color w:val="000000"/>
                <w:kern w:val="0"/>
                <w:szCs w:val="21"/>
                <w:lang w:bidi="ar"/>
              </w:rPr>
              <w:t>产品起息日期</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10</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14</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rPr>
            </w:pPr>
            <w:r>
              <w:rPr>
                <w:rFonts w:hint="eastAsia" w:eastAsiaTheme="minorEastAsia"/>
                <w:b/>
                <w:color w:val="000000"/>
                <w:kern w:val="0"/>
                <w:szCs w:val="21"/>
                <w:lang w:val="en-US" w:eastAsia="zh-CN"/>
              </w:rPr>
              <w:t>首个滚存到期日</w:t>
            </w:r>
          </w:p>
        </w:tc>
        <w:tc>
          <w:tcPr>
            <w:tcW w:w="3636" w:type="pct"/>
            <w:vAlign w:val="center"/>
          </w:tcPr>
          <w:p>
            <w:pPr>
              <w:widowControl/>
              <w:spacing w:line="276" w:lineRule="auto"/>
              <w:jc w:val="center"/>
              <w:textAlignment w:val="center"/>
              <w:rPr>
                <w:rFonts w:eastAsiaTheme="minorEastAsia"/>
                <w:bCs/>
                <w:color w:val="000000"/>
                <w:kern w:val="0"/>
                <w:szCs w:val="21"/>
                <w:highlight w:val="none"/>
              </w:rPr>
            </w:pPr>
            <w:r>
              <w:rPr>
                <w:rFonts w:eastAsiaTheme="minorEastAsia"/>
                <w:color w:val="000000"/>
                <w:kern w:val="0"/>
                <w:szCs w:val="21"/>
                <w:highlight w:val="none"/>
                <w:lang w:bidi="ar"/>
              </w:rPr>
              <w:t>202</w:t>
            </w:r>
            <w:r>
              <w:rPr>
                <w:rFonts w:hint="eastAsia" w:eastAsiaTheme="minorEastAsia"/>
                <w:color w:val="000000"/>
                <w:kern w:val="0"/>
                <w:szCs w:val="21"/>
                <w:highlight w:val="none"/>
                <w:lang w:val="en-US" w:eastAsia="zh-CN" w:bidi="ar"/>
              </w:rPr>
              <w:t>1</w:t>
            </w:r>
            <w:r>
              <w:rPr>
                <w:rFonts w:eastAsiaTheme="minorEastAsia"/>
                <w:color w:val="000000"/>
                <w:kern w:val="0"/>
                <w:szCs w:val="21"/>
                <w:highlight w:val="none"/>
                <w:lang w:bidi="ar"/>
              </w:rPr>
              <w:t>年</w:t>
            </w:r>
            <w:r>
              <w:rPr>
                <w:rFonts w:hint="eastAsia" w:eastAsiaTheme="minorEastAsia"/>
                <w:color w:val="000000"/>
                <w:kern w:val="0"/>
                <w:szCs w:val="21"/>
                <w:highlight w:val="none"/>
                <w:lang w:val="en-US" w:eastAsia="zh-CN" w:bidi="ar"/>
              </w:rPr>
              <w:t>10</w:t>
            </w:r>
            <w:r>
              <w:rPr>
                <w:rFonts w:eastAsiaTheme="minorEastAsia"/>
                <w:color w:val="000000"/>
                <w:kern w:val="0"/>
                <w:szCs w:val="21"/>
                <w:highlight w:val="none"/>
                <w:lang w:bidi="ar"/>
              </w:rPr>
              <w:t>月</w:t>
            </w:r>
            <w:r>
              <w:rPr>
                <w:rFonts w:hint="eastAsia" w:eastAsiaTheme="minorEastAsia"/>
                <w:color w:val="000000"/>
                <w:kern w:val="0"/>
                <w:szCs w:val="21"/>
                <w:highlight w:val="none"/>
                <w:lang w:val="en-US" w:eastAsia="zh-CN" w:bidi="ar"/>
              </w:rPr>
              <w:t>21</w:t>
            </w:r>
            <w:r>
              <w:rPr>
                <w:rFonts w:eastAsiaTheme="minorEastAsia"/>
                <w:color w:val="000000"/>
                <w:kern w:val="0"/>
                <w:szCs w:val="21"/>
                <w:highlight w:val="none"/>
                <w:lang w:bidi="ar"/>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eastAsiaTheme="minorEastAsia"/>
                <w:b/>
                <w:color w:val="000000"/>
                <w:kern w:val="0"/>
                <w:szCs w:val="21"/>
                <w:highlight w:val="none"/>
              </w:rPr>
            </w:pPr>
            <w:r>
              <w:rPr>
                <w:rFonts w:hint="eastAsia" w:eastAsiaTheme="minorEastAsia"/>
                <w:b/>
                <w:color w:val="000000"/>
                <w:kern w:val="0"/>
                <w:szCs w:val="21"/>
                <w:lang w:eastAsia="zh-CN"/>
              </w:rPr>
              <w:t>产品预期年化收益率</w:t>
            </w:r>
          </w:p>
        </w:tc>
        <w:tc>
          <w:tcPr>
            <w:tcW w:w="3636" w:type="pct"/>
            <w:vAlign w:val="center"/>
          </w:tcPr>
          <w:p>
            <w:pPr>
              <w:keepNext w:val="0"/>
              <w:keepLines w:val="0"/>
              <w:pageBreakBefore w:val="0"/>
              <w:widowControl/>
              <w:kinsoku/>
              <w:wordWrap/>
              <w:overflowPunct/>
              <w:topLinePunct w:val="0"/>
              <w:bidi w:val="0"/>
              <w:snapToGrid/>
              <w:spacing w:line="240" w:lineRule="auto"/>
              <w:jc w:val="center"/>
              <w:textAlignment w:val="auto"/>
              <w:rPr>
                <w:rFonts w:hint="default" w:ascii="Times New Roman" w:hAnsi="Times New Roman" w:eastAsia="宋体" w:cs="Times New Roman"/>
                <w:color w:val="000000"/>
                <w:kern w:val="2"/>
                <w:sz w:val="21"/>
                <w:szCs w:val="21"/>
                <w:highlight w:val="none"/>
                <w:vertAlign w:val="baseline"/>
                <w:lang w:val="en-US" w:eastAsia="zh-CN" w:bidi="ar-SA"/>
              </w:rPr>
            </w:pPr>
            <w:r>
              <w:rPr>
                <w:rFonts w:hint="eastAsia" w:cs="Times New Roman"/>
                <w:color w:val="000000"/>
                <w:sz w:val="21"/>
                <w:szCs w:val="21"/>
                <w:highlight w:val="none"/>
                <w:vertAlign w:val="baseline"/>
                <w:lang w:val="en-US" w:eastAsia="zh-CN"/>
              </w:rPr>
              <w:t>净值型（</w:t>
            </w:r>
            <w:r>
              <w:rPr>
                <w:rFonts w:hint="eastAsia" w:eastAsiaTheme="minorEastAsia"/>
                <w:bCs/>
                <w:color w:val="000000"/>
                <w:kern w:val="0"/>
                <w:szCs w:val="21"/>
                <w:highlight w:val="none"/>
                <w:lang w:val="en-US" w:eastAsia="zh-CN"/>
              </w:rPr>
              <w:t>本集合资产管理计划为净值型产品，其业绩表现将随市场波动。本资产管理计划业绩计提标准为4.5%/年）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rPr>
              <w:t>开放期</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color w:val="000000"/>
                <w:spacing w:val="0"/>
                <w:w w:val="100"/>
                <w:position w:val="0"/>
              </w:rPr>
              <w:t>本集合计划采用定期开放，每周三开放一次，如果周三为节假日，则顺延至下一周周三。因展期、合同的补充、修改或者变更需要，管理人</w:t>
            </w:r>
            <w:r>
              <w:rPr>
                <w:color w:val="000000"/>
                <w:spacing w:val="0"/>
                <w:w w:val="100"/>
                <w:position w:val="0"/>
                <w:highlight w:val="none"/>
              </w:rPr>
              <w:t>有权设置临时开放期并予以公告</w:t>
            </w:r>
            <w:r>
              <w:rPr>
                <w:color w:val="000000"/>
                <w:spacing w:val="0"/>
                <w:w w:val="100"/>
                <w:position w:val="0"/>
              </w:rPr>
              <w:t>生效。临时开放期只接受投资者的退出申请。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widowControl/>
              <w:spacing w:line="276" w:lineRule="auto"/>
              <w:jc w:val="center"/>
              <w:textAlignment w:val="center"/>
              <w:rPr>
                <w:rFonts w:hint="eastAsia" w:eastAsiaTheme="minorEastAsia"/>
                <w:b/>
                <w:color w:val="000000"/>
                <w:kern w:val="0"/>
                <w:szCs w:val="21"/>
                <w:lang w:eastAsia="zh-CN" w:bidi="ar"/>
              </w:rPr>
            </w:pPr>
            <w:r>
              <w:rPr>
                <w:rFonts w:hint="eastAsia" w:eastAsiaTheme="minorEastAsia"/>
                <w:b/>
                <w:color w:val="000000"/>
                <w:kern w:val="0"/>
                <w:szCs w:val="21"/>
                <w:lang w:eastAsia="zh-CN" w:bidi="ar"/>
              </w:rPr>
              <w:t>资金投向</w:t>
            </w:r>
          </w:p>
        </w:tc>
        <w:tc>
          <w:tcPr>
            <w:tcW w:w="3636" w:type="pct"/>
            <w:vAlign w:val="center"/>
          </w:tcPr>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本集合计划将主要投资于债券、公开募集的基金及现金类资产等以及法律法规或中国证监会认可的其他投资品种。其中投资于存款、债券等债权类资产的比例不低于80%,具体为：</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固定收益类：现金、货币市场基金、银行存款、债券回购、在银行间市场和交易所市场交易的国债、央行票据、各类金融债（含政策性金融债、次级债、混合资本债、二级资本债、证券公司债、证券公司次级债券、非银行金融机构债等）、方政府债、企业债、公司债（包括在证券交易所及机构间私募产品报价与服务系统发行的非公开发行公司债等）、项目收益债、可转换债券、可交换债券、可分离交易债券、短期融资券、超短期融资券、中期票据、资产支持证券优先级（底层资产非产品）、永续债、同业存单以及非公开定向债务融资工具（PPN）等，该类资产的投资比例为集合计划总资产的80-100%；</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其他类产品：公募基金等，该类资产的投资比例为集合计划总资产的0-20%（不含）固定收益类按照该资产的市值占整个资产管理计划总值的比例来计算。</w:t>
            </w:r>
          </w:p>
          <w:p>
            <w:pPr>
              <w:widowControl/>
              <w:spacing w:line="276" w:lineRule="auto"/>
              <w:ind w:firstLine="420" w:firstLineChars="200"/>
              <w:jc w:val="left"/>
              <w:textAlignment w:val="center"/>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lang w:eastAsia="zh-CN"/>
              </w:rPr>
              <w:t>投资于超出上述投资范围的其他金融产品，须各方协商一致并按照合同变更流程对产品合同进行修改。</w:t>
            </w:r>
          </w:p>
          <w:p>
            <w:pPr>
              <w:widowControl/>
              <w:spacing w:line="276" w:lineRule="auto"/>
              <w:ind w:firstLine="420" w:firstLineChars="200"/>
              <w:jc w:val="left"/>
              <w:textAlignment w:val="center"/>
              <w:rPr>
                <w:rFonts w:hint="default" w:ascii="Times New Roman" w:hAnsi="Times New Roman" w:cs="Times New Roman"/>
                <w:sz w:val="21"/>
                <w:szCs w:val="21"/>
                <w:highlight w:val="yellow"/>
                <w:lang w:eastAsia="zh-CN"/>
              </w:rPr>
            </w:pPr>
            <w:r>
              <w:rPr>
                <w:rFonts w:hint="default" w:ascii="Times New Roman" w:hAnsi="Times New Roman" w:cs="Times New Roman"/>
                <w:sz w:val="21"/>
                <w:szCs w:val="21"/>
                <w:highlight w:val="none"/>
                <w:lang w:eastAsia="zh-CN"/>
              </w:rPr>
              <w:t>法律法规或中国证监会允许集合计划投资其他品种的，或管理人拟变更本集合计划的投向和比例的，管理人在事先取得投资者同意并履行合同变更程序后，可以调整本计划的投资范围和投资比例。</w:t>
            </w:r>
          </w:p>
        </w:tc>
      </w:tr>
    </w:tbl>
    <w:p>
      <w:pPr>
        <w:widowControl/>
        <w:numPr>
          <w:ilvl w:val="0"/>
          <w:numId w:val="0"/>
        </w:numPr>
        <w:spacing w:before="156" w:beforeLines="50" w:after="156" w:afterLines="50" w:line="360" w:lineRule="auto"/>
        <w:jc w:val="both"/>
        <w:rPr>
          <w:rFonts w:hint="default" w:ascii="Times New Roman" w:hAnsi="Times New Roman" w:cs="Times New Roman" w:eastAsiaTheme="minorEastAsia"/>
          <w:color w:val="000000"/>
          <w:sz w:val="24"/>
          <w:szCs w:val="24"/>
          <w:lang w:val="en-US" w:eastAsia="zh-CN"/>
        </w:rPr>
      </w:pPr>
      <w:r>
        <w:rPr>
          <w:rFonts w:hint="eastAsia" w:cs="Times New Roman" w:eastAsiaTheme="minorEastAsia"/>
          <w:color w:val="000000"/>
          <w:sz w:val="24"/>
          <w:szCs w:val="24"/>
          <w:lang w:val="en-US" w:eastAsia="zh-CN"/>
        </w:rPr>
        <w:t>12、</w:t>
      </w:r>
      <w:r>
        <w:rPr>
          <w:rFonts w:hint="eastAsia" w:ascii="Times New Roman" w:hAnsi="Times New Roman" w:eastAsia="宋体" w:cs="Times New Roman"/>
          <w:color w:val="000000"/>
          <w:sz w:val="24"/>
          <w:szCs w:val="24"/>
          <w:highlight w:val="none"/>
          <w:lang w:val="en-US" w:eastAsia="zh-CN"/>
        </w:rPr>
        <w:t>华夏理财现金管理1号</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8"/>
        <w:gridCol w:w="6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产品名称</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eastAsia" w:eastAsiaTheme="minorEastAsia"/>
                <w:bCs/>
                <w:color w:val="000000"/>
                <w:kern w:val="0"/>
                <w:szCs w:val="21"/>
              </w:rPr>
              <w:t>华夏理财现金管理类理财产品</w:t>
            </w:r>
            <w:r>
              <w:rPr>
                <w:rFonts w:hint="eastAsia" w:eastAsiaTheme="minorEastAsia"/>
                <w:bCs/>
                <w:color w:val="000000"/>
                <w:kern w:val="0"/>
                <w:szCs w:val="21"/>
                <w:lang w:val="en-US" w:eastAsia="zh-CN"/>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产品代码</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hint="default" w:ascii="Times New Roman" w:hAnsi="Times New Roman" w:eastAsia="等线" w:cs="Times New Roman"/>
                <w:bCs/>
                <w:szCs w:val="21"/>
                <w:highlight w:val="none"/>
              </w:rPr>
              <w:t>211</w:t>
            </w:r>
            <w:r>
              <w:rPr>
                <w:rFonts w:hint="default" w:ascii="Times New Roman" w:hAnsi="Times New Roman" w:eastAsia="等线" w:cs="Times New Roman"/>
                <w:bCs/>
                <w:szCs w:val="21"/>
                <w:highlight w:val="none"/>
                <w:lang w:val="en-US" w:eastAsia="zh-CN"/>
              </w:rPr>
              <w:t>9</w:t>
            </w:r>
            <w:r>
              <w:rPr>
                <w:rFonts w:hint="default" w:ascii="Times New Roman" w:hAnsi="Times New Roman" w:eastAsia="等线" w:cs="Times New Roman"/>
                <w:bCs/>
                <w:szCs w:val="21"/>
                <w:highlight w:val="none"/>
              </w:rPr>
              <w:t>987</w:t>
            </w:r>
            <w:r>
              <w:rPr>
                <w:rFonts w:hint="default" w:ascii="Times New Roman" w:hAnsi="Times New Roman" w:eastAsia="等线" w:cs="Times New Roman"/>
                <w:bCs/>
                <w:szCs w:val="21"/>
                <w:highlight w:val="none"/>
                <w:lang w:val="en-US" w:eastAsia="zh-CN"/>
              </w:rPr>
              <w:t>00101A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产品期限</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无固定期限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本金（万元）</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收益类型</w:t>
            </w:r>
          </w:p>
        </w:tc>
        <w:tc>
          <w:tcPr>
            <w:tcW w:w="3680" w:type="pct"/>
            <w:vAlign w:val="center"/>
          </w:tcPr>
          <w:p>
            <w:pPr>
              <w:autoSpaceDE w:val="0"/>
              <w:autoSpaceDN w:val="0"/>
              <w:adjustRightInd w:val="0"/>
              <w:spacing w:line="276" w:lineRule="auto"/>
              <w:jc w:val="center"/>
              <w:rPr>
                <w:rFonts w:eastAsiaTheme="minorEastAsia"/>
                <w:bCs/>
                <w:color w:val="000000"/>
                <w:kern w:val="0"/>
                <w:szCs w:val="21"/>
              </w:rPr>
            </w:pPr>
            <w:r>
              <w:rPr>
                <w:rFonts w:eastAsiaTheme="minorEastAsia"/>
                <w:bCs/>
                <w:color w:val="000000"/>
                <w:kern w:val="0"/>
                <w:szCs w:val="21"/>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产品起息日期</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val="en-US" w:eastAsia="zh-CN"/>
              </w:rPr>
              <w:t>2021年10月14日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themeColor="text1"/>
                <w:kern w:val="0"/>
                <w:szCs w:val="21"/>
                <w:highlight w:val="none"/>
                <w14:textFill>
                  <w14:solidFill>
                    <w14:schemeClr w14:val="tx1"/>
                  </w14:solidFill>
                </w14:textFill>
              </w:rPr>
            </w:pPr>
            <w:r>
              <w:rPr>
                <w:rFonts w:eastAsiaTheme="minorEastAsia"/>
                <w:b/>
                <w:color w:val="000000" w:themeColor="text1"/>
                <w:kern w:val="0"/>
                <w:szCs w:val="21"/>
                <w:highlight w:val="none"/>
                <w14:textFill>
                  <w14:solidFill>
                    <w14:schemeClr w14:val="tx1"/>
                  </w14:solidFill>
                </w14:textFill>
              </w:rPr>
              <w:t>产品预期年化收益率</w:t>
            </w:r>
          </w:p>
        </w:tc>
        <w:tc>
          <w:tcPr>
            <w:tcW w:w="3680" w:type="pct"/>
            <w:vAlign w:val="center"/>
          </w:tcPr>
          <w:p>
            <w:pPr>
              <w:autoSpaceDE w:val="0"/>
              <w:autoSpaceDN w:val="0"/>
              <w:adjustRightInd w:val="0"/>
              <w:spacing w:line="276" w:lineRule="auto"/>
              <w:jc w:val="center"/>
              <w:rPr>
                <w:rFonts w:hint="default" w:eastAsiaTheme="minorEastAsia"/>
                <w:bCs/>
                <w:color w:val="000000"/>
                <w:kern w:val="0"/>
                <w:szCs w:val="21"/>
                <w:lang w:val="en-US" w:eastAsia="zh-CN"/>
              </w:rPr>
            </w:pPr>
            <w:r>
              <w:rPr>
                <w:rFonts w:hint="eastAsia" w:eastAsiaTheme="minorEastAsia"/>
                <w:bCs/>
                <w:color w:val="000000"/>
                <w:kern w:val="0"/>
                <w:szCs w:val="21"/>
                <w:lang w:eastAsia="zh-CN"/>
              </w:rPr>
              <w:t>净值型（</w:t>
            </w:r>
            <w:r>
              <w:rPr>
                <w:rFonts w:hint="eastAsia" w:eastAsiaTheme="minorEastAsia"/>
                <w:bCs/>
                <w:color w:val="000000"/>
                <w:kern w:val="0"/>
                <w:szCs w:val="21"/>
              </w:rPr>
              <w:t>无</w:t>
            </w:r>
            <w:r>
              <w:rPr>
                <w:rFonts w:hint="eastAsia" w:eastAsiaTheme="minorEastAsia"/>
                <w:bCs/>
                <w:color w:val="000000"/>
                <w:kern w:val="0"/>
                <w:szCs w:val="21"/>
                <w:lang w:eastAsia="zh-CN"/>
              </w:rPr>
              <w:t>业绩基准，近</w:t>
            </w:r>
            <w:r>
              <w:rPr>
                <w:rFonts w:hint="eastAsia" w:eastAsiaTheme="minorEastAsia"/>
                <w:bCs/>
                <w:color w:val="000000"/>
                <w:kern w:val="0"/>
                <w:szCs w:val="21"/>
                <w:lang w:val="en-US" w:eastAsia="zh-CN"/>
              </w:rPr>
              <w:t>七日年化收益率为3.3520%</w:t>
            </w:r>
            <w:r>
              <w:rPr>
                <w:rFonts w:hint="eastAsia" w:eastAsiaTheme="minorEastAsia"/>
                <w:bCs/>
                <w:color w:val="000000"/>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hint="eastAsia" w:eastAsiaTheme="minorEastAsia"/>
                <w:b/>
                <w:color w:val="000000"/>
                <w:kern w:val="0"/>
                <w:szCs w:val="21"/>
                <w:lang w:val="en-US" w:eastAsia="zh-CN"/>
              </w:rPr>
              <w:t>赎回规定</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lang w:eastAsia="zh-CN"/>
              </w:rPr>
            </w:pPr>
            <w:r>
              <w:rPr>
                <w:rFonts w:hint="eastAsia" w:eastAsiaTheme="minorEastAsia"/>
                <w:bCs/>
                <w:color w:val="000000"/>
                <w:kern w:val="0"/>
                <w:szCs w:val="21"/>
                <w:lang w:eastAsia="zh-CN"/>
              </w:rPr>
              <w:t>每个开放日的开放时间</w:t>
            </w:r>
            <w:r>
              <w:rPr>
                <w:rFonts w:hint="eastAsia" w:eastAsiaTheme="minorEastAsia"/>
                <w:bCs/>
                <w:color w:val="000000"/>
                <w:kern w:val="0"/>
                <w:szCs w:val="21"/>
                <w:lang w:val="en-US" w:eastAsia="zh-CN"/>
              </w:rPr>
              <w:t>00:00-15:30，</w:t>
            </w:r>
            <w:r>
              <w:rPr>
                <w:rFonts w:hint="eastAsia" w:eastAsiaTheme="minorEastAsia"/>
                <w:bCs/>
                <w:color w:val="000000"/>
                <w:kern w:val="0"/>
                <w:szCs w:val="21"/>
                <w:lang w:eastAsia="zh-CN"/>
              </w:rPr>
              <w:t>投资者</w:t>
            </w:r>
            <w:r>
              <w:rPr>
                <w:rFonts w:hint="eastAsia" w:eastAsiaTheme="minorEastAsia"/>
                <w:bCs/>
                <w:color w:val="000000"/>
                <w:kern w:val="0"/>
                <w:szCs w:val="21"/>
                <w:lang w:val="en-US" w:eastAsia="zh-CN"/>
              </w:rPr>
              <w:t>可</w:t>
            </w:r>
            <w:r>
              <w:rPr>
                <w:rFonts w:hint="eastAsia" w:eastAsiaTheme="minorEastAsia"/>
                <w:bCs/>
                <w:color w:val="000000"/>
                <w:kern w:val="0"/>
                <w:szCs w:val="21"/>
                <w:lang w:eastAsia="zh-CN"/>
              </w:rPr>
              <w:t>于开放日的开放时间内进行</w:t>
            </w:r>
            <w:r>
              <w:rPr>
                <w:rFonts w:hint="eastAsia" w:eastAsiaTheme="minorEastAsia"/>
                <w:bCs/>
                <w:color w:val="000000"/>
                <w:kern w:val="0"/>
                <w:szCs w:val="21"/>
                <w:lang w:val="en-US" w:eastAsia="zh-CN"/>
              </w:rPr>
              <w:t>普通</w:t>
            </w:r>
            <w:r>
              <w:rPr>
                <w:rFonts w:hint="eastAsia" w:eastAsiaTheme="minorEastAsia"/>
                <w:bCs/>
                <w:color w:val="000000"/>
                <w:kern w:val="0"/>
                <w:szCs w:val="21"/>
                <w:lang w:eastAsia="zh-CN"/>
              </w:rPr>
              <w:t>赎回，</w:t>
            </w:r>
            <w:r>
              <w:rPr>
                <w:rFonts w:hint="eastAsia" w:eastAsiaTheme="minorEastAsia"/>
                <w:bCs/>
                <w:color w:val="000000"/>
                <w:kern w:val="0"/>
                <w:szCs w:val="21"/>
                <w:lang w:val="en-US" w:eastAsia="zh-CN"/>
              </w:rPr>
              <w:t>T日非开放时间提交的普通赎回申请等同于下一开放日提交的普通赎回申请</w:t>
            </w:r>
            <w:r>
              <w:rPr>
                <w:rFonts w:hint="eastAsia" w:eastAsiaTheme="minorEastAsia"/>
                <w:bCs/>
                <w:color w:val="000000"/>
                <w:kern w:val="0"/>
                <w:szCs w:val="21"/>
                <w:lang w:eastAsia="zh-CN"/>
              </w:rPr>
              <w:t>。华夏理财有权调整按上述规则确定的开放日及开放时间，并在调整前3个工作日公告。</w:t>
            </w:r>
          </w:p>
          <w:p>
            <w:pPr>
              <w:autoSpaceDE w:val="0"/>
              <w:autoSpaceDN w:val="0"/>
              <w:adjustRightInd w:val="0"/>
              <w:spacing w:line="276" w:lineRule="auto"/>
              <w:ind w:left="0" w:leftChars="0" w:firstLine="420" w:firstLineChars="200"/>
              <w:jc w:val="both"/>
              <w:rPr>
                <w:rFonts w:hint="eastAsia" w:ascii="仿宋" w:hAnsi="仿宋" w:eastAsia="仿宋"/>
                <w:bCs/>
                <w:szCs w:val="21"/>
                <w:highlight w:val="none"/>
                <w:lang w:eastAsia="zh-CN"/>
              </w:rPr>
            </w:pPr>
            <w:r>
              <w:rPr>
                <w:rFonts w:hint="eastAsia" w:eastAsiaTheme="minorEastAsia"/>
                <w:bCs/>
                <w:color w:val="000000"/>
                <w:kern w:val="0"/>
                <w:szCs w:val="21"/>
                <w:lang w:eastAsia="zh-CN"/>
              </w:rPr>
              <w:t>本理财产品采取份额赎回的方式。投资者可选择全额或部分赎回，部分赎回后投资者持有本理财产品的实时余额低于理财账户最低保留限额时，将在赎回日末对投资者的剩余份额发起强制赎回。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9" w:type="pct"/>
            <w:vAlign w:val="center"/>
          </w:tcPr>
          <w:p>
            <w:pPr>
              <w:autoSpaceDE w:val="0"/>
              <w:autoSpaceDN w:val="0"/>
              <w:adjustRightInd w:val="0"/>
              <w:spacing w:line="276" w:lineRule="auto"/>
              <w:jc w:val="center"/>
              <w:rPr>
                <w:rFonts w:eastAsiaTheme="minorEastAsia"/>
                <w:b/>
                <w:color w:val="000000"/>
                <w:kern w:val="0"/>
                <w:szCs w:val="21"/>
              </w:rPr>
            </w:pPr>
            <w:r>
              <w:rPr>
                <w:rFonts w:eastAsiaTheme="minorEastAsia"/>
                <w:b/>
                <w:color w:val="000000"/>
                <w:kern w:val="0"/>
                <w:szCs w:val="21"/>
              </w:rPr>
              <w:t>资金投向</w:t>
            </w:r>
          </w:p>
        </w:tc>
        <w:tc>
          <w:tcPr>
            <w:tcW w:w="3680" w:type="pct"/>
            <w:vAlign w:val="center"/>
          </w:tcPr>
          <w:p>
            <w:pPr>
              <w:autoSpaceDE w:val="0"/>
              <w:autoSpaceDN w:val="0"/>
              <w:adjustRightInd w:val="0"/>
              <w:spacing w:line="276" w:lineRule="auto"/>
              <w:ind w:left="0" w:leftChars="0" w:firstLine="420" w:firstLineChars="200"/>
              <w:jc w:val="both"/>
              <w:rPr>
                <w:rFonts w:hint="eastAsia" w:eastAsiaTheme="minorEastAsia"/>
                <w:bCs/>
                <w:color w:val="000000"/>
                <w:kern w:val="0"/>
                <w:szCs w:val="21"/>
              </w:rPr>
            </w:pPr>
            <w:r>
              <w:rPr>
                <w:rFonts w:hint="eastAsia" w:eastAsiaTheme="minorEastAsia"/>
                <w:bCs/>
                <w:color w:val="000000"/>
                <w:kern w:val="0"/>
                <w:szCs w:val="21"/>
                <w:lang w:eastAsia="zh-CN"/>
              </w:rPr>
              <w:t>本产品</w:t>
            </w:r>
            <w:r>
              <w:rPr>
                <w:rFonts w:hint="eastAsia" w:eastAsiaTheme="minorEastAsia"/>
                <w:bCs/>
                <w:color w:val="000000"/>
                <w:kern w:val="0"/>
                <w:szCs w:val="21"/>
                <w:lang w:val="en-US" w:eastAsia="zh-CN"/>
              </w:rPr>
              <w:t>100%投资于</w:t>
            </w:r>
            <w:r>
              <w:rPr>
                <w:rFonts w:hint="eastAsia" w:eastAsiaTheme="minorEastAsia"/>
                <w:bCs/>
                <w:color w:val="000000"/>
                <w:kern w:val="0"/>
                <w:szCs w:val="21"/>
                <w:lang w:eastAsia="zh-CN"/>
              </w:rPr>
              <w:t>货币市场工具、债券类资产、货币型公募证券投资基金以及符合上述投资范围的资产管理计划工具。包括但不限于：期限在一年以内（含一年）的银行存款、债券回购、中央银行票据、同业存单、国债、政策性金融债、地方政府债、短期融资券、超短期融资券、中期票据、企业债、公司债、非公开定向债务融资工具、资产支持证券、货币型公募证券投资基金及其他符合监管要求的债</w:t>
            </w:r>
            <w:r>
              <w:rPr>
                <w:rFonts w:hint="eastAsia" w:eastAsiaTheme="minorEastAsia"/>
                <w:bCs/>
                <w:color w:val="000000"/>
                <w:kern w:val="0"/>
                <w:szCs w:val="21"/>
                <w:lang w:val="en-US" w:eastAsia="zh-CN"/>
              </w:rPr>
              <w:t>券</w:t>
            </w:r>
            <w:r>
              <w:rPr>
                <w:rFonts w:hint="eastAsia" w:eastAsiaTheme="minorEastAsia"/>
                <w:bCs/>
                <w:color w:val="000000"/>
                <w:kern w:val="0"/>
                <w:szCs w:val="21"/>
                <w:lang w:eastAsia="zh-CN"/>
              </w:rPr>
              <w:t>类资产。</w:t>
            </w:r>
          </w:p>
        </w:tc>
      </w:tr>
    </w:tbl>
    <w:p>
      <w:pPr>
        <w:widowControl/>
        <w:spacing w:before="156" w:beforeLines="50" w:after="156" w:afterLines="50"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both"/>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175"/>
        <w:jc w:val="left"/>
        <w:textAlignment w:val="auto"/>
        <w:rPr>
          <w:rFonts w:hint="eastAsia" w:eastAsiaTheme="minorEastAsia"/>
          <w:color w:val="000000"/>
          <w:sz w:val="24"/>
          <w:szCs w:val="24"/>
          <w:highlight w:val="none"/>
          <w:lang w:eastAsia="zh-CN"/>
        </w:rPr>
      </w:pPr>
      <w:r>
        <w:rPr>
          <w:rFonts w:eastAsiaTheme="minorEastAsia"/>
          <w:color w:val="000000"/>
          <w:sz w:val="24"/>
          <w:szCs w:val="24"/>
          <w:highlight w:val="none"/>
        </w:rPr>
        <w:t>3、公司将根据上海证券交易所的有关规定，及时履行信息披露义务</w:t>
      </w:r>
      <w:r>
        <w:rPr>
          <w:rFonts w:hint="eastAsia" w:eastAsiaTheme="minorEastAsia"/>
          <w:color w:val="000000"/>
          <w:sz w:val="24"/>
          <w:szCs w:val="24"/>
          <w:highlight w:val="none"/>
          <w:lang w:eastAsia="zh-CN"/>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widowControl/>
        <w:spacing w:before="156" w:beforeLines="50" w:after="156" w:afterLines="50" w:line="360" w:lineRule="auto"/>
        <w:ind w:left="0" w:leftChars="0" w:firstLine="420" w:firstLineChars="175"/>
        <w:jc w:val="both"/>
        <w:rPr>
          <w:rFonts w:eastAsiaTheme="minorEastAsia"/>
          <w:color w:val="000000"/>
          <w:sz w:val="24"/>
          <w:szCs w:val="24"/>
          <w:highlight w:val="none"/>
        </w:rPr>
      </w:pPr>
      <w:r>
        <w:rPr>
          <w:rFonts w:eastAsiaTheme="minorEastAsia"/>
          <w:color w:val="000000"/>
          <w:sz w:val="24"/>
          <w:szCs w:val="24"/>
          <w:highlight w:val="none"/>
        </w:rPr>
        <w:t>本次购买理财产品的受托方</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华夏银行为上海证券交易所上市公司（公司代码：600015）、</w:t>
      </w:r>
      <w:r>
        <w:rPr>
          <w:rFonts w:hint="eastAsia" w:eastAsiaTheme="minorEastAsia"/>
          <w:color w:val="000000"/>
          <w:sz w:val="24"/>
          <w:szCs w:val="24"/>
          <w:highlight w:val="none"/>
          <w:lang w:eastAsia="zh-CN"/>
        </w:rPr>
        <w:t>上海银行</w:t>
      </w:r>
      <w:r>
        <w:rPr>
          <w:rFonts w:eastAsiaTheme="minorEastAsia"/>
          <w:color w:val="000000"/>
          <w:sz w:val="24"/>
          <w:szCs w:val="24"/>
          <w:highlight w:val="none"/>
        </w:rPr>
        <w:t>为上海证券交易所上市公司</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601229</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中信</w:t>
      </w:r>
      <w:r>
        <w:rPr>
          <w:rFonts w:eastAsiaTheme="minorEastAsia"/>
          <w:color w:val="000000"/>
          <w:sz w:val="24"/>
          <w:szCs w:val="24"/>
          <w:highlight w:val="none"/>
        </w:rPr>
        <w:t>银行为上海证券交易所上市公司（公司代码：601</w:t>
      </w:r>
      <w:r>
        <w:rPr>
          <w:rFonts w:hint="eastAsia" w:eastAsiaTheme="minorEastAsia"/>
          <w:color w:val="000000"/>
          <w:sz w:val="24"/>
          <w:szCs w:val="24"/>
          <w:highlight w:val="none"/>
          <w:lang w:val="en-US" w:eastAsia="zh-CN"/>
        </w:rPr>
        <w:t>998</w:t>
      </w:r>
      <w:r>
        <w:rPr>
          <w:rFonts w:eastAsiaTheme="minorEastAsia"/>
          <w:color w:val="000000"/>
          <w:sz w:val="24"/>
          <w:szCs w:val="24"/>
          <w:highlight w:val="none"/>
        </w:rPr>
        <w:t>）与公司控股股东及其一致行动人、实际控制人之间不存在产权、业务、资产、债权债务、人员等关联关系。</w:t>
      </w:r>
    </w:p>
    <w:p>
      <w:pPr>
        <w:keepNext w:val="0"/>
        <w:keepLines w:val="0"/>
        <w:widowControl/>
        <w:numPr>
          <w:ilvl w:val="0"/>
          <w:numId w:val="0"/>
        </w:numPr>
        <w:suppressLineNumbers w:val="0"/>
        <w:spacing w:line="360" w:lineRule="auto"/>
        <w:ind w:left="0" w:leftChars="0" w:firstLine="420" w:firstLineChars="175"/>
        <w:jc w:val="left"/>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国融证券为</w:t>
      </w:r>
      <w:r>
        <w:rPr>
          <w:rFonts w:hint="eastAsia" w:asciiTheme="minorEastAsia" w:hAnsiTheme="minorEastAsia" w:eastAsiaTheme="minorEastAsia" w:cstheme="minorEastAsia"/>
          <w:b w:val="0"/>
          <w:bCs w:val="0"/>
          <w:color w:val="000000"/>
          <w:sz w:val="24"/>
          <w:szCs w:val="24"/>
          <w:highlight w:val="none"/>
          <w:lang w:val="en-US" w:eastAsia="zh-CN"/>
        </w:rPr>
        <w:t>非上市金融机构，具体情况如下：</w:t>
      </w:r>
    </w:p>
    <w:p>
      <w:pPr>
        <w:keepNext w:val="0"/>
        <w:keepLines w:val="0"/>
        <w:widowControl/>
        <w:numPr>
          <w:ilvl w:val="0"/>
          <w:numId w:val="0"/>
        </w:numPr>
        <w:suppressLineNumbers w:val="0"/>
        <w:spacing w:line="360" w:lineRule="auto"/>
        <w:ind w:left="0" w:leftChars="0" w:firstLine="420" w:firstLine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1、基本情况</w:t>
      </w:r>
    </w:p>
    <w:tbl>
      <w:tblPr>
        <w:tblStyle w:val="2"/>
        <w:tblW w:w="8314" w:type="dxa"/>
        <w:jc w:val="center"/>
        <w:tblLayout w:type="autofit"/>
        <w:tblCellMar>
          <w:top w:w="0" w:type="dxa"/>
          <w:left w:w="108" w:type="dxa"/>
          <w:bottom w:w="0" w:type="dxa"/>
          <w:right w:w="108" w:type="dxa"/>
        </w:tblCellMar>
      </w:tblPr>
      <w:tblGrid>
        <w:gridCol w:w="1664"/>
        <w:gridCol w:w="1668"/>
        <w:gridCol w:w="960"/>
        <w:gridCol w:w="1380"/>
        <w:gridCol w:w="1560"/>
        <w:gridCol w:w="1082"/>
      </w:tblGrid>
      <w:tr>
        <w:tblPrEx>
          <w:tblCellMar>
            <w:top w:w="0" w:type="dxa"/>
            <w:left w:w="108" w:type="dxa"/>
            <w:bottom w:w="0" w:type="dxa"/>
            <w:right w:w="108" w:type="dxa"/>
          </w:tblCellMar>
        </w:tblPrEx>
        <w:trPr>
          <w:trHeight w:val="57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名称</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成立时间</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法定代表人</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注册资本</w:t>
            </w:r>
          </w:p>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（万元）</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主营业务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color w:val="000000"/>
                <w:kern w:val="0"/>
                <w:szCs w:val="21"/>
              </w:rPr>
              <w:t>是否为本次交易专设</w:t>
            </w:r>
          </w:p>
        </w:tc>
      </w:tr>
      <w:tr>
        <w:tblPrEx>
          <w:tblCellMar>
            <w:top w:w="0" w:type="dxa"/>
            <w:left w:w="108" w:type="dxa"/>
            <w:bottom w:w="0" w:type="dxa"/>
            <w:right w:w="108" w:type="dxa"/>
          </w:tblCellMar>
        </w:tblPrEx>
        <w:trPr>
          <w:trHeight w:val="936" w:hRule="atLeast"/>
          <w:jc w:val="center"/>
        </w:trPr>
        <w:tc>
          <w:tcPr>
            <w:tcW w:w="1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国融证券股份有限公司</w:t>
            </w:r>
          </w:p>
        </w:tc>
        <w:tc>
          <w:tcPr>
            <w:tcW w:w="166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2002年4月24日</w:t>
            </w:r>
          </w:p>
        </w:tc>
        <w:tc>
          <w:tcPr>
            <w:tcW w:w="9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val="en-US" w:eastAsia="zh-CN"/>
              </w:rPr>
              <w:t>张智河</w:t>
            </w:r>
          </w:p>
        </w:tc>
        <w:tc>
          <w:tcPr>
            <w:tcW w:w="138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178,251.1536</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eastAsia="zh-CN"/>
              </w:rPr>
            </w:pPr>
            <w:r>
              <w:rPr>
                <w:rFonts w:hint="default" w:ascii="Times New Roman" w:hAnsi="Times New Roman" w:cs="Times New Roman" w:eastAsiaTheme="minorEastAsia"/>
                <w:color w:val="000000"/>
                <w:kern w:val="0"/>
                <w:szCs w:val="21"/>
                <w:lang w:eastAsia="zh-CN"/>
              </w:rPr>
              <w:t>金融服务业务</w:t>
            </w:r>
          </w:p>
        </w:tc>
        <w:tc>
          <w:tcPr>
            <w:tcW w:w="1082" w:type="dxa"/>
            <w:tcBorders>
              <w:top w:val="single" w:color="auto" w:sz="4" w:space="0"/>
              <w:left w:val="nil"/>
              <w:bottom w:val="single" w:color="auto" w:sz="4" w:space="0"/>
              <w:right w:val="single" w:color="auto" w:sz="4" w:space="0"/>
            </w:tcBorders>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否</w:t>
            </w:r>
          </w:p>
        </w:tc>
      </w:tr>
    </w:tbl>
    <w:p>
      <w:pPr>
        <w:keepNext w:val="0"/>
        <w:keepLines w:val="0"/>
        <w:widowControl/>
        <w:numPr>
          <w:ilvl w:val="0"/>
          <w:numId w:val="3"/>
        </w:numPr>
        <w:suppressLineNumbers w:val="0"/>
        <w:spacing w:line="360" w:lineRule="auto"/>
        <w:ind w:left="0" w:leftChars="0" w:firstLine="420" w:firstLineChars="175"/>
        <w:jc w:val="left"/>
        <w:rPr>
          <w:rFonts w:hint="default" w:ascii="Times New Roman" w:hAnsi="Times New Roman" w:cs="Times New Roman" w:eastAsiaTheme="minorEastAsia"/>
          <w:color w:val="000000"/>
          <w:sz w:val="24"/>
          <w:szCs w:val="24"/>
          <w:highlight w:val="none"/>
          <w:lang w:val="en-US" w:eastAsia="zh-CN"/>
        </w:rPr>
      </w:pPr>
      <w:r>
        <w:rPr>
          <w:rFonts w:hint="default" w:ascii="Times New Roman" w:hAnsi="Times New Roman" w:cs="Times New Roman" w:eastAsiaTheme="minorEastAsia"/>
          <w:color w:val="000000"/>
          <w:sz w:val="24"/>
          <w:szCs w:val="24"/>
          <w:highlight w:val="none"/>
          <w:lang w:val="en-US" w:eastAsia="zh-CN"/>
        </w:rPr>
        <w:t>主要股东持股情况</w:t>
      </w:r>
    </w:p>
    <w:tbl>
      <w:tblPr>
        <w:tblStyle w:val="2"/>
        <w:tblW w:w="8306" w:type="dxa"/>
        <w:jc w:val="center"/>
        <w:tblLayout w:type="autofit"/>
        <w:tblCellMar>
          <w:top w:w="0" w:type="dxa"/>
          <w:left w:w="108" w:type="dxa"/>
          <w:bottom w:w="0" w:type="dxa"/>
          <w:right w:w="108" w:type="dxa"/>
        </w:tblCellMar>
      </w:tblPr>
      <w:tblGrid>
        <w:gridCol w:w="863"/>
        <w:gridCol w:w="4650"/>
        <w:gridCol w:w="2793"/>
      </w:tblGrid>
      <w:tr>
        <w:tblPrEx>
          <w:tblCellMar>
            <w:top w:w="0" w:type="dxa"/>
            <w:left w:w="108" w:type="dxa"/>
            <w:bottom w:w="0" w:type="dxa"/>
            <w:right w:w="108" w:type="dxa"/>
          </w:tblCellMar>
        </w:tblPrEx>
        <w:trPr>
          <w:trHeight w:val="476"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lang w:eastAsia="zh-CN"/>
              </w:rPr>
              <w:t>序号</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股东</w:t>
            </w:r>
            <w:r>
              <w:rPr>
                <w:rFonts w:hint="eastAsia" w:asciiTheme="minorEastAsia" w:hAnsiTheme="minorEastAsia" w:eastAsiaTheme="minorEastAsia" w:cstheme="minorEastAsia"/>
                <w:b/>
                <w:color w:val="000000"/>
                <w:kern w:val="0"/>
                <w:szCs w:val="21"/>
              </w:rPr>
              <w:t>名称</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b/>
                <w:color w:val="000000"/>
                <w:kern w:val="0"/>
                <w:szCs w:val="21"/>
                <w:lang w:eastAsia="zh-CN"/>
              </w:rPr>
            </w:pPr>
            <w:r>
              <w:rPr>
                <w:rFonts w:hint="eastAsia" w:asciiTheme="minorEastAsia" w:hAnsiTheme="minorEastAsia" w:eastAsiaTheme="minorEastAsia" w:cstheme="minorEastAsia"/>
                <w:b/>
                <w:color w:val="000000"/>
                <w:kern w:val="0"/>
                <w:szCs w:val="21"/>
                <w:lang w:eastAsia="zh-CN"/>
              </w:rPr>
              <w:t>持股比例</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北京长安投资集团有限公司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70.61%</w:t>
            </w:r>
          </w:p>
        </w:tc>
      </w:tr>
      <w:tr>
        <w:tblPrEx>
          <w:tblCellMar>
            <w:top w:w="0" w:type="dxa"/>
            <w:left w:w="108" w:type="dxa"/>
            <w:bottom w:w="0" w:type="dxa"/>
            <w:right w:w="108" w:type="dxa"/>
          </w:tblCellMar>
        </w:tblPrEx>
        <w:trPr>
          <w:trHeight w:val="309"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2</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杭州普润星融股权投资合伙企业（有限合伙）</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14.03%</w:t>
            </w:r>
          </w:p>
        </w:tc>
      </w:tr>
      <w:tr>
        <w:tblPrEx>
          <w:tblCellMar>
            <w:top w:w="0" w:type="dxa"/>
            <w:left w:w="108" w:type="dxa"/>
            <w:bottom w:w="0" w:type="dxa"/>
            <w:right w:w="108" w:type="dxa"/>
          </w:tblCellMar>
        </w:tblPrEx>
        <w:trPr>
          <w:trHeight w:val="90" w:hRule="atLeast"/>
          <w:jc w:val="center"/>
        </w:trPr>
        <w:tc>
          <w:tcPr>
            <w:tcW w:w="86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eastAsia" w:asciiTheme="minorEastAsia" w:hAnsiTheme="minorEastAsia" w:eastAsiaTheme="minorEastAsia" w:cstheme="minorEastAsia"/>
                <w:color w:val="000000"/>
                <w:kern w:val="0"/>
                <w:szCs w:val="21"/>
                <w:lang w:eastAsia="zh-CN"/>
              </w:rPr>
            </w:pPr>
            <w:r>
              <w:rPr>
                <w:rFonts w:hint="eastAsia" w:asciiTheme="minorEastAsia" w:hAnsiTheme="minorEastAsia" w:eastAsiaTheme="minorEastAsia" w:cstheme="minorEastAsia"/>
                <w:color w:val="000000"/>
                <w:kern w:val="0"/>
                <w:szCs w:val="21"/>
                <w:lang w:val="en-US" w:eastAsia="zh-CN"/>
              </w:rPr>
              <w:t>内蒙古日信担保投资（集团）有限责任公司</w:t>
            </w:r>
          </w:p>
        </w:tc>
        <w:tc>
          <w:tcPr>
            <w:tcW w:w="279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color w:val="000000"/>
                <w:kern w:val="0"/>
                <w:szCs w:val="21"/>
                <w:lang w:val="en-US" w:eastAsia="zh-CN"/>
              </w:rPr>
            </w:pPr>
            <w:r>
              <w:rPr>
                <w:rFonts w:hint="default" w:ascii="Times New Roman" w:hAnsi="Times New Roman" w:cs="Times New Roman" w:eastAsiaTheme="minorEastAsia"/>
                <w:color w:val="000000"/>
                <w:kern w:val="0"/>
                <w:szCs w:val="21"/>
                <w:lang w:val="en-US" w:eastAsia="zh-CN"/>
              </w:rPr>
              <w:t>4.13%</w:t>
            </w:r>
          </w:p>
        </w:tc>
      </w:tr>
    </w:tbl>
    <w:p>
      <w:pPr>
        <w:keepNext w:val="0"/>
        <w:keepLines w:val="0"/>
        <w:widowControl/>
        <w:numPr>
          <w:ilvl w:val="0"/>
          <w:numId w:val="4"/>
        </w:numPr>
        <w:suppressLineNumbers w:val="0"/>
        <w:spacing w:line="360" w:lineRule="auto"/>
        <w:ind w:leftChars="175"/>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主要财务指标</w:t>
      </w:r>
    </w:p>
    <w:p>
      <w:pPr>
        <w:keepNext w:val="0"/>
        <w:keepLines w:val="0"/>
        <w:widowControl/>
        <w:numPr>
          <w:ilvl w:val="0"/>
          <w:numId w:val="0"/>
        </w:numPr>
        <w:suppressLineNumbers w:val="0"/>
        <w:spacing w:line="360" w:lineRule="auto"/>
        <w:jc w:val="right"/>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单位：元</w:t>
      </w:r>
    </w:p>
    <w:tbl>
      <w:tblPr>
        <w:tblStyle w:val="2"/>
        <w:tblW w:w="8281" w:type="dxa"/>
        <w:jc w:val="center"/>
        <w:tblLayout w:type="autofit"/>
        <w:tblCellMar>
          <w:top w:w="0" w:type="dxa"/>
          <w:left w:w="108" w:type="dxa"/>
          <w:bottom w:w="0" w:type="dxa"/>
          <w:right w:w="108" w:type="dxa"/>
        </w:tblCellMar>
      </w:tblPr>
      <w:tblGrid>
        <w:gridCol w:w="4003"/>
        <w:gridCol w:w="4278"/>
      </w:tblGrid>
      <w:tr>
        <w:tblPrEx>
          <w:tblCellMar>
            <w:top w:w="0" w:type="dxa"/>
            <w:left w:w="108" w:type="dxa"/>
            <w:bottom w:w="0" w:type="dxa"/>
            <w:right w:w="108" w:type="dxa"/>
          </w:tblCellMar>
        </w:tblPrEx>
        <w:trPr>
          <w:trHeight w:val="308"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eastAsia="zh-CN"/>
              </w:rPr>
            </w:pPr>
            <w:r>
              <w:rPr>
                <w:rFonts w:hint="default" w:ascii="Times New Roman" w:hAnsi="Times New Roman" w:cs="Times New Roman" w:eastAsiaTheme="minorEastAsia"/>
                <w:b/>
                <w:bCs w:val="0"/>
                <w:color w:val="000000"/>
                <w:kern w:val="0"/>
                <w:szCs w:val="21"/>
                <w:lang w:eastAsia="zh-CN"/>
              </w:rPr>
              <w:t>项目</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bCs w:val="0"/>
                <w:color w:val="000000"/>
                <w:kern w:val="0"/>
                <w:szCs w:val="21"/>
                <w:lang w:val="en-US" w:eastAsia="zh-CN"/>
              </w:rPr>
            </w:pPr>
            <w:r>
              <w:rPr>
                <w:rFonts w:hint="eastAsia" w:cs="Times New Roman" w:eastAsiaTheme="minorEastAsia"/>
                <w:b/>
                <w:bCs w:val="0"/>
                <w:color w:val="000000"/>
                <w:kern w:val="0"/>
                <w:szCs w:val="21"/>
                <w:lang w:val="en-US" w:eastAsia="zh-CN"/>
              </w:rPr>
              <w:t>2020</w:t>
            </w:r>
            <w:r>
              <w:rPr>
                <w:rFonts w:hint="default" w:ascii="Times New Roman" w:hAnsi="Times New Roman" w:cs="Times New Roman" w:eastAsiaTheme="minorEastAsia"/>
                <w:b/>
                <w:bCs w:val="0"/>
                <w:color w:val="000000"/>
                <w:kern w:val="0"/>
                <w:szCs w:val="21"/>
                <w:lang w:val="en-US" w:eastAsia="zh-CN"/>
              </w:rPr>
              <w:t>年度</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资产总额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15,078,934,087.90</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资产净额</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4,080,854,233.27</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Cs w:val="21"/>
                <w:lang w:eastAsia="zh-CN"/>
              </w:rPr>
            </w:pPr>
            <w:r>
              <w:rPr>
                <w:rFonts w:hint="default" w:ascii="Times New Roman" w:hAnsi="Times New Roman" w:cs="Times New Roman" w:eastAsiaTheme="minorEastAsia"/>
                <w:b w:val="0"/>
                <w:bCs/>
                <w:color w:val="000000"/>
                <w:kern w:val="0"/>
                <w:szCs w:val="21"/>
                <w:lang w:eastAsia="zh-CN"/>
              </w:rPr>
              <w:t>营业收入</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val="0"/>
                <w:bCs/>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1,045,895,451.01</w:t>
            </w:r>
          </w:p>
        </w:tc>
      </w:tr>
      <w:tr>
        <w:tblPrEx>
          <w:tblCellMar>
            <w:top w:w="0" w:type="dxa"/>
            <w:left w:w="108" w:type="dxa"/>
            <w:bottom w:w="0" w:type="dxa"/>
            <w:right w:w="108" w:type="dxa"/>
          </w:tblCellMar>
        </w:tblPrEx>
        <w:trPr>
          <w:trHeight w:val="90" w:hRule="atLeast"/>
          <w:jc w:val="center"/>
        </w:trPr>
        <w:tc>
          <w:tcPr>
            <w:tcW w:w="40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Cs w:val="21"/>
                <w:lang w:eastAsia="zh-CN"/>
              </w:rPr>
            </w:pPr>
            <w:r>
              <w:rPr>
                <w:rFonts w:hint="default" w:ascii="Times New Roman" w:hAnsi="Times New Roman" w:cs="Times New Roman" w:eastAsiaTheme="minorEastAsia"/>
                <w:b w:val="0"/>
                <w:bCs/>
                <w:color w:val="000000"/>
                <w:kern w:val="0"/>
                <w:szCs w:val="21"/>
                <w:lang w:eastAsia="zh-CN"/>
              </w:rPr>
              <w:t>净利润</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autoSpaceDE w:val="0"/>
              <w:autoSpaceDN w:val="0"/>
              <w:adjustRightInd w:val="0"/>
              <w:spacing w:line="240" w:lineRule="auto"/>
              <w:jc w:val="center"/>
              <w:rPr>
                <w:rFonts w:hint="default" w:ascii="Times New Roman" w:hAnsi="Times New Roman" w:cs="Times New Roman" w:eastAsiaTheme="minorEastAsia"/>
                <w:b/>
                <w:color w:val="000000"/>
                <w:kern w:val="0"/>
                <w:sz w:val="21"/>
                <w:szCs w:val="21"/>
                <w:lang w:val="en-US" w:eastAsia="zh-CN" w:bidi="ar-SA"/>
              </w:rPr>
            </w:pPr>
            <w:r>
              <w:rPr>
                <w:rFonts w:hint="eastAsia" w:cs="Times New Roman" w:eastAsiaTheme="minorEastAsia"/>
                <w:b w:val="0"/>
                <w:bCs/>
                <w:color w:val="000000"/>
                <w:kern w:val="0"/>
                <w:sz w:val="21"/>
                <w:szCs w:val="21"/>
                <w:lang w:val="en-US" w:eastAsia="zh-CN" w:bidi="ar-SA"/>
              </w:rPr>
              <w:t>100,427,140.73</w:t>
            </w:r>
          </w:p>
        </w:tc>
      </w:tr>
    </w:tbl>
    <w:p>
      <w:pPr>
        <w:keepNext w:val="0"/>
        <w:keepLines w:val="0"/>
        <w:widowControl/>
        <w:numPr>
          <w:ilvl w:val="0"/>
          <w:numId w:val="0"/>
        </w:numPr>
        <w:suppressLineNumbers w:val="0"/>
        <w:spacing w:line="360" w:lineRule="auto"/>
        <w:jc w:val="left"/>
        <w:rPr>
          <w:rFonts w:hint="default" w:ascii="Times New Roman" w:hAnsi="Times New Roman" w:cs="Times New Roman" w:eastAsiaTheme="minorEastAsia"/>
          <w:b w:val="0"/>
          <w:bCs w:val="0"/>
          <w:color w:val="000000"/>
          <w:sz w:val="24"/>
          <w:szCs w:val="24"/>
          <w:lang w:val="en-US" w:eastAsia="zh-CN"/>
        </w:rPr>
      </w:pPr>
      <w:r>
        <w:rPr>
          <w:rFonts w:hint="default" w:ascii="Times New Roman" w:hAnsi="Times New Roman" w:cs="Times New Roman" w:eastAsiaTheme="minorEastAsia"/>
          <w:b w:val="0"/>
          <w:bCs w:val="0"/>
          <w:color w:val="000000"/>
          <w:sz w:val="24"/>
          <w:szCs w:val="24"/>
          <w:lang w:val="en-US" w:eastAsia="zh-CN"/>
        </w:rPr>
        <w:t>（注：国融证券基本情况、主要股东持股情况及主要财务指标相关数据摘自《国融证券</w:t>
      </w:r>
      <w:r>
        <w:rPr>
          <w:rFonts w:hint="eastAsia" w:cs="Times New Roman" w:eastAsiaTheme="minorEastAsia"/>
          <w:b w:val="0"/>
          <w:bCs w:val="0"/>
          <w:color w:val="000000"/>
          <w:sz w:val="24"/>
          <w:szCs w:val="24"/>
          <w:lang w:val="en-US" w:eastAsia="zh-CN"/>
        </w:rPr>
        <w:t>2020</w:t>
      </w:r>
      <w:r>
        <w:rPr>
          <w:rFonts w:hint="default" w:ascii="Times New Roman" w:hAnsi="Times New Roman" w:cs="Times New Roman" w:eastAsiaTheme="minorEastAsia"/>
          <w:b w:val="0"/>
          <w:bCs w:val="0"/>
          <w:color w:val="000000"/>
          <w:sz w:val="24"/>
          <w:szCs w:val="24"/>
          <w:lang w:val="en-US" w:eastAsia="zh-CN"/>
        </w:rPr>
        <w:t>年度财务报告披露》）</w:t>
      </w:r>
    </w:p>
    <w:p>
      <w:pPr>
        <w:keepNext w:val="0"/>
        <w:keepLines w:val="0"/>
        <w:widowControl/>
        <w:numPr>
          <w:ilvl w:val="0"/>
          <w:numId w:val="4"/>
        </w:numPr>
        <w:suppressLineNumbers w:val="0"/>
        <w:spacing w:line="360" w:lineRule="auto"/>
        <w:ind w:leftChars="175"/>
        <w:jc w:val="left"/>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24"/>
          <w:szCs w:val="24"/>
          <w:lang w:val="en-US" w:eastAsia="zh-CN"/>
        </w:rPr>
        <w:t>与公司的关系</w:t>
      </w:r>
    </w:p>
    <w:p>
      <w:pPr>
        <w:keepNext w:val="0"/>
        <w:keepLines w:val="0"/>
        <w:widowControl/>
        <w:numPr>
          <w:ilvl w:val="0"/>
          <w:numId w:val="0"/>
        </w:numPr>
        <w:suppressLineNumbers w:val="0"/>
        <w:spacing w:line="360" w:lineRule="auto"/>
        <w:ind w:firstLine="420" w:firstLineChar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受托方</w:t>
      </w:r>
      <w:r>
        <w:rPr>
          <w:rFonts w:hint="default" w:asciiTheme="minorEastAsia" w:hAnsiTheme="minorEastAsia" w:eastAsiaTheme="minorEastAsia" w:cstheme="minorEastAsia"/>
          <w:color w:val="000000"/>
          <w:sz w:val="24"/>
          <w:szCs w:val="24"/>
          <w:lang w:val="en-US" w:eastAsia="zh-CN"/>
        </w:rPr>
        <w:t>与公司、公司控股股东及其一致行动人、实际控制人之间不存在产权、业务、资产、债权债务、人员等关联关系。</w:t>
      </w:r>
    </w:p>
    <w:p>
      <w:pPr>
        <w:keepNext w:val="0"/>
        <w:keepLines w:val="0"/>
        <w:widowControl/>
        <w:numPr>
          <w:ilvl w:val="0"/>
          <w:numId w:val="4"/>
        </w:numPr>
        <w:suppressLineNumbers w:val="0"/>
        <w:spacing w:line="360" w:lineRule="auto"/>
        <w:ind w:left="368" w:leftChars="175" w:firstLine="0" w:firstLineChars="0"/>
        <w:jc w:val="left"/>
        <w:rPr>
          <w:rFonts w:hint="default" w:asciiTheme="minorEastAsia" w:hAnsiTheme="minorEastAsia" w:eastAsiaTheme="minorEastAsia" w:cstheme="minorEastAsia"/>
          <w:color w:val="000000"/>
          <w:sz w:val="24"/>
          <w:szCs w:val="24"/>
          <w:lang w:val="en-US" w:eastAsia="zh-CN"/>
        </w:rPr>
      </w:pPr>
      <w:r>
        <w:rPr>
          <w:rFonts w:hint="default" w:asciiTheme="minorEastAsia" w:hAnsiTheme="minorEastAsia" w:eastAsiaTheme="minorEastAsia" w:cstheme="minorEastAsia"/>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公司股东大会授权公司董事长在额度范围和时效内行使该项投资决策权并签署相关合同文件，并由公司管理层组织相关部门实施。公司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管理层对受托方、资金使用方等交易各方当事人的基本情况、信用情况及其交易履约能力等进行了必要的尽职调查，未发现存在损害公司理财业务开展的具体情况。</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widowControl/>
        <w:spacing w:before="156" w:beforeLines="50" w:after="156" w:afterLines="50" w:line="360" w:lineRule="auto"/>
        <w:ind w:firstLine="420" w:firstLineChars="175"/>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7981" w:type="dxa"/>
        <w:jc w:val="center"/>
        <w:tblLayout w:type="autofit"/>
        <w:tblCellMar>
          <w:top w:w="0" w:type="dxa"/>
          <w:left w:w="108" w:type="dxa"/>
          <w:bottom w:w="0" w:type="dxa"/>
          <w:right w:w="108" w:type="dxa"/>
        </w:tblCellMar>
      </w:tblPr>
      <w:tblGrid>
        <w:gridCol w:w="2955"/>
        <w:gridCol w:w="2395"/>
        <w:gridCol w:w="2631"/>
      </w:tblGrid>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项  目</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w:t>
            </w:r>
            <w:r>
              <w:rPr>
                <w:rFonts w:hint="default" w:ascii="Times New Roman" w:hAnsi="Times New Roman" w:cs="Times New Roman" w:eastAsiaTheme="minorEastAsia"/>
                <w:b/>
                <w:color w:val="000000"/>
                <w:kern w:val="0"/>
                <w:szCs w:val="21"/>
                <w:lang w:val="en-US" w:eastAsia="zh-CN"/>
              </w:rPr>
              <w:t>20</w:t>
            </w:r>
            <w:r>
              <w:rPr>
                <w:rFonts w:hint="default" w:ascii="Times New Roman" w:hAnsi="Times New Roman" w:cs="Times New Roman" w:eastAsiaTheme="minorEastAsia"/>
                <w:b/>
                <w:color w:val="000000"/>
                <w:kern w:val="0"/>
                <w:szCs w:val="21"/>
              </w:rPr>
              <w:t>年12月31日</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hint="default" w:ascii="Times New Roman" w:hAnsi="Times New Roman" w:eastAsia="仿宋_GB2312" w:cs="Times New Roman"/>
                <w:b/>
                <w:color w:val="000000"/>
                <w:kern w:val="0"/>
                <w:szCs w:val="21"/>
              </w:rPr>
            </w:pPr>
            <w:r>
              <w:rPr>
                <w:rFonts w:hint="default" w:ascii="Times New Roman" w:hAnsi="Times New Roman" w:cs="Times New Roman" w:eastAsiaTheme="minorEastAsia"/>
                <w:b/>
                <w:color w:val="000000"/>
                <w:kern w:val="0"/>
                <w:szCs w:val="21"/>
              </w:rPr>
              <w:t>202</w:t>
            </w:r>
            <w:r>
              <w:rPr>
                <w:rFonts w:hint="default" w:ascii="Times New Roman" w:hAnsi="Times New Roman" w:cs="Times New Roman" w:eastAsiaTheme="minorEastAsia"/>
                <w:b/>
                <w:color w:val="000000"/>
                <w:kern w:val="0"/>
                <w:szCs w:val="21"/>
                <w:lang w:val="en-US" w:eastAsia="zh-CN"/>
              </w:rPr>
              <w:t>1</w:t>
            </w:r>
            <w:r>
              <w:rPr>
                <w:rFonts w:hint="default" w:ascii="Times New Roman" w:hAnsi="Times New Roman" w:cs="Times New Roman" w:eastAsiaTheme="minorEastAsia"/>
                <w:b/>
                <w:color w:val="000000"/>
                <w:kern w:val="0"/>
                <w:szCs w:val="21"/>
              </w:rPr>
              <w:t>年</w:t>
            </w:r>
            <w:r>
              <w:rPr>
                <w:rFonts w:hint="eastAsia" w:cs="Times New Roman" w:eastAsiaTheme="minorEastAsia"/>
                <w:b/>
                <w:color w:val="000000"/>
                <w:kern w:val="0"/>
                <w:szCs w:val="21"/>
                <w:lang w:val="en-US" w:eastAsia="zh-CN"/>
              </w:rPr>
              <w:t>6</w:t>
            </w:r>
            <w:r>
              <w:rPr>
                <w:rFonts w:hint="default" w:ascii="Times New Roman" w:hAnsi="Times New Roman" w:cs="Times New Roman" w:eastAsiaTheme="minorEastAsia"/>
                <w:b/>
                <w:color w:val="000000"/>
                <w:kern w:val="0"/>
                <w:szCs w:val="21"/>
              </w:rPr>
              <w:t>月3</w:t>
            </w:r>
            <w:r>
              <w:rPr>
                <w:rFonts w:hint="eastAsia" w:cs="Times New Roman" w:eastAsiaTheme="minorEastAsia"/>
                <w:b/>
                <w:color w:val="000000"/>
                <w:kern w:val="0"/>
                <w:szCs w:val="21"/>
                <w:lang w:val="en-US" w:eastAsia="zh-CN"/>
              </w:rPr>
              <w:t>0</w:t>
            </w:r>
            <w:r>
              <w:rPr>
                <w:rFonts w:hint="default" w:ascii="Times New Roman" w:hAnsi="Times New Roman" w:cs="Times New Roman"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资产总额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1,624,238,738.80</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1,648,319,818.93</w:t>
            </w:r>
          </w:p>
        </w:tc>
      </w:tr>
      <w:tr>
        <w:tblPrEx>
          <w:tblCellMar>
            <w:top w:w="0" w:type="dxa"/>
            <w:left w:w="108" w:type="dxa"/>
            <w:bottom w:w="0" w:type="dxa"/>
            <w:right w:w="108" w:type="dxa"/>
          </w:tblCellMar>
        </w:tblPrEx>
        <w:trPr>
          <w:trHeight w:val="90"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负债总额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294,316,496.83</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370,180,254.86</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所有者权益合计</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1,329,922,241.97</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Cs/>
                <w:color w:val="000000"/>
                <w:kern w:val="0"/>
                <w:szCs w:val="21"/>
              </w:rPr>
            </w:pPr>
            <w:r>
              <w:rPr>
                <w:rFonts w:hint="default" w:ascii="Times New Roman" w:hAnsi="Times New Roman" w:cs="Times New Roman" w:eastAsiaTheme="minorEastAsia"/>
                <w:bCs/>
                <w:color w:val="000000"/>
                <w:kern w:val="0"/>
                <w:szCs w:val="21"/>
              </w:rPr>
              <w:t>1,278,139,564.07</w:t>
            </w:r>
          </w:p>
        </w:tc>
      </w:tr>
      <w:tr>
        <w:tblPrEx>
          <w:tblCellMar>
            <w:top w:w="0" w:type="dxa"/>
            <w:left w:w="108" w:type="dxa"/>
            <w:bottom w:w="0" w:type="dxa"/>
            <w:right w:w="108" w:type="dxa"/>
          </w:tblCellMar>
        </w:tblPrEx>
        <w:trPr>
          <w:trHeight w:val="397" w:hRule="atLeast"/>
          <w:jc w:val="center"/>
        </w:trPr>
        <w:tc>
          <w:tcPr>
            <w:tcW w:w="295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经营活动产生的现金</w:t>
            </w:r>
            <w:r>
              <w:rPr>
                <w:rFonts w:hint="default" w:ascii="Times New Roman" w:hAnsi="Times New Roman" w:cs="Times New Roman" w:eastAsiaTheme="minorEastAsia"/>
                <w:bCs/>
                <w:color w:val="000000"/>
                <w:kern w:val="0"/>
                <w:szCs w:val="21"/>
                <w:lang w:val="en-US" w:eastAsia="zh-CN"/>
              </w:rPr>
              <w:t>流量</w:t>
            </w:r>
            <w:r>
              <w:rPr>
                <w:rFonts w:hint="default" w:ascii="Times New Roman" w:hAnsi="Times New Roman" w:cs="Times New Roman" w:eastAsiaTheme="minorEastAsia"/>
                <w:bCs/>
                <w:color w:val="000000"/>
                <w:kern w:val="0"/>
                <w:szCs w:val="21"/>
              </w:rPr>
              <w:t>净额</w:t>
            </w:r>
          </w:p>
        </w:tc>
        <w:tc>
          <w:tcPr>
            <w:tcW w:w="239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Cs/>
                <w:color w:val="000000"/>
                <w:kern w:val="0"/>
                <w:szCs w:val="21"/>
              </w:rPr>
              <w:t>145,981,400.36</w:t>
            </w:r>
          </w:p>
        </w:tc>
        <w:tc>
          <w:tcPr>
            <w:tcW w:w="2631"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hint="default" w:ascii="Times New Roman" w:hAnsi="Times New Roman" w:cs="Times New Roman" w:eastAsiaTheme="minorEastAsia"/>
                <w:b/>
                <w:color w:val="000000"/>
                <w:kern w:val="0"/>
                <w:szCs w:val="21"/>
              </w:rPr>
            </w:pPr>
            <w:r>
              <w:rPr>
                <w:rFonts w:hint="default" w:ascii="Times New Roman" w:hAnsi="Times New Roman" w:cs="Times New Roman" w:eastAsiaTheme="minorEastAsia"/>
                <w:b w:val="0"/>
                <w:bCs/>
                <w:color w:val="000000"/>
                <w:kern w:val="0"/>
                <w:szCs w:val="21"/>
              </w:rPr>
              <w:t>-117,160,820.87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eastAsiaTheme="minorEastAsia"/>
          <w:color w:val="000000"/>
          <w:sz w:val="24"/>
          <w:szCs w:val="24"/>
          <w:highlight w:val="none"/>
        </w:rPr>
        <w:t>在符合国家法律法规，确保不影响公司正常运营、公司</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投资计划正常进行和</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安全的前提下，公司使用部分闲置</w:t>
      </w:r>
      <w:r>
        <w:rPr>
          <w:rFonts w:hint="eastAsia" w:eastAsiaTheme="minorEastAsia"/>
          <w:color w:val="000000"/>
          <w:sz w:val="24"/>
          <w:szCs w:val="24"/>
          <w:highlight w:val="none"/>
          <w:lang w:eastAsia="zh-CN"/>
        </w:rPr>
        <w:t>自有资金</w:t>
      </w:r>
      <w:r>
        <w:rPr>
          <w:rFonts w:eastAsiaTheme="minorEastAsia"/>
          <w:color w:val="000000"/>
          <w:sz w:val="24"/>
          <w:szCs w:val="24"/>
          <w:highlight w:val="none"/>
        </w:rPr>
        <w:t>进行现金管理购买期限不超过一</w:t>
      </w:r>
      <w:r>
        <w:rPr>
          <w:rFonts w:hint="default" w:ascii="Times New Roman" w:hAnsi="Times New Roman" w:cs="Times New Roman" w:eastAsiaTheme="minorEastAsia"/>
          <w:color w:val="000000"/>
          <w:sz w:val="24"/>
          <w:szCs w:val="24"/>
          <w:highlight w:val="none"/>
        </w:rPr>
        <w:t>年的理财产品，可以提高公司资金使用效率，增加存储收益，符合公司和全体股东的利益。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hint="default" w:ascii="Times New Roman" w:hAnsi="Times New Roman" w:cs="Times New Roman" w:eastAsiaTheme="minorEastAsia"/>
          <w:color w:val="000000"/>
          <w:sz w:val="24"/>
          <w:szCs w:val="24"/>
          <w:highlight w:val="none"/>
        </w:rPr>
      </w:pPr>
      <w:r>
        <w:rPr>
          <w:rFonts w:hint="default" w:ascii="Times New Roman" w:hAnsi="Times New Roman" w:cs="Times New Roman" w:eastAsiaTheme="minorEastAsia"/>
          <w:color w:val="000000"/>
          <w:sz w:val="24"/>
          <w:szCs w:val="24"/>
          <w:highlight w:val="none"/>
        </w:rPr>
        <w:t>截止20</w:t>
      </w:r>
      <w:r>
        <w:rPr>
          <w:rFonts w:hint="default" w:ascii="Times New Roman" w:hAnsi="Times New Roman"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6</w:t>
      </w:r>
      <w:r>
        <w:rPr>
          <w:rFonts w:hint="default" w:ascii="Times New Roman" w:hAnsi="Times New Roman" w:cs="Times New Roman" w:eastAsiaTheme="minorEastAsia"/>
          <w:color w:val="000000"/>
          <w:sz w:val="24"/>
          <w:szCs w:val="24"/>
          <w:highlight w:val="none"/>
        </w:rPr>
        <w:t>月</w:t>
      </w:r>
      <w:r>
        <w:rPr>
          <w:rFonts w:hint="default" w:ascii="Times New Roman" w:hAnsi="Times New Roman" w:cs="Times New Roman" w:eastAsiaTheme="minorEastAsia"/>
          <w:color w:val="000000"/>
          <w:sz w:val="24"/>
          <w:szCs w:val="24"/>
          <w:highlight w:val="none"/>
          <w:lang w:val="en-US" w:eastAsia="zh-CN"/>
        </w:rPr>
        <w:t>3</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日，公司资产负债率为</w:t>
      </w:r>
      <w:r>
        <w:rPr>
          <w:rFonts w:hint="default" w:ascii="Times New Roman" w:hAnsi="Times New Roman" w:cs="Times New Roman" w:eastAsiaTheme="minorEastAsia"/>
          <w:color w:val="000000"/>
          <w:sz w:val="24"/>
          <w:szCs w:val="24"/>
          <w:highlight w:val="none"/>
          <w:lang w:val="en-US" w:eastAsia="zh-CN"/>
        </w:rPr>
        <w:t>2</w:t>
      </w:r>
      <w:r>
        <w:rPr>
          <w:rFonts w:hint="eastAsia" w:cs="Times New Roman" w:eastAsiaTheme="minorEastAsia"/>
          <w:color w:val="000000"/>
          <w:sz w:val="24"/>
          <w:szCs w:val="24"/>
          <w:highlight w:val="none"/>
          <w:lang w:val="en-US" w:eastAsia="zh-CN"/>
        </w:rPr>
        <w:t>2</w:t>
      </w:r>
      <w:r>
        <w:rPr>
          <w:rFonts w:hint="default" w:ascii="Times New Roman" w:hAnsi="Times New Roman" w:cs="Times New Roman" w:eastAsiaTheme="minorEastAsia"/>
          <w:color w:val="000000"/>
          <w:sz w:val="24"/>
          <w:szCs w:val="24"/>
          <w:highlight w:val="none"/>
          <w:lang w:val="en-US" w:eastAsia="zh-CN"/>
        </w:rPr>
        <w:t>.</w:t>
      </w:r>
      <w:r>
        <w:rPr>
          <w:rFonts w:hint="eastAsia" w:cs="Times New Roman" w:eastAsiaTheme="minorEastAsia"/>
          <w:color w:val="000000"/>
          <w:sz w:val="24"/>
          <w:szCs w:val="24"/>
          <w:highlight w:val="none"/>
          <w:lang w:val="en-US" w:eastAsia="zh-CN"/>
        </w:rPr>
        <w:t>46</w:t>
      </w:r>
      <w:r>
        <w:rPr>
          <w:rFonts w:hint="default" w:ascii="Times New Roman" w:hAnsi="Times New Roman" w:cs="Times New Roman" w:eastAsiaTheme="minorEastAsia"/>
          <w:color w:val="000000"/>
          <w:sz w:val="24"/>
          <w:szCs w:val="24"/>
          <w:highlight w:val="none"/>
        </w:rPr>
        <w:t>%，不存在负有大额负债的同时购买大额理财产品的情形，不会对公司未来主营业务、财务状况、经营成果和现金流量造成较大影响。本次购买的理财产品计入资产负债表中</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交易性金融资产</w:t>
      </w:r>
      <w:r>
        <w:rPr>
          <w:rFonts w:hint="eastAsia" w:cs="Times New Roman" w:eastAsiaTheme="minorEastAsia"/>
          <w:color w:val="000000"/>
          <w:sz w:val="24"/>
          <w:szCs w:val="24"/>
          <w:highlight w:val="none"/>
          <w:lang w:eastAsia="zh-CN"/>
        </w:rPr>
        <w:t>”</w:t>
      </w:r>
      <w:r>
        <w:rPr>
          <w:rFonts w:hint="default" w:ascii="Times New Roman" w:hAnsi="Times New Roman" w:cs="Times New Roman" w:eastAsiaTheme="minorEastAsia"/>
          <w:color w:val="000000"/>
          <w:sz w:val="24"/>
          <w:szCs w:val="24"/>
          <w:highlight w:val="none"/>
        </w:rPr>
        <w:t>，将产生的利息收益计入利润表中</w:t>
      </w:r>
      <w:r>
        <w:rPr>
          <w:rFonts w:hint="eastAsia" w:asciiTheme="minorEastAsia" w:hAnsiTheme="minorEastAsia" w:eastAsiaTheme="minorEastAsia" w:cstheme="minorEastAsia"/>
          <w:color w:val="000000"/>
          <w:sz w:val="24"/>
          <w:szCs w:val="24"/>
          <w:highlight w:val="none"/>
        </w:rPr>
        <w:t>“投资收益”</w:t>
      </w:r>
      <w:r>
        <w:rPr>
          <w:rFonts w:hint="default" w:ascii="Times New Roman" w:hAnsi="Times New Roman" w:cs="Times New Roman" w:eastAsiaTheme="minorEastAsia"/>
          <w:color w:val="000000"/>
          <w:sz w:val="24"/>
          <w:szCs w:val="24"/>
          <w:highlight w:val="none"/>
        </w:rPr>
        <w:t>。</w:t>
      </w:r>
    </w:p>
    <w:p>
      <w:pPr>
        <w:widowControl/>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widowControl/>
        <w:spacing w:before="156" w:beforeLines="50" w:after="156" w:afterLines="50" w:line="360" w:lineRule="auto"/>
        <w:ind w:firstLine="420" w:firstLineChars="175"/>
        <w:rPr>
          <w:rFonts w:eastAsiaTheme="minorEastAsia"/>
          <w:color w:val="000000"/>
          <w:sz w:val="24"/>
          <w:szCs w:val="24"/>
          <w:highlight w:val="none"/>
        </w:rPr>
      </w:pPr>
      <w:r>
        <w:rPr>
          <w:rFonts w:eastAsiaTheme="minorEastAsia"/>
          <w:color w:val="000000"/>
          <w:sz w:val="24"/>
          <w:szCs w:val="24"/>
          <w:highlight w:val="none"/>
        </w:rPr>
        <w:t>尽管本次公司进行现金管理，</w:t>
      </w:r>
      <w:r>
        <w:rPr>
          <w:rFonts w:hint="eastAsia" w:eastAsiaTheme="minorEastAsia"/>
          <w:color w:val="000000"/>
          <w:sz w:val="24"/>
          <w:szCs w:val="24"/>
          <w:highlight w:val="none"/>
          <w:lang w:eastAsia="zh-CN"/>
        </w:rPr>
        <w:t>主要用于投资</w:t>
      </w:r>
      <w:r>
        <w:rPr>
          <w:rFonts w:ascii="宋体" w:hAnsi="宋体" w:eastAsia="宋体" w:cs="宋体"/>
          <w:sz w:val="24"/>
          <w:szCs w:val="24"/>
          <w:highlight w:val="none"/>
        </w:rPr>
        <w:t>合法金融机构发行的风险可控、流动性好的理财产品</w:t>
      </w:r>
      <w:r>
        <w:rPr>
          <w:rFonts w:hint="eastAsia" w:ascii="宋体" w:hAnsi="宋体" w:cs="宋体"/>
          <w:sz w:val="24"/>
          <w:szCs w:val="24"/>
          <w:highlight w:val="none"/>
          <w:lang w:eastAsia="zh-CN"/>
        </w:rPr>
        <w:t>，</w:t>
      </w:r>
      <w:r>
        <w:rPr>
          <w:rFonts w:ascii="宋体" w:hAnsi="宋体" w:eastAsia="宋体" w:cs="宋体"/>
          <w:sz w:val="24"/>
          <w:szCs w:val="24"/>
          <w:highlight w:val="none"/>
        </w:rPr>
        <w:t>不直接用于其他证券投资，不购买股票及其衍生品、无担保债券</w:t>
      </w:r>
      <w:r>
        <w:rPr>
          <w:rFonts w:hint="eastAsia" w:ascii="宋体" w:hAnsi="宋体" w:cs="宋体"/>
          <w:sz w:val="24"/>
          <w:szCs w:val="24"/>
          <w:highlight w:val="none"/>
          <w:lang w:eastAsia="zh-CN"/>
        </w:rPr>
        <w:t>。</w:t>
      </w:r>
      <w:r>
        <w:rPr>
          <w:rFonts w:eastAsiaTheme="minorEastAsia"/>
          <w:color w:val="000000"/>
          <w:sz w:val="24"/>
          <w:szCs w:val="24"/>
          <w:highlight w:val="none"/>
        </w:rPr>
        <w:t>但金融市场受宏观经济、财政及货币政策的影响较大，该项投资仍会受到市场波动的影响。</w:t>
      </w:r>
      <w:r>
        <w:rPr>
          <w:rFonts w:hint="eastAsia" w:eastAsiaTheme="minorEastAsia"/>
          <w:color w:val="000000"/>
          <w:sz w:val="24"/>
          <w:szCs w:val="24"/>
          <w:highlight w:val="none"/>
        </w:rPr>
        <w:t>敬请广大投资者谨慎决策，注意防范投资风险。</w:t>
      </w:r>
    </w:p>
    <w:p>
      <w:pPr>
        <w:widowControl/>
        <w:spacing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widowControl/>
        <w:spacing w:before="156" w:beforeLines="50" w:after="156" w:afterLines="50" w:line="360" w:lineRule="auto"/>
        <w:ind w:firstLine="420" w:firstLineChars="175"/>
        <w:rPr>
          <w:rFonts w:hint="eastAsia" w:eastAsiaTheme="minorEastAsia"/>
          <w:color w:val="000000"/>
          <w:sz w:val="24"/>
          <w:szCs w:val="24"/>
          <w:highlight w:val="none"/>
          <w:lang w:val="en-US" w:eastAsia="zh-CN"/>
        </w:rPr>
      </w:pPr>
      <w:r>
        <w:rPr>
          <w:rFonts w:hint="eastAsia" w:asciiTheme="minorEastAsia" w:hAnsiTheme="minorEastAsia" w:eastAsiaTheme="minorEastAsia" w:cstheme="minorEastAsia"/>
          <w:color w:val="000000"/>
          <w:kern w:val="0"/>
          <w:sz w:val="24"/>
          <w:szCs w:val="24"/>
          <w:highlight w:val="none"/>
          <w:lang w:val="en-US" w:eastAsia="zh-CN" w:bidi="ar"/>
        </w:rPr>
        <w:t>公司</w:t>
      </w:r>
      <w:r>
        <w:rPr>
          <w:rFonts w:hint="eastAsia" w:asciiTheme="minorEastAsia" w:hAnsiTheme="minorEastAsia" w:eastAsiaTheme="minorEastAsia" w:cstheme="minorEastAsia"/>
          <w:color w:val="000000"/>
          <w:kern w:val="0"/>
          <w:sz w:val="24"/>
          <w:szCs w:val="24"/>
          <w:highlight w:val="none"/>
          <w:lang w:bidi="ar"/>
        </w:rPr>
        <w:t>分</w:t>
      </w:r>
      <w:r>
        <w:rPr>
          <w:rFonts w:hint="default" w:ascii="Times New Roman" w:hAnsi="Times New Roman" w:cs="Times New Roman" w:eastAsiaTheme="minorEastAsia"/>
          <w:color w:val="000000"/>
          <w:kern w:val="0"/>
          <w:sz w:val="24"/>
          <w:szCs w:val="24"/>
          <w:highlight w:val="none"/>
          <w:lang w:bidi="ar"/>
        </w:rPr>
        <w:t>别于202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4</w:t>
      </w:r>
      <w:r>
        <w:rPr>
          <w:rFonts w:hint="default" w:ascii="Times New Roman" w:hAnsi="Times New Roman" w:cs="Times New Roman" w:eastAsiaTheme="minorEastAsia"/>
          <w:color w:val="000000"/>
          <w:kern w:val="0"/>
          <w:sz w:val="24"/>
          <w:szCs w:val="24"/>
          <w:highlight w:val="none"/>
          <w:lang w:bidi="ar"/>
        </w:rPr>
        <w:t>月</w:t>
      </w:r>
      <w:r>
        <w:rPr>
          <w:rFonts w:hint="eastAsia" w:cs="Times New Roman" w:eastAsiaTheme="minorEastAsia"/>
          <w:color w:val="000000"/>
          <w:kern w:val="0"/>
          <w:sz w:val="24"/>
          <w:szCs w:val="24"/>
          <w:highlight w:val="none"/>
          <w:lang w:val="en-US" w:eastAsia="zh-CN" w:bidi="ar"/>
        </w:rPr>
        <w:t>22</w:t>
      </w:r>
      <w:r>
        <w:rPr>
          <w:rFonts w:hint="default" w:ascii="Times New Roman" w:hAnsi="Times New Roman" w:cs="Times New Roman" w:eastAsiaTheme="minorEastAsia"/>
          <w:color w:val="000000"/>
          <w:kern w:val="0"/>
          <w:sz w:val="24"/>
          <w:szCs w:val="24"/>
          <w:highlight w:val="none"/>
          <w:lang w:bidi="ar"/>
        </w:rPr>
        <w:t>日、202</w:t>
      </w:r>
      <w:r>
        <w:rPr>
          <w:rFonts w:hint="eastAsia" w:cs="Times New Roman" w:eastAsiaTheme="minorEastAsia"/>
          <w:color w:val="000000"/>
          <w:kern w:val="0"/>
          <w:sz w:val="24"/>
          <w:szCs w:val="24"/>
          <w:highlight w:val="none"/>
          <w:lang w:val="en-US" w:eastAsia="zh-CN" w:bidi="ar"/>
        </w:rPr>
        <w:t>1</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5</w:t>
      </w:r>
      <w:r>
        <w:rPr>
          <w:rFonts w:hint="default" w:ascii="Times New Roman" w:hAnsi="Times New Roman" w:cs="Times New Roman" w:eastAsiaTheme="minorEastAsia"/>
          <w:color w:val="000000"/>
          <w:kern w:val="0"/>
          <w:sz w:val="24"/>
          <w:szCs w:val="24"/>
          <w:highlight w:val="none"/>
          <w:lang w:bidi="ar"/>
        </w:rPr>
        <w:t>月</w:t>
      </w:r>
      <w:r>
        <w:rPr>
          <w:rFonts w:hint="eastAsia" w:cs="Times New Roman" w:eastAsiaTheme="minorEastAsia"/>
          <w:color w:val="000000"/>
          <w:kern w:val="0"/>
          <w:sz w:val="24"/>
          <w:szCs w:val="24"/>
          <w:highlight w:val="none"/>
          <w:lang w:val="en-US" w:eastAsia="zh-CN" w:bidi="ar"/>
        </w:rPr>
        <w:t>13</w:t>
      </w:r>
      <w:r>
        <w:rPr>
          <w:rFonts w:hint="default" w:ascii="Times New Roman" w:hAnsi="Times New Roman" w:cs="Times New Roman" w:eastAsiaTheme="minorEastAsia"/>
          <w:color w:val="000000"/>
          <w:kern w:val="0"/>
          <w:sz w:val="24"/>
          <w:szCs w:val="24"/>
          <w:highlight w:val="none"/>
          <w:lang w:bidi="ar"/>
        </w:rPr>
        <w:t>日召开了公司第七届董事会第十</w:t>
      </w:r>
      <w:r>
        <w:rPr>
          <w:rFonts w:hint="eastAsia" w:cs="Times New Roman" w:eastAsiaTheme="minorEastAsia"/>
          <w:color w:val="000000"/>
          <w:kern w:val="0"/>
          <w:sz w:val="24"/>
          <w:szCs w:val="24"/>
          <w:highlight w:val="none"/>
          <w:lang w:val="en-US" w:eastAsia="zh-CN" w:bidi="ar"/>
        </w:rPr>
        <w:t>六</w:t>
      </w:r>
      <w:r>
        <w:rPr>
          <w:rFonts w:hint="default" w:ascii="Times New Roman" w:hAnsi="Times New Roman" w:cs="Times New Roman" w:eastAsiaTheme="minorEastAsia"/>
          <w:color w:val="000000"/>
          <w:kern w:val="0"/>
          <w:sz w:val="24"/>
          <w:szCs w:val="24"/>
          <w:highlight w:val="none"/>
          <w:lang w:bidi="ar"/>
        </w:rPr>
        <w:t>次会议、第七届监事会第</w:t>
      </w:r>
      <w:r>
        <w:rPr>
          <w:rFonts w:hint="eastAsia" w:cs="Times New Roman" w:eastAsiaTheme="minorEastAsia"/>
          <w:color w:val="000000"/>
          <w:kern w:val="0"/>
          <w:sz w:val="24"/>
          <w:szCs w:val="24"/>
          <w:highlight w:val="none"/>
          <w:lang w:val="en-US" w:eastAsia="zh-CN" w:bidi="ar"/>
        </w:rPr>
        <w:t>十二</w:t>
      </w:r>
      <w:r>
        <w:rPr>
          <w:rFonts w:hint="default" w:ascii="Times New Roman" w:hAnsi="Times New Roman" w:cs="Times New Roman" w:eastAsiaTheme="minorEastAsia"/>
          <w:color w:val="000000"/>
          <w:kern w:val="0"/>
          <w:sz w:val="24"/>
          <w:szCs w:val="24"/>
          <w:highlight w:val="none"/>
          <w:lang w:bidi="ar"/>
        </w:rPr>
        <w:t>次会议及公司202</w:t>
      </w:r>
      <w:r>
        <w:rPr>
          <w:rFonts w:hint="eastAsia" w:cs="Times New Roman" w:eastAsiaTheme="minorEastAsia"/>
          <w:color w:val="000000"/>
          <w:kern w:val="0"/>
          <w:sz w:val="24"/>
          <w:szCs w:val="24"/>
          <w:highlight w:val="none"/>
          <w:lang w:val="en-US" w:eastAsia="zh-CN" w:bidi="ar"/>
        </w:rPr>
        <w:t>0</w:t>
      </w:r>
      <w:r>
        <w:rPr>
          <w:rFonts w:hint="default" w:ascii="Times New Roman" w:hAnsi="Times New Roman" w:cs="Times New Roman" w:eastAsiaTheme="minorEastAsia"/>
          <w:color w:val="000000"/>
          <w:kern w:val="0"/>
          <w:sz w:val="24"/>
          <w:szCs w:val="24"/>
          <w:highlight w:val="none"/>
          <w:lang w:bidi="ar"/>
        </w:rPr>
        <w:t>年</w:t>
      </w:r>
      <w:r>
        <w:rPr>
          <w:rFonts w:hint="eastAsia" w:cs="Times New Roman" w:eastAsiaTheme="minorEastAsia"/>
          <w:color w:val="000000"/>
          <w:kern w:val="0"/>
          <w:sz w:val="24"/>
          <w:szCs w:val="24"/>
          <w:highlight w:val="none"/>
          <w:lang w:val="en-US" w:eastAsia="zh-CN" w:bidi="ar"/>
        </w:rPr>
        <w:t>年度</w:t>
      </w:r>
      <w:r>
        <w:rPr>
          <w:rFonts w:hint="default" w:ascii="Times New Roman" w:hAnsi="Times New Roman" w:cs="Times New Roman" w:eastAsiaTheme="minorEastAsia"/>
          <w:color w:val="000000"/>
          <w:kern w:val="0"/>
          <w:sz w:val="24"/>
          <w:szCs w:val="24"/>
          <w:highlight w:val="none"/>
          <w:lang w:bidi="ar"/>
        </w:rPr>
        <w:t>股东大会，</w:t>
      </w:r>
      <w:r>
        <w:rPr>
          <w:rFonts w:hint="default" w:ascii="Times New Roman" w:hAnsi="Times New Roman" w:cs="Times New Roman" w:eastAsiaTheme="minorEastAsia"/>
          <w:color w:val="000000"/>
          <w:sz w:val="24"/>
          <w:szCs w:val="24"/>
          <w:highlight w:val="none"/>
        </w:rPr>
        <w:t>审议通过了《关于使用部分闲置自有资金进行现金管理的议案》，同意公司使用总额不超过人民币8亿元（含8亿元）的闲置自有资金进行现金管理，同时在二年内（含二年）该资金额度可滚动使用。自获得公司2020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股东大会审议通过之日起二年内有效。公司独立董事、监事会及保荐机构已分别对此发表了同意的意见。具体详情详见公司分别于202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4</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23</w:t>
      </w:r>
      <w:r>
        <w:rPr>
          <w:rFonts w:hint="default" w:ascii="Times New Roman" w:hAnsi="Times New Roman" w:cs="Times New Roman" w:eastAsiaTheme="minorEastAsia"/>
          <w:color w:val="000000"/>
          <w:sz w:val="24"/>
          <w:szCs w:val="24"/>
          <w:highlight w:val="none"/>
        </w:rPr>
        <w:t>日、202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5</w:t>
      </w:r>
      <w:r>
        <w:rPr>
          <w:rFonts w:hint="default" w:ascii="Times New Roman" w:hAnsi="Times New Roman" w:cs="Times New Roman" w:eastAsiaTheme="minorEastAsia"/>
          <w:color w:val="000000"/>
          <w:sz w:val="24"/>
          <w:szCs w:val="24"/>
          <w:highlight w:val="none"/>
        </w:rPr>
        <w:t>月</w:t>
      </w:r>
      <w:r>
        <w:rPr>
          <w:rFonts w:hint="eastAsia" w:cs="Times New Roman" w:eastAsiaTheme="minorEastAsia"/>
          <w:color w:val="000000"/>
          <w:sz w:val="24"/>
          <w:szCs w:val="24"/>
          <w:highlight w:val="none"/>
          <w:lang w:val="en-US" w:eastAsia="zh-CN"/>
        </w:rPr>
        <w:t>14</w:t>
      </w:r>
      <w:r>
        <w:rPr>
          <w:rFonts w:hint="default" w:ascii="Times New Roman" w:hAnsi="Times New Roman" w:cs="Times New Roman" w:eastAsiaTheme="minorEastAsia"/>
          <w:color w:val="000000"/>
          <w:sz w:val="24"/>
          <w:szCs w:val="24"/>
          <w:highlight w:val="none"/>
        </w:rPr>
        <w:t>日刊登在上海证券交易所网站（www.sse.com.cn）的《</w:t>
      </w:r>
      <w:r>
        <w:rPr>
          <w:rFonts w:hint="default" w:ascii="Times New Roman" w:hAnsi="Times New Roman" w:cs="Times New Roman" w:eastAsiaTheme="minorEastAsia"/>
          <w:sz w:val="24"/>
          <w:szCs w:val="24"/>
          <w:highlight w:val="none"/>
        </w:rPr>
        <w:t>格尔软件股份有限公司关于使用部分闲置自有资金进行现金管理的公告</w:t>
      </w:r>
      <w:r>
        <w:rPr>
          <w:rFonts w:hint="default" w:ascii="Times New Roman" w:hAnsi="Times New Roman" w:cs="Times New Roman" w:eastAsiaTheme="minorEastAsia"/>
          <w:color w:val="000000"/>
          <w:sz w:val="24"/>
          <w:szCs w:val="24"/>
          <w:highlight w:val="none"/>
        </w:rPr>
        <w:t>》（公告编号：202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21</w:t>
      </w:r>
      <w:r>
        <w:rPr>
          <w:rFonts w:hint="default" w:ascii="Times New Roman" w:hAnsi="Times New Roman" w:cs="Times New Roman" w:eastAsiaTheme="minorEastAsia"/>
          <w:color w:val="000000"/>
          <w:sz w:val="24"/>
          <w:szCs w:val="24"/>
          <w:highlight w:val="none"/>
        </w:rPr>
        <w:t>）、《格尔软件股份有限公司202</w:t>
      </w:r>
      <w:r>
        <w:rPr>
          <w:rFonts w:hint="eastAsia" w:cs="Times New Roman" w:eastAsiaTheme="minorEastAsia"/>
          <w:color w:val="000000"/>
          <w:sz w:val="24"/>
          <w:szCs w:val="24"/>
          <w:highlight w:val="none"/>
          <w:lang w:val="en-US" w:eastAsia="zh-CN"/>
        </w:rPr>
        <w:t>0</w:t>
      </w:r>
      <w:r>
        <w:rPr>
          <w:rFonts w:hint="default" w:ascii="Times New Roman" w:hAnsi="Times New Roman" w:cs="Times New Roman" w:eastAsiaTheme="minorEastAsia"/>
          <w:color w:val="000000"/>
          <w:sz w:val="24"/>
          <w:szCs w:val="24"/>
          <w:highlight w:val="none"/>
        </w:rPr>
        <w:t>年</w:t>
      </w:r>
      <w:r>
        <w:rPr>
          <w:rFonts w:hint="eastAsia" w:cs="Times New Roman" w:eastAsiaTheme="minorEastAsia"/>
          <w:color w:val="000000"/>
          <w:sz w:val="24"/>
          <w:szCs w:val="24"/>
          <w:highlight w:val="none"/>
          <w:lang w:val="en-US" w:eastAsia="zh-CN"/>
        </w:rPr>
        <w:t>年度</w:t>
      </w:r>
      <w:r>
        <w:rPr>
          <w:rFonts w:hint="default" w:ascii="Times New Roman" w:hAnsi="Times New Roman" w:cs="Times New Roman" w:eastAsiaTheme="minorEastAsia"/>
          <w:color w:val="000000"/>
          <w:sz w:val="24"/>
          <w:szCs w:val="24"/>
          <w:highlight w:val="none"/>
        </w:rPr>
        <w:t>股东大会决议公告》（公告编号：202</w:t>
      </w:r>
      <w:r>
        <w:rPr>
          <w:rFonts w:hint="eastAsia" w:cs="Times New Roman" w:eastAsiaTheme="minorEastAsia"/>
          <w:color w:val="000000"/>
          <w:sz w:val="24"/>
          <w:szCs w:val="24"/>
          <w:highlight w:val="none"/>
          <w:lang w:val="en-US" w:eastAsia="zh-CN"/>
        </w:rPr>
        <w:t>1</w:t>
      </w:r>
      <w:r>
        <w:rPr>
          <w:rFonts w:hint="default" w:ascii="Times New Roman" w:hAnsi="Times New Roman" w:cs="Times New Roman" w:eastAsiaTheme="minorEastAsia"/>
          <w:color w:val="000000"/>
          <w:sz w:val="24"/>
          <w:szCs w:val="24"/>
          <w:highlight w:val="none"/>
        </w:rPr>
        <w:t>-0</w:t>
      </w:r>
      <w:r>
        <w:rPr>
          <w:rFonts w:hint="eastAsia" w:cs="Times New Roman" w:eastAsiaTheme="minorEastAsia"/>
          <w:color w:val="000000"/>
          <w:sz w:val="24"/>
          <w:szCs w:val="24"/>
          <w:highlight w:val="none"/>
          <w:lang w:val="en-US" w:eastAsia="zh-CN"/>
        </w:rPr>
        <w:t>28</w:t>
      </w:r>
      <w:r>
        <w:rPr>
          <w:rFonts w:hint="default" w:ascii="Times New Roman" w:hAnsi="Times New Roman" w:cs="Times New Roman" w:eastAsiaTheme="minorEastAsia"/>
          <w:color w:val="000000"/>
          <w:sz w:val="24"/>
          <w:szCs w:val="24"/>
          <w:highlight w:val="none"/>
        </w:rPr>
        <w:t>）。</w:t>
      </w:r>
    </w:p>
    <w:p>
      <w:pPr>
        <w:widowControl/>
        <w:spacing w:line="360" w:lineRule="auto"/>
        <w:jc w:val="left"/>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w:t>
      </w:r>
      <w:r>
        <w:rPr>
          <w:rFonts w:hint="eastAsia" w:asciiTheme="minorEastAsia" w:hAnsiTheme="minorEastAsia" w:eastAsiaTheme="minorEastAsia" w:cstheme="minorEastAsia"/>
          <w:b/>
          <w:bCs/>
          <w:color w:val="000000"/>
          <w:sz w:val="24"/>
          <w:szCs w:val="24"/>
          <w:highlight w:val="none"/>
          <w:lang w:eastAsia="zh-CN"/>
        </w:rPr>
        <w:t>自有资金</w:t>
      </w:r>
      <w:r>
        <w:rPr>
          <w:rFonts w:asciiTheme="minorEastAsia" w:hAnsiTheme="minorEastAsia" w:eastAsiaTheme="minorEastAsia" w:cstheme="minorEastAsia"/>
          <w:b/>
          <w:bCs/>
          <w:color w:val="000000"/>
          <w:sz w:val="24"/>
          <w:szCs w:val="24"/>
          <w:highlight w:val="none"/>
        </w:rPr>
        <w:t>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639"/>
        <w:gridCol w:w="1622"/>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序号</w:t>
            </w:r>
          </w:p>
        </w:tc>
        <w:tc>
          <w:tcPr>
            <w:tcW w:w="155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理财产品类型</w:t>
            </w:r>
          </w:p>
        </w:tc>
        <w:tc>
          <w:tcPr>
            <w:tcW w:w="1639"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实际投入金额</w:t>
            </w:r>
          </w:p>
        </w:tc>
        <w:tc>
          <w:tcPr>
            <w:tcW w:w="1622"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实际收回本金</w:t>
            </w:r>
          </w:p>
        </w:tc>
        <w:tc>
          <w:tcPr>
            <w:tcW w:w="1378" w:type="dxa"/>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实际收益</w:t>
            </w:r>
          </w:p>
        </w:tc>
        <w:tc>
          <w:tcPr>
            <w:tcW w:w="1449" w:type="dxa"/>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尚未收回</w:t>
            </w:r>
          </w:p>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2,018.00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2,018.00</w:t>
            </w:r>
          </w:p>
        </w:tc>
        <w:tc>
          <w:tcPr>
            <w:tcW w:w="1378" w:type="dxa"/>
            <w:shd w:val="clear" w:color="auto" w:fill="auto"/>
            <w:vAlign w:val="center"/>
          </w:tcPr>
          <w:p>
            <w:pPr>
              <w:keepNext w:val="0"/>
              <w:keepLines w:val="0"/>
              <w:pageBreakBefore w:val="0"/>
              <w:kinsoku/>
              <w:wordWrap/>
              <w:overflowPunct/>
              <w:topLinePunct w:val="0"/>
              <w:autoSpaceDE w:val="0"/>
              <w:autoSpaceDN w:val="0"/>
              <w:bidi w:val="0"/>
              <w:adjustRightInd w:val="0"/>
              <w:snapToGrid/>
              <w:jc w:val="right"/>
              <w:textAlignment w:val="auto"/>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color w:val="000000"/>
                <w:kern w:val="0"/>
                <w:sz w:val="21"/>
                <w:szCs w:val="21"/>
                <w:u w:val="none"/>
                <w:lang w:val="en-US" w:eastAsia="zh-CN" w:bidi="ar"/>
              </w:rPr>
              <w:t>326.68</w:t>
            </w:r>
          </w:p>
        </w:tc>
        <w:tc>
          <w:tcPr>
            <w:tcW w:w="1449" w:type="dxa"/>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2"/>
                <w:sz w:val="21"/>
                <w:szCs w:val="21"/>
                <w:u w:val="none"/>
                <w:lang w:val="en-US" w:eastAsia="zh-CN" w:bidi="ar-SA"/>
              </w:rPr>
            </w:pPr>
            <w:r>
              <w:rPr>
                <w:rFonts w:hint="eastAsia" w:cs="Times New Roman"/>
                <w:i w:val="0"/>
                <w:iCs w:val="0"/>
                <w:color w:val="000000"/>
                <w:kern w:val="2"/>
                <w:sz w:val="21"/>
                <w:szCs w:val="21"/>
                <w:u w:val="none"/>
                <w:lang w:val="en-US" w:eastAsia="zh-CN" w:bidi="ar-SA"/>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pageBreakBefore w:val="0"/>
              <w:kinsoku/>
              <w:wordWrap/>
              <w:overflowPunct/>
              <w:topLinePunct w:val="0"/>
              <w:autoSpaceDE w:val="0"/>
              <w:autoSpaceDN w:val="0"/>
              <w:bidi w:val="0"/>
              <w:adjustRightInd w:val="0"/>
              <w:snapToGrid/>
              <w:jc w:val="right"/>
              <w:textAlignment w:val="auto"/>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color w:val="000000" w:themeColor="text1"/>
                <w:kern w:val="0"/>
                <w:sz w:val="21"/>
                <w:szCs w:val="21"/>
                <w:highlight w:val="none"/>
                <w:u w:val="none"/>
                <w:lang w:val="en-US" w:eastAsia="zh-CN" w:bidi="ar"/>
                <w14:textFill>
                  <w14:solidFill>
                    <w14:schemeClr w14:val="tx1"/>
                  </w14:solidFill>
                </w14:textFill>
              </w:rPr>
              <w:t>159.97</w:t>
            </w:r>
          </w:p>
        </w:tc>
        <w:tc>
          <w:tcPr>
            <w:tcW w:w="1449" w:type="dxa"/>
            <w:vAlign w:val="center"/>
          </w:tcPr>
          <w:p>
            <w:pPr>
              <w:keepNext w:val="0"/>
              <w:keepLines w:val="0"/>
              <w:widowControl/>
              <w:suppressLineNumbers w:val="0"/>
              <w:jc w:val="right"/>
              <w:textAlignment w:val="center"/>
              <w:rPr>
                <w:rFonts w:hint="default" w:ascii="Times New Roman" w:hAnsi="Times New Roman" w:cs="Times New Roman"/>
                <w:i w:val="0"/>
                <w:iCs w:val="0"/>
                <w:color w:val="000000"/>
                <w:kern w:val="2"/>
                <w:sz w:val="21"/>
                <w:szCs w:val="21"/>
                <w:u w:val="none"/>
                <w:lang w:val="en-US" w:eastAsia="zh-CN" w:bidi="ar-SA"/>
              </w:rPr>
            </w:pPr>
            <w:r>
              <w:rPr>
                <w:rFonts w:hint="eastAsia" w:cs="Times New Roman"/>
                <w:i w:val="0"/>
                <w:iCs w:val="0"/>
                <w:color w:val="000000"/>
                <w:kern w:val="2"/>
                <w:sz w:val="21"/>
                <w:szCs w:val="21"/>
                <w:u w:val="none"/>
                <w:lang w:val="en-US" w:eastAsia="zh-CN" w:bidi="ar-SA"/>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8.68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cs="Times New Roman"/>
                <w:i w:val="0"/>
                <w:iCs w:val="0"/>
                <w:color w:val="000000"/>
                <w:kern w:val="2"/>
                <w:sz w:val="21"/>
                <w:szCs w:val="21"/>
                <w:u w:val="none"/>
                <w:lang w:val="en-US" w:eastAsia="zh-CN" w:bidi="ar-SA"/>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3,500.0</w:t>
            </w:r>
            <w:r>
              <w:rPr>
                <w:rFonts w:hint="default" w:ascii="Times New Roman" w:hAnsi="Times New Roman" w:cs="Times New Roman"/>
                <w:i w:val="0"/>
                <w:iCs w:val="0"/>
                <w:color w:val="000000"/>
                <w:kern w:val="0"/>
                <w:sz w:val="21"/>
                <w:szCs w:val="21"/>
                <w:u w:val="none"/>
                <w:lang w:val="en-US" w:eastAsia="zh-CN" w:bidi="ar"/>
              </w:rPr>
              <w:t>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117.13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r>
              <w:rPr>
                <w:rFonts w:hint="default" w:ascii="Times New Roman" w:hAnsi="Times New Roman" w:cs="Times New Roman"/>
                <w:i w:val="0"/>
                <w:iCs w:val="0"/>
                <w:color w:val="000000"/>
                <w:kern w:val="0"/>
                <w:sz w:val="21"/>
                <w:szCs w:val="21"/>
                <w:u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840.00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840.00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29.73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w:t>
            </w:r>
            <w:r>
              <w:rPr>
                <w:rFonts w:hint="default" w:ascii="Times New Roman" w:hAnsi="Times New Roman" w:cs="Times New Roman"/>
                <w:i w:val="0"/>
                <w:iCs w:val="0"/>
                <w:color w:val="000000"/>
                <w:kern w:val="0"/>
                <w:sz w:val="21"/>
                <w:szCs w:val="21"/>
                <w:u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0.80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0.71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18.25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7.21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1,049.00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13.89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11.45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18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26.30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19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16.00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22.91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22.13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400.00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8.58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2,800.00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9.96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12.49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7.52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27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29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42.85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3.77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3,300.00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4.61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67.09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4</w:t>
            </w:r>
            <w:r>
              <w:rPr>
                <w:rFonts w:hint="default" w:ascii="Times New Roman" w:hAnsi="Times New Roman" w:eastAsia="宋体" w:cs="Times New Roman"/>
                <w:i w:val="0"/>
                <w:iCs w:val="0"/>
                <w:color w:val="000000"/>
                <w:kern w:val="0"/>
                <w:sz w:val="21"/>
                <w:szCs w:val="21"/>
                <w:u w:val="none"/>
                <w:lang w:val="en-US" w:eastAsia="zh-CN" w:bidi="ar"/>
              </w:rPr>
              <w:t>,000.00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31.93</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eastAsia" w:cs="Times New Roman"/>
                <w:i w:val="0"/>
                <w:color w:val="000000"/>
                <w:kern w:val="2"/>
                <w:sz w:val="21"/>
                <w:szCs w:val="21"/>
                <w:u w:val="none"/>
                <w:lang w:val="en-US" w:eastAsia="zh-CN" w:bidi="ar-SA"/>
              </w:rPr>
              <w:t>38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6.20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323E4F"/>
                <w:kern w:val="2"/>
                <w:sz w:val="21"/>
                <w:szCs w:val="21"/>
                <w:u w:val="none"/>
                <w:lang w:val="en-US" w:eastAsia="zh-CN" w:bidi="ar-SA"/>
              </w:rPr>
            </w:pPr>
            <w:r>
              <w:rPr>
                <w:rFonts w:hint="eastAsia" w:cs="Times New Roman"/>
                <w:i w:val="0"/>
                <w:color w:val="323E4F"/>
                <w:kern w:val="2"/>
                <w:sz w:val="21"/>
                <w:szCs w:val="21"/>
                <w:u w:val="none"/>
                <w:lang w:val="en-US" w:eastAsia="zh-CN" w:bidi="ar-SA"/>
              </w:rPr>
              <w:t>39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2"/>
                <w:sz w:val="21"/>
                <w:szCs w:val="21"/>
                <w:u w:val="none"/>
                <w:lang w:val="en-US" w:eastAsia="zh-CN" w:bidi="ar-SA"/>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5,200.00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15.90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8.88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42</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5.85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3.25</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3.16</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45</w:t>
            </w:r>
          </w:p>
        </w:tc>
        <w:tc>
          <w:tcPr>
            <w:tcW w:w="1559"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银行理财产品</w:t>
            </w:r>
          </w:p>
        </w:tc>
        <w:tc>
          <w:tcPr>
            <w:tcW w:w="1639"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1,000.00</w:t>
            </w:r>
          </w:p>
        </w:tc>
        <w:tc>
          <w:tcPr>
            <w:tcW w:w="1622"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1,000.00</w:t>
            </w:r>
          </w:p>
        </w:tc>
        <w:tc>
          <w:tcPr>
            <w:tcW w:w="1378"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2.96</w:t>
            </w:r>
          </w:p>
        </w:tc>
        <w:tc>
          <w:tcPr>
            <w:tcW w:w="1449" w:type="dxa"/>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20</w:t>
            </w: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1.99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8,2</w:t>
            </w:r>
            <w:r>
              <w:rPr>
                <w:rFonts w:hint="default" w:ascii="Times New Roman" w:hAnsi="Times New Roman" w:eastAsia="宋体" w:cs="Times New Roman"/>
                <w:i w:val="0"/>
                <w:iCs w:val="0"/>
                <w:color w:val="000000"/>
                <w:kern w:val="0"/>
                <w:sz w:val="21"/>
                <w:szCs w:val="21"/>
                <w:u w:val="none"/>
                <w:lang w:val="en-US" w:eastAsia="zh-CN" w:bidi="ar"/>
              </w:rPr>
              <w:t>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86.49</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Fonts w:hint="eastAsia" w:cs="Times New Roman"/>
                <w:i w:val="0"/>
                <w:iCs w:val="0"/>
                <w:color w:val="000000"/>
                <w:kern w:val="0"/>
                <w:sz w:val="21"/>
                <w:szCs w:val="21"/>
                <w:highlight w:val="none"/>
                <w:u w:val="none"/>
                <w:lang w:val="en-US" w:eastAsia="zh-CN" w:bidi="ar"/>
              </w:rPr>
              <w:t>5</w:t>
            </w:r>
            <w:r>
              <w:rPr>
                <w:rFonts w:hint="default" w:ascii="Times New Roman" w:hAnsi="Times New Roman" w:eastAsia="宋体" w:cs="Times New Roman"/>
                <w:i w:val="0"/>
                <w:iCs w:val="0"/>
                <w:color w:val="000000"/>
                <w:kern w:val="0"/>
                <w:sz w:val="21"/>
                <w:szCs w:val="21"/>
                <w:highlight w:val="none"/>
                <w:u w:val="none"/>
                <w:lang w:val="en-US" w:eastAsia="zh-CN" w:bidi="ar"/>
              </w:rPr>
              <w:t>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eastAsia" w:cs="Times New Roman"/>
                <w:i w:val="0"/>
                <w:iCs w:val="0"/>
                <w:color w:val="000000"/>
                <w:kern w:val="0"/>
                <w:sz w:val="21"/>
                <w:szCs w:val="21"/>
                <w:highlight w:val="none"/>
                <w:u w:val="none"/>
                <w:lang w:val="en-US" w:eastAsia="zh-CN" w:bidi="ar"/>
              </w:rPr>
              <w:t>4.17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49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2,00</w:t>
            </w: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15.21</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10</w:t>
            </w: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51</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10,500.00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eastAsia" w:cs="Times New Roman"/>
                <w:i w:val="0"/>
                <w:iCs w:val="0"/>
                <w:color w:val="000000"/>
                <w:kern w:val="0"/>
                <w:sz w:val="21"/>
                <w:szCs w:val="21"/>
                <w:highlight w:val="none"/>
                <w:u w:val="none"/>
                <w:lang w:val="en-US" w:eastAsia="zh-CN" w:bidi="ar"/>
              </w:rPr>
              <w:t>10,500</w:t>
            </w:r>
            <w:r>
              <w:rPr>
                <w:rFonts w:hint="default" w:ascii="Times New Roman" w:hAnsi="Times New Roman" w:eastAsia="宋体" w:cs="Times New Roman"/>
                <w:i w:val="0"/>
                <w:iCs w:val="0"/>
                <w:color w:val="000000"/>
                <w:kern w:val="0"/>
                <w:sz w:val="21"/>
                <w:szCs w:val="21"/>
                <w:highlight w:val="none"/>
                <w:u w:val="none"/>
                <w:lang w:val="en-US" w:eastAsia="zh-CN" w:bidi="ar"/>
              </w:rPr>
              <w:t>.00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eastAsia" w:cs="Times New Roman"/>
                <w:i w:val="0"/>
                <w:iCs w:val="0"/>
                <w:color w:val="000000"/>
                <w:kern w:val="0"/>
                <w:sz w:val="21"/>
                <w:szCs w:val="21"/>
                <w:highlight w:val="none"/>
                <w:u w:val="none"/>
                <w:lang w:val="en-US" w:eastAsia="zh-CN" w:bidi="ar"/>
              </w:rPr>
              <w:t>134.18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52</w:t>
            </w:r>
          </w:p>
        </w:tc>
        <w:tc>
          <w:tcPr>
            <w:tcW w:w="1559"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银行理财产品</w:t>
            </w:r>
          </w:p>
        </w:tc>
        <w:tc>
          <w:tcPr>
            <w:tcW w:w="1639"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1,000.00</w:t>
            </w:r>
          </w:p>
        </w:tc>
        <w:tc>
          <w:tcPr>
            <w:tcW w:w="1622"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1,000.00</w:t>
            </w:r>
          </w:p>
        </w:tc>
        <w:tc>
          <w:tcPr>
            <w:tcW w:w="1378" w:type="dxa"/>
            <w:shd w:val="clear" w:color="auto" w:fill="auto"/>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3.71</w:t>
            </w:r>
          </w:p>
        </w:tc>
        <w:tc>
          <w:tcPr>
            <w:tcW w:w="1449" w:type="dxa"/>
            <w:vAlign w:val="center"/>
          </w:tcPr>
          <w:p>
            <w:pPr>
              <w:widowControl/>
              <w:jc w:val="right"/>
              <w:textAlignment w:val="center"/>
              <w:rPr>
                <w:rFonts w:hint="default" w:cs="Times New Roman"/>
                <w:color w:val="000000"/>
                <w:kern w:val="0"/>
                <w:sz w:val="21"/>
                <w:szCs w:val="21"/>
                <w:lang w:val="en-US" w:eastAsia="zh-CN" w:bidi="ar"/>
              </w:rPr>
            </w:pPr>
            <w:r>
              <w:rPr>
                <w:rFonts w:hint="default" w:cs="Times New Roman"/>
                <w:color w:val="000000"/>
                <w:kern w:val="0"/>
                <w:sz w:val="21"/>
                <w:szCs w:val="21"/>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53</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1,00</w:t>
            </w: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12.37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54</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1,500.00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0.67</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55</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券商</w:t>
            </w:r>
            <w:r>
              <w:rPr>
                <w:rFonts w:hint="default" w:ascii="Times New Roman" w:hAnsi="Times New Roman" w:eastAsia="宋体" w:cs="Times New Roman"/>
                <w:i w:val="0"/>
                <w:color w:val="000000"/>
                <w:kern w:val="0"/>
                <w:sz w:val="21"/>
                <w:szCs w:val="21"/>
                <w:u w:val="none"/>
                <w:lang w:val="en-US" w:eastAsia="zh-CN" w:bidi="ar"/>
              </w:rPr>
              <w:t>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56</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bidi="ar"/>
              </w:rPr>
            </w:pPr>
            <w:r>
              <w:rPr>
                <w:rFonts w:hint="eastAsia" w:cs="Times New Roman"/>
                <w:i w:val="0"/>
                <w:color w:val="000000"/>
                <w:kern w:val="0"/>
                <w:sz w:val="21"/>
                <w:szCs w:val="21"/>
                <w:highlight w:val="none"/>
                <w:u w:val="none"/>
                <w:lang w:val="en-US" w:eastAsia="zh-CN" w:bidi="ar"/>
              </w:rPr>
              <w:t>券商</w:t>
            </w:r>
            <w:r>
              <w:rPr>
                <w:rFonts w:hint="default" w:ascii="Times New Roman" w:hAnsi="Times New Roman" w:eastAsia="宋体" w:cs="Times New Roman"/>
                <w:i w:val="0"/>
                <w:color w:val="000000"/>
                <w:kern w:val="0"/>
                <w:sz w:val="21"/>
                <w:szCs w:val="21"/>
                <w:highlight w:val="none"/>
                <w:u w:val="none"/>
                <w:lang w:val="en-US" w:eastAsia="zh-CN" w:bidi="ar"/>
              </w:rPr>
              <w:t>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red"/>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red"/>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red"/>
                <w:u w:val="none"/>
                <w:lang w:val="en-US" w:eastAsia="zh-CN" w:bidi="ar-SA"/>
              </w:rPr>
            </w:pPr>
            <w:r>
              <w:rPr>
                <w:rFonts w:hint="eastAsia" w:cs="Times New Roman"/>
                <w:i w:val="0"/>
                <w:iCs w:val="0"/>
                <w:color w:val="000000"/>
                <w:kern w:val="2"/>
                <w:sz w:val="21"/>
                <w:szCs w:val="21"/>
                <w:highlight w:val="none"/>
                <w:u w:val="none"/>
                <w:lang w:val="en-US" w:eastAsia="zh-CN" w:bidi="ar-SA"/>
              </w:rPr>
              <w:t>31.34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highlight w:val="red"/>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57</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58</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券商</w:t>
            </w:r>
            <w:r>
              <w:rPr>
                <w:rFonts w:hint="default" w:ascii="Times New Roman" w:hAnsi="Times New Roman" w:eastAsia="宋体" w:cs="Times New Roman"/>
                <w:i w:val="0"/>
                <w:color w:val="000000"/>
                <w:kern w:val="0"/>
                <w:sz w:val="21"/>
                <w:szCs w:val="21"/>
                <w:u w:val="none"/>
                <w:lang w:val="en-US" w:eastAsia="zh-CN" w:bidi="ar"/>
              </w:rPr>
              <w:t>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31.24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2,00</w:t>
            </w: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59</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50</w:t>
            </w:r>
            <w:r>
              <w:rPr>
                <w:rFonts w:hint="default" w:ascii="Times New Roman" w:hAnsi="Times New Roman" w:eastAsia="宋体"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cs="Times New Roman"/>
                <w:i w:val="0"/>
                <w:iCs w:val="0"/>
                <w:color w:val="000000"/>
                <w:kern w:val="0"/>
                <w:sz w:val="21"/>
                <w:szCs w:val="21"/>
                <w:u w:val="none"/>
                <w:lang w:val="en-US" w:eastAsia="zh-CN" w:bidi="ar"/>
              </w:rPr>
              <w:t>1</w:t>
            </w:r>
            <w:r>
              <w:rPr>
                <w:rFonts w:hint="default" w:ascii="Times New Roman" w:hAnsi="Times New Roman" w:eastAsia="宋体" w:cs="Times New Roman"/>
                <w:i w:val="0"/>
                <w:iCs w:val="0"/>
                <w:color w:val="000000"/>
                <w:kern w:val="0"/>
                <w:sz w:val="21"/>
                <w:szCs w:val="21"/>
                <w:u w:val="none"/>
                <w:lang w:val="en-US" w:eastAsia="zh-CN" w:bidi="ar"/>
              </w:rPr>
              <w:t>.0</w:t>
            </w:r>
            <w:r>
              <w:rPr>
                <w:rFonts w:hint="eastAsia" w:cs="Times New Roman"/>
                <w:i w:val="0"/>
                <w:iCs w:val="0"/>
                <w:color w:val="000000"/>
                <w:kern w:val="0"/>
                <w:sz w:val="21"/>
                <w:szCs w:val="21"/>
                <w:u w:val="none"/>
                <w:lang w:val="en-US" w:eastAsia="zh-CN" w:bidi="ar"/>
              </w:rPr>
              <w:t>8</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60</w:t>
            </w:r>
          </w:p>
        </w:tc>
        <w:tc>
          <w:tcPr>
            <w:tcW w:w="1559"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3,20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38</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72</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61</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1,700.00</w:t>
            </w:r>
          </w:p>
        </w:tc>
        <w:tc>
          <w:tcPr>
            <w:tcW w:w="1622"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2.84</w:t>
            </w:r>
          </w:p>
        </w:tc>
        <w:tc>
          <w:tcPr>
            <w:tcW w:w="1449" w:type="dxa"/>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700.00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62</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1,015.00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1,015.00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2.48</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63</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1"/>
                <w:szCs w:val="21"/>
                <w:u w:val="none"/>
                <w:lang w:val="en-US" w:eastAsia="zh-CN" w:bidi="ar"/>
                <w14:textFill>
                  <w14:solidFill>
                    <w14:schemeClr w14:val="tx1"/>
                  </w14:solidFill>
                </w14:textFill>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64</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2,000.00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1.08</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65</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202.00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202.00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66</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67</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68</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101.00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101.00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69</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500.00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1.28</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70</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1,000.00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0.57</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71</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310.00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310.00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72</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500.00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73</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券商</w:t>
            </w:r>
            <w:r>
              <w:rPr>
                <w:rFonts w:hint="default" w:ascii="Times New Roman" w:hAnsi="Times New Roman" w:eastAsia="宋体" w:cs="Times New Roman"/>
                <w:i w:val="0"/>
                <w:color w:val="000000"/>
                <w:kern w:val="0"/>
                <w:sz w:val="21"/>
                <w:szCs w:val="21"/>
                <w:u w:val="none"/>
                <w:lang w:val="en-US" w:eastAsia="zh-CN" w:bidi="ar"/>
              </w:rPr>
              <w:t>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74</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150.00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0.11</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1,050.00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75</w:t>
            </w:r>
          </w:p>
        </w:tc>
        <w:tc>
          <w:tcPr>
            <w:tcW w:w="1559" w:type="dxa"/>
            <w:shd w:val="clear" w:color="auto" w:fill="auto"/>
            <w:vAlign w:val="center"/>
          </w:tcPr>
          <w:p>
            <w:pPr>
              <w:keepNext w:val="0"/>
              <w:keepLines w:val="0"/>
              <w:widowControl/>
              <w:suppressLineNumbers w:val="0"/>
              <w:jc w:val="center"/>
              <w:textAlignment w:val="center"/>
              <w:rPr>
                <w:rFonts w:hint="eastAsia"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券商</w:t>
            </w:r>
            <w:r>
              <w:rPr>
                <w:rFonts w:hint="default" w:ascii="Times New Roman" w:hAnsi="Times New Roman" w:eastAsia="宋体" w:cs="Times New Roman"/>
                <w:i w:val="0"/>
                <w:color w:val="000000"/>
                <w:kern w:val="0"/>
                <w:sz w:val="21"/>
                <w:szCs w:val="21"/>
                <w:u w:val="none"/>
                <w:lang w:val="en-US" w:eastAsia="zh-CN" w:bidi="ar"/>
              </w:rPr>
              <w:t>理财产品</w:t>
            </w:r>
          </w:p>
        </w:tc>
        <w:tc>
          <w:tcPr>
            <w:tcW w:w="1639"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6,000.00</w:t>
            </w:r>
          </w:p>
        </w:tc>
        <w:tc>
          <w:tcPr>
            <w:tcW w:w="1622"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76</w:t>
            </w:r>
          </w:p>
        </w:tc>
        <w:tc>
          <w:tcPr>
            <w:tcW w:w="1559"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i w:val="0"/>
                <w:color w:val="000000"/>
                <w:kern w:val="0"/>
                <w:sz w:val="21"/>
                <w:szCs w:val="21"/>
                <w:u w:val="none"/>
                <w:lang w:val="en-US" w:eastAsia="zh-CN" w:bidi="ar"/>
              </w:rPr>
            </w:pPr>
            <w:r>
              <w:rPr>
                <w:rFonts w:hint="eastAsia" w:cs="Times New Roman"/>
                <w:i w:val="0"/>
                <w:color w:val="000000"/>
                <w:kern w:val="0"/>
                <w:sz w:val="21"/>
                <w:szCs w:val="21"/>
                <w:u w:val="none"/>
                <w:lang w:val="en-US" w:eastAsia="zh-CN" w:bidi="ar"/>
              </w:rPr>
              <w:t>银行理财产品</w:t>
            </w:r>
          </w:p>
        </w:tc>
        <w:tc>
          <w:tcPr>
            <w:tcW w:w="1639" w:type="dxa"/>
            <w:shd w:val="clear" w:color="auto" w:fill="auto"/>
            <w:vAlign w:val="center"/>
          </w:tcPr>
          <w:p>
            <w:pPr>
              <w:keepNext w:val="0"/>
              <w:keepLines w:val="0"/>
              <w:widowControl/>
              <w:suppressLineNumbers w:val="0"/>
              <w:jc w:val="righ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600.00</w:t>
            </w:r>
          </w:p>
        </w:tc>
        <w:tc>
          <w:tcPr>
            <w:tcW w:w="1622" w:type="dxa"/>
            <w:shd w:val="clear" w:color="auto" w:fill="auto"/>
            <w:vAlign w:val="center"/>
          </w:tcPr>
          <w:p>
            <w:pPr>
              <w:keepNext w:val="0"/>
              <w:keepLines w:val="0"/>
              <w:widowControl/>
              <w:suppressLineNumbers w:val="0"/>
              <w:jc w:val="righ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378" w:type="dxa"/>
            <w:shd w:val="clear" w:color="auto" w:fill="auto"/>
            <w:vAlign w:val="center"/>
          </w:tcPr>
          <w:p>
            <w:pPr>
              <w:keepNext w:val="0"/>
              <w:keepLines w:val="0"/>
              <w:widowControl/>
              <w:suppressLineNumbers w:val="0"/>
              <w:jc w:val="righ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0.00</w:t>
            </w:r>
          </w:p>
        </w:tc>
        <w:tc>
          <w:tcPr>
            <w:tcW w:w="1449" w:type="dxa"/>
            <w:vAlign w:val="center"/>
          </w:tcPr>
          <w:p>
            <w:pPr>
              <w:keepNext w:val="0"/>
              <w:keepLines w:val="0"/>
              <w:widowControl/>
              <w:suppressLineNumbers w:val="0"/>
              <w:jc w:val="righ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合计</w:t>
            </w:r>
          </w:p>
        </w:tc>
        <w:tc>
          <w:tcPr>
            <w:tcW w:w="1639"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highlight w:val="yellow"/>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140,765.00</w:t>
            </w:r>
          </w:p>
        </w:tc>
        <w:tc>
          <w:tcPr>
            <w:tcW w:w="1622"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highlight w:val="yellow"/>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115,932.00</w:t>
            </w:r>
          </w:p>
        </w:tc>
        <w:tc>
          <w:tcPr>
            <w:tcW w:w="1378"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highlight w:val="yellow"/>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1,430.49</w:t>
            </w:r>
          </w:p>
        </w:tc>
        <w:tc>
          <w:tcPr>
            <w:tcW w:w="1449" w:type="dxa"/>
            <w:tcBorders>
              <w:bottom w:val="thinThickSmallGap" w:color="auto" w:sz="24" w:space="0"/>
            </w:tcBorders>
            <w:vAlign w:val="center"/>
          </w:tcPr>
          <w:p>
            <w:pPr>
              <w:keepNext w:val="0"/>
              <w:keepLines w:val="0"/>
              <w:widowControl/>
              <w:suppressLineNumbers w:val="0"/>
              <w:jc w:val="right"/>
              <w:textAlignment w:val="center"/>
              <w:rPr>
                <w:rFonts w:hint="default" w:ascii="Times New Roman" w:hAnsi="Times New Roman" w:cs="Times New Roman"/>
                <w:b/>
                <w:bCs/>
                <w:i w:val="0"/>
                <w:iCs w:val="0"/>
                <w:color w:val="000000"/>
                <w:kern w:val="0"/>
                <w:sz w:val="21"/>
                <w:szCs w:val="21"/>
                <w:highlight w:val="yellow"/>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24,833.00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42,318.00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31.80%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highlight w:val="none"/>
                <w:lang w:bidi="ar"/>
              </w:rPr>
            </w:pPr>
            <w:r>
              <w:rPr>
                <w:rFonts w:hint="default" w:ascii="Times New Roman" w:hAnsi="Times New Roman" w:cs="Times New Roman"/>
                <w:color w:val="000000"/>
                <w:kern w:val="0"/>
                <w:sz w:val="21"/>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s="Times New Roman"/>
                <w:color w:val="000000"/>
                <w:kern w:val="0"/>
                <w:sz w:val="21"/>
                <w:szCs w:val="21"/>
                <w:highlight w:val="none"/>
                <w:lang w:val="en-US" w:eastAsia="zh-CN" w:bidi="ar"/>
              </w:rPr>
              <w:t>25.13%</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目前已使用的理财额度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30,263.00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尚未使用的理财额度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49,737.00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总理财额度</w:t>
            </w:r>
          </w:p>
        </w:tc>
        <w:tc>
          <w:tcPr>
            <w:tcW w:w="2827" w:type="dxa"/>
            <w:gridSpan w:val="2"/>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lang w:val="en-US" w:eastAsia="zh-CN" w:bidi="ar"/>
              </w:rPr>
            </w:pPr>
            <w:r>
              <w:rPr>
                <w:rFonts w:hint="default" w:ascii="Times New Roman" w:hAnsi="Times New Roman" w:cs="Times New Roman"/>
                <w:color w:val="000000"/>
                <w:kern w:val="0"/>
                <w:sz w:val="21"/>
                <w:szCs w:val="21"/>
                <w:lang w:val="en-US" w:eastAsia="zh-CN" w:bidi="ar"/>
              </w:rPr>
              <w:t>80,000.00</w:t>
            </w:r>
          </w:p>
        </w:tc>
      </w:tr>
    </w:tbl>
    <w:p>
      <w:pPr>
        <w:widowControl/>
        <w:spacing w:before="156" w:beforeLines="50" w:after="156" w:afterLines="50" w:line="360" w:lineRule="auto"/>
        <w:ind w:firstLine="420" w:firstLineChars="175"/>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before="156" w:beforeLines="50" w:after="156" w:afterLines="50"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before="156" w:beforeLines="50" w:after="156" w:afterLines="50"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10</w:t>
      </w:r>
      <w:r>
        <w:rPr>
          <w:rFonts w:eastAsiaTheme="minorEastAsia"/>
          <w:color w:val="000000"/>
          <w:sz w:val="24"/>
          <w:szCs w:val="24"/>
        </w:rPr>
        <w:t>月</w:t>
      </w:r>
      <w:r>
        <w:rPr>
          <w:rFonts w:hint="eastAsia" w:eastAsiaTheme="minorEastAsia"/>
          <w:color w:val="000000"/>
          <w:sz w:val="24"/>
          <w:szCs w:val="24"/>
          <w:highlight w:val="none"/>
          <w:lang w:val="en-US" w:eastAsia="zh-CN"/>
        </w:rPr>
        <w:t>14</w:t>
      </w:r>
      <w:r>
        <w:rPr>
          <w:rFonts w:eastAsiaTheme="minorEastAsia"/>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8DF2E"/>
    <w:multiLevelType w:val="singleLevel"/>
    <w:tmpl w:val="AFD8DF2E"/>
    <w:lvl w:ilvl="0" w:tentative="0">
      <w:start w:val="2"/>
      <w:numFmt w:val="decimal"/>
      <w:suff w:val="nothing"/>
      <w:lvlText w:val="%1、"/>
      <w:lvlJc w:val="left"/>
    </w:lvl>
  </w:abstractNum>
  <w:abstractNum w:abstractNumId="1">
    <w:nsid w:val="E482839A"/>
    <w:multiLevelType w:val="singleLevel"/>
    <w:tmpl w:val="E482839A"/>
    <w:lvl w:ilvl="0" w:tentative="0">
      <w:start w:val="4"/>
      <w:numFmt w:val="decimal"/>
      <w:suff w:val="nothing"/>
      <w:lvlText w:val="%1、"/>
      <w:lvlJc w:val="left"/>
    </w:lvl>
  </w:abstractNum>
  <w:abstractNum w:abstractNumId="2">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3">
    <w:nsid w:val="31FF68AF"/>
    <w:multiLevelType w:val="singleLevel"/>
    <w:tmpl w:val="31FF68AF"/>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91A48"/>
    <w:rsid w:val="018E4822"/>
    <w:rsid w:val="027576DF"/>
    <w:rsid w:val="02AF4FED"/>
    <w:rsid w:val="049C0D81"/>
    <w:rsid w:val="04BC2DF0"/>
    <w:rsid w:val="05202816"/>
    <w:rsid w:val="05B5678A"/>
    <w:rsid w:val="07832D9E"/>
    <w:rsid w:val="083E47F0"/>
    <w:rsid w:val="08C60F31"/>
    <w:rsid w:val="097203F7"/>
    <w:rsid w:val="0AC149D4"/>
    <w:rsid w:val="0BC4590D"/>
    <w:rsid w:val="0BE8347C"/>
    <w:rsid w:val="0F34760A"/>
    <w:rsid w:val="0FBD3F46"/>
    <w:rsid w:val="100E2521"/>
    <w:rsid w:val="11321941"/>
    <w:rsid w:val="11535FD3"/>
    <w:rsid w:val="11FA498B"/>
    <w:rsid w:val="12394888"/>
    <w:rsid w:val="14FC602F"/>
    <w:rsid w:val="15462F97"/>
    <w:rsid w:val="15E54F66"/>
    <w:rsid w:val="17391ED0"/>
    <w:rsid w:val="17A17C4F"/>
    <w:rsid w:val="17E62CEF"/>
    <w:rsid w:val="1A041605"/>
    <w:rsid w:val="1D36117A"/>
    <w:rsid w:val="1DE640C3"/>
    <w:rsid w:val="1E125A00"/>
    <w:rsid w:val="1F6C3676"/>
    <w:rsid w:val="26F72121"/>
    <w:rsid w:val="272203F2"/>
    <w:rsid w:val="29A7485D"/>
    <w:rsid w:val="2DF44503"/>
    <w:rsid w:val="2E4E7A2B"/>
    <w:rsid w:val="2E80779D"/>
    <w:rsid w:val="2FC75CC2"/>
    <w:rsid w:val="309433C7"/>
    <w:rsid w:val="332E0E34"/>
    <w:rsid w:val="38D05A6D"/>
    <w:rsid w:val="390212BA"/>
    <w:rsid w:val="397D10DC"/>
    <w:rsid w:val="39B02A11"/>
    <w:rsid w:val="3AF7441B"/>
    <w:rsid w:val="3C295A99"/>
    <w:rsid w:val="3EE1443F"/>
    <w:rsid w:val="3EE71B36"/>
    <w:rsid w:val="3EFB2631"/>
    <w:rsid w:val="40461D28"/>
    <w:rsid w:val="41E62B0C"/>
    <w:rsid w:val="42FD048C"/>
    <w:rsid w:val="433B62FA"/>
    <w:rsid w:val="43426F87"/>
    <w:rsid w:val="43931B01"/>
    <w:rsid w:val="48000720"/>
    <w:rsid w:val="49721DBB"/>
    <w:rsid w:val="4A0E310F"/>
    <w:rsid w:val="4A5606EE"/>
    <w:rsid w:val="4AFD1F57"/>
    <w:rsid w:val="4B501A2D"/>
    <w:rsid w:val="4C565D83"/>
    <w:rsid w:val="4CAD5B18"/>
    <w:rsid w:val="4CC738CB"/>
    <w:rsid w:val="4E7155DD"/>
    <w:rsid w:val="503E483A"/>
    <w:rsid w:val="516C6209"/>
    <w:rsid w:val="53410D4C"/>
    <w:rsid w:val="549A5A7A"/>
    <w:rsid w:val="55822CB0"/>
    <w:rsid w:val="56FD7F32"/>
    <w:rsid w:val="59DB62D9"/>
    <w:rsid w:val="5C646231"/>
    <w:rsid w:val="604E6A0A"/>
    <w:rsid w:val="609A26F5"/>
    <w:rsid w:val="6143110B"/>
    <w:rsid w:val="61FC78BC"/>
    <w:rsid w:val="657E4666"/>
    <w:rsid w:val="66066C4D"/>
    <w:rsid w:val="6736715E"/>
    <w:rsid w:val="67BF6746"/>
    <w:rsid w:val="683A721E"/>
    <w:rsid w:val="688A543D"/>
    <w:rsid w:val="68BA5CE9"/>
    <w:rsid w:val="692A202C"/>
    <w:rsid w:val="6B797D08"/>
    <w:rsid w:val="6B7F203F"/>
    <w:rsid w:val="6B9A082E"/>
    <w:rsid w:val="6C360C93"/>
    <w:rsid w:val="6DBF37EC"/>
    <w:rsid w:val="6E471F02"/>
    <w:rsid w:val="70BD7855"/>
    <w:rsid w:val="716E7BB1"/>
    <w:rsid w:val="73911D1F"/>
    <w:rsid w:val="75A620CB"/>
    <w:rsid w:val="76CC503A"/>
    <w:rsid w:val="776179CD"/>
    <w:rsid w:val="7A656D7F"/>
    <w:rsid w:val="7A860E68"/>
    <w:rsid w:val="7BEB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Default"/>
    <w:unhideWhenUsed/>
    <w:qFormat/>
    <w:uiPriority w:val="99"/>
    <w:pPr>
      <w:widowControl w:val="0"/>
      <w:autoSpaceDE w:val="0"/>
      <w:autoSpaceDN w:val="0"/>
      <w:adjustRightInd w:val="0"/>
      <w:spacing w:beforeLines="0" w:afterLines="0"/>
    </w:pPr>
    <w:rPr>
      <w:rFonts w:hint="eastAsia" w:ascii="Times New Roman" w:hAnsi="Times New Roman" w:eastAsia="Times New Roman" w:cs="Times New Roman"/>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2021-09-18T05:12:00Z</dcterms:created>
  <dc:creator>suuuu</dc:creator>
  <cp:lastModifiedBy>邹岩</cp:lastModifiedBy>
  <dcterms:modified xsi:type="dcterms:W3CDTF">2021-10-13T05:56:42Z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D3C37D8541B34697B9849126C6C63D8C</vt:lpwstr>
  </property>
</Properties>
</file>