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rFonts w:hint="default" w:eastAsia="宋体"/>
          <w:szCs w:val="21"/>
          <w:lang w:val="en-US" w:eastAsia="zh-CN"/>
        </w:rPr>
      </w:pPr>
      <w:r>
        <w:rPr>
          <w:szCs w:val="21"/>
        </w:rPr>
        <w:t>证券代码：603232              证券简称：格尔软件             公告编号：2021-0</w:t>
      </w:r>
      <w:r>
        <w:rPr>
          <w:rFonts w:hint="eastAsia"/>
          <w:szCs w:val="21"/>
          <w:lang w:val="en-US" w:eastAsia="zh-CN"/>
        </w:rPr>
        <w:t>61</w:t>
      </w:r>
    </w:p>
    <w:p>
      <w:pPr>
        <w:autoSpaceDE w:val="0"/>
        <w:autoSpaceDN w:val="0"/>
        <w:adjustRightInd w:val="0"/>
        <w:jc w:val="left"/>
        <w:rPr>
          <w:rFonts w:eastAsiaTheme="minorEastAsia"/>
          <w:color w:val="000000"/>
          <w:kern w:val="0"/>
          <w:sz w:val="24"/>
          <w:szCs w:val="24"/>
        </w:rPr>
      </w:pPr>
    </w:p>
    <w:p>
      <w:pPr>
        <w:adjustRightInd w:val="0"/>
        <w:snapToGrid w:val="0"/>
        <w:spacing w:line="360" w:lineRule="auto"/>
        <w:jc w:val="center"/>
        <w:rPr>
          <w:rFonts w:eastAsia="黑体"/>
          <w:b/>
          <w:bCs/>
          <w:color w:val="FF0000"/>
          <w:kern w:val="0"/>
          <w:sz w:val="36"/>
          <w:szCs w:val="36"/>
        </w:rPr>
      </w:pPr>
      <w:r>
        <w:rPr>
          <w:rFonts w:eastAsia="黑体"/>
          <w:b/>
          <w:bCs/>
          <w:color w:val="FF0000"/>
          <w:kern w:val="0"/>
          <w:sz w:val="36"/>
          <w:szCs w:val="36"/>
        </w:rPr>
        <w:t>格尔软件股份有限公司</w:t>
      </w:r>
    </w:p>
    <w:p>
      <w:pPr>
        <w:adjustRightInd w:val="0"/>
        <w:snapToGrid w:val="0"/>
        <w:spacing w:line="360" w:lineRule="auto"/>
        <w:jc w:val="center"/>
        <w:rPr>
          <w:rFonts w:eastAsia="黑体"/>
          <w:b/>
          <w:bCs/>
          <w:color w:val="FF0000"/>
          <w:kern w:val="0"/>
          <w:sz w:val="36"/>
          <w:szCs w:val="36"/>
        </w:rPr>
      </w:pPr>
      <w:r>
        <w:rPr>
          <w:rFonts w:eastAsia="黑体"/>
          <w:b/>
          <w:bCs/>
          <w:color w:val="FF0000"/>
          <w:kern w:val="0"/>
          <w:sz w:val="36"/>
          <w:szCs w:val="36"/>
        </w:rPr>
        <w:t>关于</w:t>
      </w:r>
      <w:r>
        <w:rPr>
          <w:rFonts w:hint="eastAsia" w:eastAsia="黑体"/>
          <w:b/>
          <w:bCs/>
          <w:color w:val="FF0000"/>
          <w:kern w:val="0"/>
          <w:sz w:val="36"/>
          <w:szCs w:val="36"/>
        </w:rPr>
        <w:t>2021年股票期权激励计划授予登记结果的</w:t>
      </w:r>
      <w:r>
        <w:rPr>
          <w:rFonts w:eastAsia="黑体"/>
          <w:b/>
          <w:bCs/>
          <w:color w:val="FF0000"/>
          <w:kern w:val="0"/>
          <w:sz w:val="36"/>
          <w:szCs w:val="36"/>
        </w:rPr>
        <w:t>公告</w:t>
      </w:r>
    </w:p>
    <w:p>
      <w:pPr>
        <w:pBdr>
          <w:top w:val="single" w:color="auto" w:sz="4" w:space="1"/>
          <w:left w:val="single" w:color="auto" w:sz="4" w:space="4"/>
          <w:bottom w:val="single" w:color="auto" w:sz="4" w:space="0"/>
          <w:right w:val="single" w:color="auto" w:sz="4" w:space="4"/>
        </w:pBdr>
        <w:adjustRightInd w:val="0"/>
        <w:snapToGrid w:val="0"/>
        <w:spacing w:line="360" w:lineRule="auto"/>
        <w:ind w:firstLine="420" w:firstLineChars="200"/>
        <w:rPr>
          <w:rFonts w:eastAsiaTheme="minorEastAsia"/>
          <w:color w:val="000000"/>
          <w:szCs w:val="21"/>
        </w:rPr>
      </w:pPr>
      <w:r>
        <w:rPr>
          <w:rFonts w:eastAsiaTheme="minorEastAsia"/>
          <w:color w:val="000000"/>
          <w:szCs w:val="21"/>
        </w:rPr>
        <w:t>本公司董事会及全体董事保证本公告内容不存在任何虚假记载、误导性陈述或者重大遗漏，并对其内容的真实性、准确性和完整性承担个别及连带责任。</w:t>
      </w:r>
    </w:p>
    <w:p>
      <w:pPr>
        <w:pStyle w:val="6"/>
        <w:adjustRightInd w:val="0"/>
        <w:snapToGrid w:val="0"/>
        <w:spacing w:before="0" w:beforeAutospacing="0" w:after="0" w:afterAutospacing="0" w:line="360" w:lineRule="auto"/>
        <w:ind w:firstLine="480" w:firstLineChars="200"/>
        <w:rPr>
          <w:bCs/>
          <w:snapToGrid w:val="0"/>
          <w:color w:val="000000"/>
        </w:rPr>
      </w:pPr>
    </w:p>
    <w:p>
      <w:pPr>
        <w:pStyle w:val="6"/>
        <w:adjustRightInd w:val="0"/>
        <w:snapToGrid w:val="0"/>
        <w:spacing w:before="0" w:beforeAutospacing="0" w:after="0" w:afterAutospacing="0" w:line="360" w:lineRule="auto"/>
        <w:ind w:firstLine="422" w:firstLineChars="175"/>
        <w:rPr>
          <w:b/>
          <w:snapToGrid w:val="0"/>
          <w:color w:val="000000"/>
        </w:rPr>
      </w:pPr>
      <w:r>
        <w:rPr>
          <w:b/>
          <w:snapToGrid w:val="0"/>
          <w:color w:val="000000"/>
        </w:rPr>
        <w:t>重要内容提示：</w:t>
      </w:r>
    </w:p>
    <w:p>
      <w:pPr>
        <w:pStyle w:val="6"/>
        <w:numPr>
          <w:ilvl w:val="0"/>
          <w:numId w:val="1"/>
        </w:numPr>
        <w:adjustRightInd w:val="0"/>
        <w:snapToGrid w:val="0"/>
        <w:spacing w:before="0" w:beforeAutospacing="0" w:after="0" w:afterAutospacing="0" w:line="360" w:lineRule="auto"/>
        <w:rPr>
          <w:bCs/>
          <w:snapToGrid w:val="0"/>
          <w:color w:val="000000"/>
        </w:rPr>
      </w:pPr>
      <w:r>
        <w:rPr>
          <w:rFonts w:hint="eastAsia"/>
          <w:bCs/>
          <w:snapToGrid w:val="0"/>
          <w:color w:val="000000"/>
        </w:rPr>
        <w:t>股票期权</w:t>
      </w:r>
      <w:r>
        <w:rPr>
          <w:bCs/>
          <w:snapToGrid w:val="0"/>
          <w:color w:val="000000"/>
        </w:rPr>
        <w:t>权益</w:t>
      </w:r>
      <w:r>
        <w:rPr>
          <w:rFonts w:hint="eastAsia"/>
          <w:bCs/>
          <w:snapToGrid w:val="0"/>
          <w:color w:val="000000"/>
        </w:rPr>
        <w:t>登记</w:t>
      </w:r>
      <w:r>
        <w:rPr>
          <w:bCs/>
          <w:snapToGrid w:val="0"/>
          <w:color w:val="000000"/>
        </w:rPr>
        <w:t>日：</w:t>
      </w:r>
      <w:r>
        <w:rPr>
          <w:rFonts w:hint="eastAsia"/>
          <w:bCs/>
          <w:snapToGrid w:val="0"/>
          <w:color w:val="000000"/>
        </w:rPr>
        <w:t>2021年</w:t>
      </w:r>
      <w:r>
        <w:rPr>
          <w:rFonts w:hint="eastAsia"/>
          <w:bCs/>
          <w:snapToGrid w:val="0"/>
          <w:color w:val="000000"/>
          <w:lang w:val="en-US" w:eastAsia="zh-CN"/>
        </w:rPr>
        <w:t>9</w:t>
      </w:r>
      <w:r>
        <w:rPr>
          <w:rFonts w:hint="eastAsia"/>
          <w:bCs/>
          <w:snapToGrid w:val="0"/>
          <w:color w:val="000000"/>
        </w:rPr>
        <w:t>月</w:t>
      </w:r>
      <w:r>
        <w:rPr>
          <w:rFonts w:hint="eastAsia"/>
          <w:bCs/>
          <w:snapToGrid w:val="0"/>
          <w:color w:val="000000"/>
          <w:lang w:val="en-US" w:eastAsia="zh-CN"/>
        </w:rPr>
        <w:t>2</w:t>
      </w:r>
      <w:r>
        <w:rPr>
          <w:rFonts w:hint="eastAsia"/>
          <w:bCs/>
          <w:snapToGrid w:val="0"/>
          <w:color w:val="000000"/>
        </w:rPr>
        <w:t>日</w:t>
      </w:r>
    </w:p>
    <w:p>
      <w:pPr>
        <w:pStyle w:val="6"/>
        <w:numPr>
          <w:ilvl w:val="0"/>
          <w:numId w:val="1"/>
        </w:numPr>
        <w:adjustRightInd w:val="0"/>
        <w:snapToGrid w:val="0"/>
        <w:spacing w:before="0" w:beforeAutospacing="0" w:after="0" w:afterAutospacing="0" w:line="360" w:lineRule="auto"/>
        <w:rPr>
          <w:bCs/>
          <w:snapToGrid w:val="0"/>
          <w:color w:val="000000"/>
        </w:rPr>
      </w:pPr>
      <w:r>
        <w:rPr>
          <w:rFonts w:hint="eastAsia"/>
          <w:bCs/>
          <w:snapToGrid w:val="0"/>
          <w:color w:val="000000"/>
        </w:rPr>
        <w:t>股票期权登记</w:t>
      </w:r>
      <w:r>
        <w:rPr>
          <w:bCs/>
          <w:snapToGrid w:val="0"/>
          <w:color w:val="000000"/>
        </w:rPr>
        <w:t>数量：</w:t>
      </w:r>
      <w:r>
        <w:rPr>
          <w:rFonts w:hint="eastAsia"/>
          <w:bCs/>
          <w:snapToGrid w:val="0"/>
          <w:color w:val="000000"/>
        </w:rPr>
        <w:t>698.80万份</w:t>
      </w:r>
    </w:p>
    <w:p>
      <w:pPr>
        <w:pStyle w:val="6"/>
        <w:numPr>
          <w:ilvl w:val="0"/>
          <w:numId w:val="1"/>
        </w:numPr>
        <w:adjustRightInd w:val="0"/>
        <w:snapToGrid w:val="0"/>
        <w:spacing w:before="0" w:beforeAutospacing="0" w:after="0" w:afterAutospacing="0" w:line="360" w:lineRule="auto"/>
        <w:rPr>
          <w:bCs/>
          <w:snapToGrid w:val="0"/>
          <w:color w:val="000000"/>
        </w:rPr>
      </w:pPr>
      <w:r>
        <w:rPr>
          <w:rFonts w:hint="eastAsia"/>
          <w:bCs/>
          <w:snapToGrid w:val="0"/>
          <w:color w:val="000000"/>
        </w:rPr>
        <w:t>股票期权登记人数：161人</w:t>
      </w:r>
    </w:p>
    <w:p>
      <w:pPr>
        <w:pStyle w:val="6"/>
        <w:adjustRightInd w:val="0"/>
        <w:snapToGrid w:val="0"/>
        <w:spacing w:before="0" w:beforeAutospacing="0" w:after="0" w:afterAutospacing="0" w:line="360" w:lineRule="auto"/>
        <w:ind w:firstLine="480" w:firstLineChars="200"/>
        <w:jc w:val="both"/>
        <w:rPr>
          <w:bCs/>
          <w:snapToGrid w:val="0"/>
          <w:color w:val="000000"/>
        </w:rPr>
      </w:pPr>
      <w:r>
        <w:rPr>
          <w:rFonts w:hint="eastAsia"/>
          <w:bCs/>
          <w:snapToGrid w:val="0"/>
          <w:color w:val="000000"/>
        </w:rPr>
        <w:t>根据中国证监会《上市公司股权激励管理办法》、上海证券交易所、中国证券登记结算有限责任公司上海分公司及《格尔软件股份有限公司2021年股票期权激励计划》（以下简称“激励计划”）的相关规定，</w:t>
      </w:r>
      <w:r>
        <w:rPr>
          <w:spacing w:val="-1"/>
        </w:rPr>
        <w:t>并经中国证券登记结算有限责任公司上海</w:t>
      </w:r>
      <w:r>
        <w:rPr>
          <w:spacing w:val="-6"/>
        </w:rPr>
        <w:t>分公司审核确认，</w:t>
      </w:r>
      <w:r>
        <w:rPr>
          <w:rFonts w:hint="eastAsia"/>
          <w:bCs/>
          <w:snapToGrid w:val="0"/>
          <w:color w:val="000000"/>
        </w:rPr>
        <w:t>格尔软件股份有限公司（以下简称“上市公司”或“公司”）</w:t>
      </w:r>
      <w:r>
        <w:rPr>
          <w:spacing w:val="-2"/>
        </w:rPr>
        <w:t>已完成公司股票期权激</w:t>
      </w:r>
      <w:r>
        <w:t>励计划的授予登记工作。现将有关情况公告如下</w:t>
      </w:r>
      <w:r>
        <w:rPr>
          <w:rFonts w:hint="eastAsia"/>
          <w:bCs/>
          <w:snapToGrid w:val="0"/>
          <w:color w:val="000000"/>
        </w:rPr>
        <w:t>：</w:t>
      </w:r>
    </w:p>
    <w:p>
      <w:pPr>
        <w:numPr>
          <w:ilvl w:val="0"/>
          <w:numId w:val="2"/>
        </w:numPr>
        <w:snapToGrid w:val="0"/>
        <w:spacing w:before="156" w:beforeLines="50" w:after="156" w:afterLines="50" w:line="360" w:lineRule="auto"/>
        <w:rPr>
          <w:b/>
          <w:sz w:val="24"/>
          <w:szCs w:val="24"/>
        </w:rPr>
      </w:pPr>
      <w:r>
        <w:rPr>
          <w:b/>
          <w:sz w:val="24"/>
          <w:szCs w:val="24"/>
        </w:rPr>
        <w:t>本激励计划</w:t>
      </w:r>
      <w:r>
        <w:rPr>
          <w:rFonts w:hint="eastAsia"/>
          <w:b/>
          <w:sz w:val="24"/>
          <w:szCs w:val="24"/>
        </w:rPr>
        <w:t>授予的权益登记情况</w:t>
      </w:r>
    </w:p>
    <w:p>
      <w:pPr>
        <w:snapToGrid w:val="0"/>
        <w:spacing w:line="360" w:lineRule="auto"/>
        <w:ind w:firstLine="420"/>
        <w:rPr>
          <w:sz w:val="24"/>
          <w:szCs w:val="24"/>
        </w:rPr>
      </w:pPr>
      <w:r>
        <w:rPr>
          <w:rFonts w:hint="eastAsia"/>
          <w:sz w:val="24"/>
          <w:szCs w:val="24"/>
        </w:rPr>
        <w:t>公司于2021年</w:t>
      </w:r>
      <w:r>
        <w:rPr>
          <w:sz w:val="24"/>
          <w:szCs w:val="24"/>
        </w:rPr>
        <w:t>7</w:t>
      </w:r>
      <w:r>
        <w:rPr>
          <w:rFonts w:hint="eastAsia"/>
          <w:sz w:val="24"/>
          <w:szCs w:val="24"/>
        </w:rPr>
        <w:t>月</w:t>
      </w:r>
      <w:r>
        <w:rPr>
          <w:sz w:val="24"/>
          <w:szCs w:val="24"/>
        </w:rPr>
        <w:t>2</w:t>
      </w:r>
      <w:r>
        <w:rPr>
          <w:rFonts w:hint="eastAsia"/>
          <w:sz w:val="24"/>
          <w:szCs w:val="24"/>
        </w:rPr>
        <w:t>8日召开公司第七届董事会第十八次会议、第七届监事会第十五次会议，审议通过了《关于调整公司2021年股票期权激励计划激励对象名单的议案》、《关于向激励对象授予股票期权的议案》，确定股票期权授予日为2021年7月28日，向符合条件的162名激励对象授予股票期权700.00万份，行权价格为13.58元/股，公司独立董事发表了同意意见。</w:t>
      </w:r>
      <w:r>
        <w:rPr>
          <w:sz w:val="24"/>
          <w:szCs w:val="24"/>
        </w:rPr>
        <w:t>具体内容请详见公司于2021年7月</w:t>
      </w:r>
      <w:r>
        <w:rPr>
          <w:rFonts w:hint="eastAsia"/>
          <w:sz w:val="24"/>
          <w:szCs w:val="24"/>
        </w:rPr>
        <w:t>30</w:t>
      </w:r>
      <w:r>
        <w:rPr>
          <w:sz w:val="24"/>
          <w:szCs w:val="24"/>
        </w:rPr>
        <w:t>日刊登于上海证券交易所网站（www.sse.com.cn）的《格尔软件股份有限公司</w:t>
      </w:r>
      <w:r>
        <w:rPr>
          <w:rFonts w:hint="eastAsia"/>
          <w:sz w:val="24"/>
          <w:szCs w:val="24"/>
        </w:rPr>
        <w:t>第七届董事会第十八次会议</w:t>
      </w:r>
      <w:r>
        <w:rPr>
          <w:sz w:val="24"/>
          <w:szCs w:val="24"/>
        </w:rPr>
        <w:t>决议公告》（公告编号：2021-0</w:t>
      </w:r>
      <w:r>
        <w:rPr>
          <w:rFonts w:hint="eastAsia"/>
          <w:sz w:val="24"/>
          <w:szCs w:val="24"/>
        </w:rPr>
        <w:t>48</w:t>
      </w:r>
      <w:r>
        <w:rPr>
          <w:sz w:val="24"/>
          <w:szCs w:val="24"/>
        </w:rPr>
        <w:t>）</w:t>
      </w:r>
      <w:r>
        <w:rPr>
          <w:rFonts w:hint="eastAsia"/>
          <w:sz w:val="24"/>
          <w:szCs w:val="24"/>
        </w:rPr>
        <w:t>。</w:t>
      </w:r>
    </w:p>
    <w:p>
      <w:pPr>
        <w:snapToGrid w:val="0"/>
        <w:spacing w:line="360" w:lineRule="auto"/>
        <w:ind w:firstLine="420"/>
        <w:rPr>
          <w:sz w:val="24"/>
          <w:szCs w:val="24"/>
        </w:rPr>
      </w:pPr>
      <w:r>
        <w:rPr>
          <w:rFonts w:hint="eastAsia"/>
          <w:sz w:val="24"/>
          <w:szCs w:val="24"/>
        </w:rPr>
        <w:t>2021年</w:t>
      </w:r>
      <w:r>
        <w:rPr>
          <w:rFonts w:hint="eastAsia"/>
          <w:sz w:val="24"/>
          <w:szCs w:val="24"/>
          <w:lang w:val="en-US" w:eastAsia="zh-CN"/>
        </w:rPr>
        <w:t>9</w:t>
      </w:r>
      <w:r>
        <w:rPr>
          <w:rFonts w:hint="eastAsia"/>
          <w:sz w:val="24"/>
          <w:szCs w:val="24"/>
        </w:rPr>
        <w:t>月</w:t>
      </w:r>
      <w:r>
        <w:rPr>
          <w:rFonts w:hint="eastAsia"/>
          <w:sz w:val="24"/>
          <w:szCs w:val="24"/>
          <w:lang w:val="en-US" w:eastAsia="zh-CN"/>
        </w:rPr>
        <w:t>2</w:t>
      </w:r>
      <w:r>
        <w:rPr>
          <w:rFonts w:hint="eastAsia"/>
          <w:sz w:val="24"/>
          <w:szCs w:val="24"/>
        </w:rPr>
        <w:t>日，公司办理完毕本次激励计划授予的权益登记工作，登记股票期权698.80万份，实际登记数量与授予数量存在差异系因</w:t>
      </w:r>
      <w:r>
        <w:rPr>
          <w:rFonts w:hint="eastAsia"/>
          <w:sz w:val="24"/>
          <w:szCs w:val="28"/>
        </w:rPr>
        <w:t>在确定授予日后的股票期权登记过程中，有</w:t>
      </w:r>
      <w:r>
        <w:rPr>
          <w:sz w:val="24"/>
          <w:szCs w:val="28"/>
        </w:rPr>
        <w:t>1</w:t>
      </w:r>
      <w:r>
        <w:rPr>
          <w:rFonts w:hint="eastAsia"/>
          <w:sz w:val="24"/>
          <w:szCs w:val="28"/>
        </w:rPr>
        <w:t>名激励对象因个人原因自愿放弃授予其的全部权益，该部分股票期权为</w:t>
      </w:r>
      <w:r>
        <w:rPr>
          <w:sz w:val="24"/>
          <w:szCs w:val="28"/>
        </w:rPr>
        <w:t>1.20</w:t>
      </w:r>
      <w:r>
        <w:rPr>
          <w:rFonts w:hint="eastAsia"/>
          <w:sz w:val="24"/>
          <w:szCs w:val="28"/>
        </w:rPr>
        <w:t>万份，按</w:t>
      </w:r>
      <w:r>
        <w:rPr>
          <w:rFonts w:hint="eastAsia"/>
          <w:bCs/>
          <w:snapToGrid w:val="0"/>
          <w:color w:val="000000"/>
          <w:sz w:val="24"/>
          <w:szCs w:val="24"/>
        </w:rPr>
        <w:t>激励计划</w:t>
      </w:r>
      <w:r>
        <w:rPr>
          <w:rFonts w:hint="eastAsia"/>
          <w:sz w:val="24"/>
          <w:szCs w:val="28"/>
        </w:rPr>
        <w:t>的相关规定不予登记。本次激励计划</w:t>
      </w:r>
      <w:r>
        <w:rPr>
          <w:rFonts w:hint="eastAsia"/>
          <w:sz w:val="24"/>
          <w:szCs w:val="24"/>
        </w:rPr>
        <w:t>股票期权授予的实际情况如下：</w:t>
      </w:r>
    </w:p>
    <w:p>
      <w:pPr>
        <w:numPr>
          <w:ilvl w:val="0"/>
          <w:numId w:val="3"/>
        </w:numPr>
        <w:snapToGrid w:val="0"/>
        <w:spacing w:line="360" w:lineRule="auto"/>
        <w:ind w:firstLine="420"/>
        <w:rPr>
          <w:sz w:val="24"/>
          <w:szCs w:val="24"/>
        </w:rPr>
      </w:pPr>
      <w:r>
        <w:rPr>
          <w:rFonts w:hint="eastAsia"/>
          <w:sz w:val="24"/>
          <w:szCs w:val="24"/>
        </w:rPr>
        <w:t>授予日：2021年7月28日</w:t>
      </w:r>
    </w:p>
    <w:p>
      <w:pPr>
        <w:numPr>
          <w:ilvl w:val="0"/>
          <w:numId w:val="3"/>
        </w:numPr>
        <w:snapToGrid w:val="0"/>
        <w:spacing w:line="360" w:lineRule="auto"/>
        <w:ind w:firstLine="420"/>
        <w:rPr>
          <w:sz w:val="24"/>
          <w:szCs w:val="24"/>
        </w:rPr>
      </w:pPr>
      <w:r>
        <w:rPr>
          <w:rFonts w:hint="eastAsia"/>
          <w:sz w:val="24"/>
          <w:szCs w:val="24"/>
        </w:rPr>
        <w:t>授予数量：698.80万份</w:t>
      </w:r>
    </w:p>
    <w:p>
      <w:pPr>
        <w:numPr>
          <w:ilvl w:val="0"/>
          <w:numId w:val="3"/>
        </w:numPr>
        <w:snapToGrid w:val="0"/>
        <w:spacing w:line="360" w:lineRule="auto"/>
        <w:ind w:firstLine="420"/>
        <w:rPr>
          <w:sz w:val="24"/>
          <w:szCs w:val="24"/>
        </w:rPr>
      </w:pPr>
      <w:r>
        <w:rPr>
          <w:rFonts w:hint="eastAsia"/>
          <w:sz w:val="24"/>
          <w:szCs w:val="24"/>
        </w:rPr>
        <w:t>授予人数：161名</w:t>
      </w:r>
    </w:p>
    <w:p>
      <w:pPr>
        <w:numPr>
          <w:ilvl w:val="0"/>
          <w:numId w:val="3"/>
        </w:numPr>
        <w:snapToGrid w:val="0"/>
        <w:spacing w:line="360" w:lineRule="auto"/>
        <w:ind w:firstLine="420"/>
        <w:rPr>
          <w:sz w:val="24"/>
          <w:szCs w:val="24"/>
        </w:rPr>
      </w:pPr>
      <w:r>
        <w:rPr>
          <w:rFonts w:hint="eastAsia"/>
          <w:sz w:val="24"/>
          <w:szCs w:val="24"/>
        </w:rPr>
        <w:t>行权价格：13.58元/股</w:t>
      </w:r>
    </w:p>
    <w:p>
      <w:pPr>
        <w:numPr>
          <w:ilvl w:val="0"/>
          <w:numId w:val="3"/>
        </w:numPr>
        <w:snapToGrid w:val="0"/>
        <w:spacing w:line="360" w:lineRule="auto"/>
        <w:ind w:firstLine="420"/>
        <w:rPr>
          <w:sz w:val="24"/>
          <w:szCs w:val="24"/>
        </w:rPr>
      </w:pPr>
      <w:r>
        <w:rPr>
          <w:rFonts w:hint="eastAsia"/>
          <w:sz w:val="24"/>
          <w:szCs w:val="24"/>
        </w:rPr>
        <w:t>股票来源：公司向激励对象定向</w:t>
      </w:r>
      <w:r>
        <w:rPr>
          <w:sz w:val="24"/>
          <w:szCs w:val="24"/>
        </w:rPr>
        <w:t>发行的</w:t>
      </w:r>
      <w:r>
        <w:rPr>
          <w:rFonts w:hint="eastAsia"/>
          <w:sz w:val="24"/>
          <w:szCs w:val="24"/>
        </w:rPr>
        <w:t>本公司人民币A股普通股</w:t>
      </w:r>
      <w:r>
        <w:rPr>
          <w:sz w:val="24"/>
          <w:szCs w:val="24"/>
        </w:rPr>
        <w:t>股票</w:t>
      </w:r>
    </w:p>
    <w:p>
      <w:pPr>
        <w:numPr>
          <w:ilvl w:val="0"/>
          <w:numId w:val="3"/>
        </w:numPr>
        <w:snapToGrid w:val="0"/>
        <w:spacing w:line="360" w:lineRule="auto"/>
        <w:ind w:firstLine="420"/>
        <w:rPr>
          <w:sz w:val="24"/>
          <w:szCs w:val="24"/>
        </w:rPr>
      </w:pPr>
      <w:r>
        <w:rPr>
          <w:sz w:val="24"/>
          <w:szCs w:val="24"/>
        </w:rPr>
        <w:t>激励计划的有效期、</w:t>
      </w:r>
      <w:r>
        <w:rPr>
          <w:rFonts w:hint="eastAsia"/>
          <w:sz w:val="24"/>
          <w:szCs w:val="24"/>
        </w:rPr>
        <w:t>等待</w:t>
      </w:r>
      <w:r>
        <w:rPr>
          <w:sz w:val="24"/>
          <w:szCs w:val="24"/>
        </w:rPr>
        <w:t>期和行权安排情况：</w:t>
      </w:r>
    </w:p>
    <w:p>
      <w:pPr>
        <w:snapToGrid w:val="0"/>
        <w:spacing w:line="360" w:lineRule="auto"/>
        <w:ind w:firstLine="420" w:firstLineChars="175"/>
        <w:rPr>
          <w:sz w:val="24"/>
          <w:szCs w:val="24"/>
        </w:rPr>
      </w:pPr>
      <w:r>
        <w:rPr>
          <w:rFonts w:hint="eastAsia" w:eastAsiaTheme="minorEastAsia"/>
          <w:sz w:val="24"/>
          <w:szCs w:val="24"/>
        </w:rPr>
        <w:t>（1）</w:t>
      </w:r>
      <w:r>
        <w:rPr>
          <w:rFonts w:eastAsiaTheme="minorEastAsia"/>
          <w:sz w:val="24"/>
          <w:szCs w:val="24"/>
        </w:rPr>
        <w:t>激励计划的有效期为自股票期权授权之日起至激励对象获授的股票期权全部行权或注销完毕之日止，最长不超</w:t>
      </w:r>
      <w:r>
        <w:rPr>
          <w:rFonts w:hint="eastAsia" w:eastAsiaTheme="minorEastAsia"/>
          <w:sz w:val="24"/>
          <w:szCs w:val="24"/>
        </w:rPr>
        <w:t>过4</w:t>
      </w:r>
      <w:r>
        <w:rPr>
          <w:rFonts w:eastAsiaTheme="minorEastAsia"/>
          <w:sz w:val="24"/>
          <w:szCs w:val="24"/>
        </w:rPr>
        <w:t>8个月</w:t>
      </w:r>
      <w:r>
        <w:rPr>
          <w:sz w:val="24"/>
          <w:szCs w:val="24"/>
        </w:rPr>
        <w:t>。</w:t>
      </w:r>
    </w:p>
    <w:p>
      <w:pPr>
        <w:snapToGrid w:val="0"/>
        <w:spacing w:line="360" w:lineRule="auto"/>
        <w:ind w:firstLine="420" w:firstLineChars="175"/>
        <w:rPr>
          <w:sz w:val="24"/>
          <w:szCs w:val="24"/>
        </w:rPr>
      </w:pPr>
      <w:r>
        <w:rPr>
          <w:rFonts w:hint="eastAsia"/>
          <w:sz w:val="24"/>
          <w:szCs w:val="24"/>
        </w:rPr>
        <w:t>（2）激励对象获授的全部股票期权适用不同的等待期，均自授权完成登记日起计。授权日与首次可行权日之间的间隔不得少于12个月。本激励计划授予的股票期权的行权安排如下表所示</w:t>
      </w:r>
      <w:r>
        <w:rPr>
          <w:sz w:val="24"/>
          <w:szCs w:val="24"/>
        </w:rPr>
        <w:t>：</w:t>
      </w:r>
    </w:p>
    <w:tbl>
      <w:tblPr>
        <w:tblStyle w:val="7"/>
        <w:tblW w:w="4914" w:type="pct"/>
        <w:tblInd w:w="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3"/>
        <w:gridCol w:w="5244"/>
        <w:gridCol w:w="15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939" w:type="pct"/>
            <w:vAlign w:val="center"/>
          </w:tcPr>
          <w:p>
            <w:pPr>
              <w:snapToGrid w:val="0"/>
              <w:jc w:val="center"/>
              <w:rPr>
                <w:b/>
                <w:bCs/>
                <w:kern w:val="0"/>
                <w:szCs w:val="21"/>
              </w:rPr>
            </w:pPr>
            <w:r>
              <w:rPr>
                <w:b/>
                <w:bCs/>
                <w:kern w:val="0"/>
                <w:szCs w:val="21"/>
              </w:rPr>
              <w:t>行权安排</w:t>
            </w:r>
          </w:p>
        </w:tc>
        <w:tc>
          <w:tcPr>
            <w:tcW w:w="3131" w:type="pct"/>
            <w:vAlign w:val="center"/>
          </w:tcPr>
          <w:p>
            <w:pPr>
              <w:snapToGrid w:val="0"/>
              <w:jc w:val="center"/>
              <w:rPr>
                <w:b/>
                <w:bCs/>
                <w:kern w:val="0"/>
                <w:szCs w:val="21"/>
              </w:rPr>
            </w:pPr>
            <w:r>
              <w:rPr>
                <w:b/>
                <w:bCs/>
                <w:kern w:val="0"/>
                <w:szCs w:val="21"/>
              </w:rPr>
              <w:t>行权期间</w:t>
            </w:r>
          </w:p>
        </w:tc>
        <w:tc>
          <w:tcPr>
            <w:tcW w:w="930" w:type="pct"/>
            <w:vAlign w:val="center"/>
          </w:tcPr>
          <w:p>
            <w:pPr>
              <w:snapToGrid w:val="0"/>
              <w:jc w:val="center"/>
              <w:rPr>
                <w:b/>
                <w:bCs/>
                <w:kern w:val="0"/>
                <w:szCs w:val="21"/>
              </w:rPr>
            </w:pPr>
            <w:r>
              <w:rPr>
                <w:rFonts w:hint="eastAsia"/>
                <w:b/>
                <w:bCs/>
                <w:kern w:val="0"/>
                <w:szCs w:val="21"/>
              </w:rPr>
              <w:t>行权</w:t>
            </w:r>
            <w:r>
              <w:rPr>
                <w:b/>
                <w:bCs/>
                <w:kern w:val="0"/>
                <w:szCs w:val="21"/>
              </w:rPr>
              <w:t>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9" w:type="pct"/>
            <w:vAlign w:val="center"/>
          </w:tcPr>
          <w:p>
            <w:pPr>
              <w:snapToGrid w:val="0"/>
              <w:jc w:val="center"/>
              <w:rPr>
                <w:kern w:val="0"/>
                <w:szCs w:val="21"/>
              </w:rPr>
            </w:pPr>
            <w:r>
              <w:rPr>
                <w:kern w:val="0"/>
                <w:szCs w:val="21"/>
              </w:rPr>
              <w:t>第一个行权期</w:t>
            </w:r>
          </w:p>
        </w:tc>
        <w:tc>
          <w:tcPr>
            <w:tcW w:w="3131" w:type="pct"/>
          </w:tcPr>
          <w:p>
            <w:pPr>
              <w:rPr>
                <w:kern w:val="0"/>
                <w:szCs w:val="21"/>
              </w:rPr>
            </w:pPr>
            <w:r>
              <w:rPr>
                <w:szCs w:val="21"/>
              </w:rPr>
              <w:t>自股票期权授权日起12个月后的首个交易日起至股票期权授权日起24个月内的最后一个交易日当日止</w:t>
            </w:r>
          </w:p>
        </w:tc>
        <w:tc>
          <w:tcPr>
            <w:tcW w:w="930" w:type="pct"/>
            <w:vAlign w:val="center"/>
          </w:tcPr>
          <w:p>
            <w:pPr>
              <w:snapToGrid w:val="0"/>
              <w:jc w:val="center"/>
              <w:rPr>
                <w:kern w:val="0"/>
                <w:szCs w:val="21"/>
              </w:rPr>
            </w:pPr>
            <w:r>
              <w:rPr>
                <w:kern w:val="0"/>
                <w:szCs w:val="21"/>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9" w:type="pct"/>
            <w:vAlign w:val="center"/>
          </w:tcPr>
          <w:p>
            <w:pPr>
              <w:snapToGrid w:val="0"/>
              <w:jc w:val="center"/>
              <w:rPr>
                <w:kern w:val="0"/>
                <w:szCs w:val="21"/>
              </w:rPr>
            </w:pPr>
            <w:r>
              <w:rPr>
                <w:kern w:val="0"/>
                <w:szCs w:val="21"/>
              </w:rPr>
              <w:t>第二个行权期</w:t>
            </w:r>
          </w:p>
        </w:tc>
        <w:tc>
          <w:tcPr>
            <w:tcW w:w="3131" w:type="pct"/>
          </w:tcPr>
          <w:p>
            <w:pPr>
              <w:rPr>
                <w:kern w:val="0"/>
                <w:szCs w:val="21"/>
              </w:rPr>
            </w:pPr>
            <w:r>
              <w:rPr>
                <w:szCs w:val="21"/>
              </w:rPr>
              <w:t>自股票期权授权日起24个月后的首个交易日起至股票期权授权日起36个月内的最后一个交易日当日止</w:t>
            </w:r>
          </w:p>
        </w:tc>
        <w:tc>
          <w:tcPr>
            <w:tcW w:w="930" w:type="pct"/>
            <w:vAlign w:val="center"/>
          </w:tcPr>
          <w:p>
            <w:pPr>
              <w:snapToGrid w:val="0"/>
              <w:jc w:val="center"/>
              <w:rPr>
                <w:kern w:val="0"/>
                <w:szCs w:val="21"/>
              </w:rPr>
            </w:pPr>
            <w:r>
              <w:rPr>
                <w:kern w:val="0"/>
                <w:szCs w:val="21"/>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9" w:type="pct"/>
            <w:vAlign w:val="center"/>
          </w:tcPr>
          <w:p>
            <w:pPr>
              <w:snapToGrid w:val="0"/>
              <w:jc w:val="center"/>
              <w:rPr>
                <w:kern w:val="0"/>
                <w:szCs w:val="21"/>
              </w:rPr>
            </w:pPr>
            <w:r>
              <w:rPr>
                <w:kern w:val="0"/>
                <w:szCs w:val="21"/>
              </w:rPr>
              <w:t>第三个行权期</w:t>
            </w:r>
          </w:p>
        </w:tc>
        <w:tc>
          <w:tcPr>
            <w:tcW w:w="3131" w:type="pct"/>
          </w:tcPr>
          <w:p>
            <w:pPr>
              <w:rPr>
                <w:kern w:val="0"/>
                <w:szCs w:val="21"/>
              </w:rPr>
            </w:pPr>
            <w:r>
              <w:rPr>
                <w:szCs w:val="21"/>
              </w:rPr>
              <w:t>自股票期权授权日起36个月后的首个交易日起至股票期权授权日起48个月内的最后一个交易日当日止</w:t>
            </w:r>
          </w:p>
        </w:tc>
        <w:tc>
          <w:tcPr>
            <w:tcW w:w="930" w:type="pct"/>
            <w:vAlign w:val="center"/>
          </w:tcPr>
          <w:p>
            <w:pPr>
              <w:snapToGrid w:val="0"/>
              <w:jc w:val="center"/>
              <w:rPr>
                <w:kern w:val="0"/>
                <w:szCs w:val="21"/>
              </w:rPr>
            </w:pPr>
            <w:r>
              <w:rPr>
                <w:kern w:val="0"/>
                <w:szCs w:val="21"/>
              </w:rPr>
              <w:t>40%</w:t>
            </w:r>
          </w:p>
        </w:tc>
      </w:tr>
    </w:tbl>
    <w:p>
      <w:pPr>
        <w:snapToGrid w:val="0"/>
        <w:spacing w:before="156" w:beforeLines="50" w:line="360" w:lineRule="auto"/>
        <w:ind w:firstLine="480" w:firstLineChars="200"/>
        <w:rPr>
          <w:sz w:val="24"/>
          <w:szCs w:val="24"/>
        </w:rPr>
      </w:pPr>
      <w:r>
        <w:rPr>
          <w:rFonts w:hint="eastAsia"/>
          <w:sz w:val="24"/>
          <w:szCs w:val="24"/>
        </w:rPr>
        <w:t>在上述约定期间因行权条件未成就的股票期权，不得行权或递延至下期行权，并由公司按本激励计划规定的原则注销激励对象相应的股票期权。在股票期权各行权期结束后，激励对象未行权的当期股票期权应当终止行权，公司将予以注销。</w:t>
      </w:r>
    </w:p>
    <w:p>
      <w:pPr>
        <w:snapToGrid w:val="0"/>
        <w:spacing w:line="360" w:lineRule="auto"/>
        <w:ind w:firstLine="480" w:firstLineChars="200"/>
        <w:rPr>
          <w:sz w:val="24"/>
          <w:szCs w:val="24"/>
        </w:rPr>
      </w:pPr>
      <w:r>
        <w:rPr>
          <w:rFonts w:hint="eastAsia"/>
          <w:sz w:val="24"/>
          <w:szCs w:val="24"/>
        </w:rPr>
        <w:t>在满足股票期权行权条件后，公司将为激励对象办理满足行权条件的股票期权行权事宜。</w:t>
      </w:r>
    </w:p>
    <w:p>
      <w:pPr>
        <w:numPr>
          <w:ilvl w:val="0"/>
          <w:numId w:val="4"/>
        </w:numPr>
        <w:snapToGrid w:val="0"/>
        <w:spacing w:line="360" w:lineRule="auto"/>
        <w:ind w:firstLine="480" w:firstLineChars="200"/>
        <w:rPr>
          <w:sz w:val="24"/>
          <w:szCs w:val="24"/>
        </w:rPr>
      </w:pPr>
      <w:r>
        <w:rPr>
          <w:rFonts w:hint="eastAsia"/>
          <w:sz w:val="24"/>
          <w:szCs w:val="24"/>
        </w:rPr>
        <w:t>股票期权的行权条件</w:t>
      </w:r>
    </w:p>
    <w:p>
      <w:pPr>
        <w:snapToGrid w:val="0"/>
        <w:spacing w:line="360" w:lineRule="auto"/>
        <w:ind w:firstLine="420"/>
        <w:rPr>
          <w:sz w:val="24"/>
          <w:szCs w:val="24"/>
        </w:rPr>
      </w:pPr>
      <w:r>
        <w:rPr>
          <w:rFonts w:hint="eastAsia"/>
          <w:sz w:val="24"/>
          <w:szCs w:val="24"/>
        </w:rPr>
        <w:t>行权期间内同时满足下列条件时，激励对象获授的股票期权方可行权：</w:t>
      </w:r>
    </w:p>
    <w:p>
      <w:pPr>
        <w:snapToGrid w:val="0"/>
        <w:spacing w:line="360" w:lineRule="auto"/>
        <w:ind w:firstLine="420"/>
        <w:rPr>
          <w:sz w:val="24"/>
          <w:szCs w:val="24"/>
        </w:rPr>
      </w:pPr>
      <w:r>
        <w:rPr>
          <w:rFonts w:hint="eastAsia" w:ascii="宋体" w:hAnsi="宋体" w:cs="宋体"/>
          <w:sz w:val="24"/>
          <w:szCs w:val="24"/>
        </w:rPr>
        <w:t>①</w:t>
      </w:r>
      <w:r>
        <w:rPr>
          <w:rFonts w:hint="eastAsia"/>
          <w:sz w:val="24"/>
          <w:szCs w:val="24"/>
        </w:rPr>
        <w:t>本公司未发生如下任一情形：</w:t>
      </w:r>
    </w:p>
    <w:p>
      <w:pPr>
        <w:spacing w:line="360" w:lineRule="auto"/>
        <w:ind w:firstLine="480" w:firstLineChars="200"/>
        <w:rPr>
          <w:rFonts w:eastAsiaTheme="minorEastAsia"/>
          <w:sz w:val="24"/>
          <w:szCs w:val="24"/>
        </w:rPr>
      </w:pPr>
      <w:r>
        <w:rPr>
          <w:rFonts w:hint="eastAsia" w:eastAsiaTheme="minorEastAsia"/>
          <w:sz w:val="24"/>
          <w:szCs w:val="24"/>
        </w:rPr>
        <w:t>A.</w:t>
      </w:r>
      <w:r>
        <w:rPr>
          <w:rFonts w:eastAsiaTheme="minorEastAsia"/>
          <w:sz w:val="24"/>
          <w:szCs w:val="24"/>
        </w:rPr>
        <w:t>最近一个会计年度财务会计报告被注册会计师出具否定意见或者无法表示意见的审计报告；</w:t>
      </w:r>
    </w:p>
    <w:p>
      <w:pPr>
        <w:spacing w:line="360" w:lineRule="auto"/>
        <w:ind w:firstLine="480" w:firstLineChars="200"/>
        <w:rPr>
          <w:rFonts w:eastAsiaTheme="minorEastAsia"/>
          <w:sz w:val="24"/>
          <w:szCs w:val="24"/>
        </w:rPr>
      </w:pPr>
      <w:r>
        <w:rPr>
          <w:rFonts w:hint="eastAsia" w:eastAsiaTheme="minorEastAsia"/>
          <w:sz w:val="24"/>
          <w:szCs w:val="24"/>
        </w:rPr>
        <w:t>B.</w:t>
      </w:r>
      <w:r>
        <w:rPr>
          <w:rFonts w:eastAsiaTheme="minorEastAsia"/>
          <w:sz w:val="24"/>
          <w:szCs w:val="24"/>
        </w:rPr>
        <w:t>最近一个会计年度财务报告内部控制被注册会计师出具否定意见或无法表示意见的审计报告；</w:t>
      </w:r>
    </w:p>
    <w:p>
      <w:pPr>
        <w:spacing w:line="360" w:lineRule="auto"/>
        <w:ind w:firstLine="480" w:firstLineChars="200"/>
        <w:rPr>
          <w:rFonts w:eastAsiaTheme="minorEastAsia"/>
          <w:sz w:val="24"/>
          <w:szCs w:val="24"/>
        </w:rPr>
      </w:pPr>
      <w:r>
        <w:rPr>
          <w:rFonts w:hint="eastAsia" w:eastAsiaTheme="minorEastAsia"/>
          <w:sz w:val="24"/>
          <w:szCs w:val="24"/>
        </w:rPr>
        <w:t>C.</w:t>
      </w:r>
      <w:r>
        <w:rPr>
          <w:rFonts w:eastAsiaTheme="minorEastAsia"/>
          <w:sz w:val="24"/>
          <w:szCs w:val="24"/>
        </w:rPr>
        <w:t>上市后最近36个月内出现过未按法律法规、《公司章程》、公开承诺进行利润分配的情形；</w:t>
      </w:r>
    </w:p>
    <w:p>
      <w:pPr>
        <w:spacing w:line="360" w:lineRule="auto"/>
        <w:ind w:firstLine="480" w:firstLineChars="200"/>
        <w:rPr>
          <w:rFonts w:eastAsiaTheme="minorEastAsia"/>
          <w:sz w:val="24"/>
          <w:szCs w:val="24"/>
        </w:rPr>
      </w:pPr>
      <w:r>
        <w:rPr>
          <w:rFonts w:hint="eastAsia" w:eastAsiaTheme="minorEastAsia"/>
          <w:sz w:val="24"/>
          <w:szCs w:val="24"/>
        </w:rPr>
        <w:t>D.</w:t>
      </w:r>
      <w:r>
        <w:rPr>
          <w:rFonts w:eastAsiaTheme="minorEastAsia"/>
          <w:sz w:val="24"/>
          <w:szCs w:val="24"/>
        </w:rPr>
        <w:t>法律法规规定不得实行股权激励的；</w:t>
      </w:r>
    </w:p>
    <w:p>
      <w:pPr>
        <w:spacing w:line="360" w:lineRule="auto"/>
        <w:ind w:firstLine="480" w:firstLineChars="200"/>
        <w:rPr>
          <w:rFonts w:eastAsiaTheme="minorEastAsia"/>
          <w:sz w:val="24"/>
          <w:szCs w:val="24"/>
        </w:rPr>
      </w:pPr>
      <w:r>
        <w:rPr>
          <w:rFonts w:hint="eastAsia" w:eastAsiaTheme="minorEastAsia"/>
          <w:sz w:val="24"/>
          <w:szCs w:val="24"/>
        </w:rPr>
        <w:t>E.</w:t>
      </w:r>
      <w:r>
        <w:rPr>
          <w:rFonts w:eastAsiaTheme="minorEastAsia"/>
          <w:sz w:val="24"/>
          <w:szCs w:val="24"/>
        </w:rPr>
        <w:t>中国证监会认定的其他情形。</w:t>
      </w:r>
    </w:p>
    <w:p>
      <w:pPr>
        <w:spacing w:line="360" w:lineRule="auto"/>
        <w:ind w:firstLine="480" w:firstLineChars="200"/>
        <w:rPr>
          <w:rFonts w:eastAsiaTheme="minorEastAsia"/>
          <w:sz w:val="24"/>
          <w:szCs w:val="24"/>
        </w:rPr>
      </w:pPr>
      <w:r>
        <w:rPr>
          <w:rFonts w:eastAsiaTheme="minorEastAsia"/>
          <w:sz w:val="24"/>
          <w:szCs w:val="24"/>
        </w:rPr>
        <w:t>公司发生上述第</w:t>
      </w:r>
      <w:r>
        <w:rPr>
          <w:rFonts w:hint="eastAsia" w:ascii="宋体" w:hAnsi="宋体" w:eastAsia="宋体" w:cs="宋体"/>
          <w:sz w:val="24"/>
          <w:szCs w:val="24"/>
        </w:rPr>
        <w:t>①</w:t>
      </w:r>
      <w:r>
        <w:rPr>
          <w:rFonts w:eastAsiaTheme="minorEastAsia"/>
          <w:sz w:val="24"/>
          <w:szCs w:val="24"/>
        </w:rPr>
        <w:t>条规定情形之一的，激励对象根据本计划已获授但尚未行权的股票期权应当由公司注销。</w:t>
      </w:r>
    </w:p>
    <w:p>
      <w:pPr>
        <w:spacing w:line="360" w:lineRule="auto"/>
        <w:ind w:firstLine="480" w:firstLineChars="200"/>
        <w:rPr>
          <w:rFonts w:eastAsiaTheme="minorEastAsia"/>
          <w:b/>
          <w:bCs/>
          <w:sz w:val="24"/>
          <w:szCs w:val="24"/>
        </w:rPr>
      </w:pPr>
      <w:r>
        <w:rPr>
          <w:rFonts w:hint="eastAsia" w:ascii="宋体" w:hAnsi="宋体" w:eastAsia="宋体" w:cs="宋体"/>
          <w:sz w:val="24"/>
          <w:szCs w:val="24"/>
        </w:rPr>
        <w:t>②</w:t>
      </w:r>
      <w:r>
        <w:rPr>
          <w:rFonts w:eastAsiaTheme="minorEastAsia"/>
          <w:sz w:val="24"/>
          <w:szCs w:val="24"/>
        </w:rPr>
        <w:t>激励对象未发生如下任一情形：</w:t>
      </w:r>
    </w:p>
    <w:p>
      <w:pPr>
        <w:spacing w:line="360" w:lineRule="auto"/>
        <w:ind w:firstLine="480" w:firstLineChars="200"/>
        <w:rPr>
          <w:rFonts w:eastAsiaTheme="minorEastAsia"/>
          <w:b/>
          <w:bCs/>
          <w:sz w:val="24"/>
          <w:szCs w:val="24"/>
        </w:rPr>
      </w:pPr>
      <w:r>
        <w:rPr>
          <w:rFonts w:hint="eastAsia" w:eastAsiaTheme="minorEastAsia"/>
          <w:sz w:val="24"/>
          <w:szCs w:val="24"/>
        </w:rPr>
        <w:t>A.</w:t>
      </w:r>
      <w:r>
        <w:rPr>
          <w:rFonts w:eastAsiaTheme="minorEastAsia"/>
          <w:sz w:val="24"/>
          <w:szCs w:val="24"/>
        </w:rPr>
        <w:t>最近12个月内被证券交易所认定为不适当人选；</w:t>
      </w:r>
    </w:p>
    <w:p>
      <w:pPr>
        <w:spacing w:line="360" w:lineRule="auto"/>
        <w:ind w:firstLine="480" w:firstLineChars="200"/>
        <w:rPr>
          <w:rFonts w:eastAsiaTheme="minorEastAsia"/>
          <w:b/>
          <w:bCs/>
          <w:sz w:val="24"/>
          <w:szCs w:val="24"/>
        </w:rPr>
      </w:pPr>
      <w:r>
        <w:rPr>
          <w:rFonts w:hint="eastAsia" w:eastAsiaTheme="minorEastAsia"/>
          <w:sz w:val="24"/>
          <w:szCs w:val="24"/>
        </w:rPr>
        <w:t>B.</w:t>
      </w:r>
      <w:r>
        <w:rPr>
          <w:rFonts w:eastAsiaTheme="minorEastAsia"/>
          <w:sz w:val="24"/>
          <w:szCs w:val="24"/>
        </w:rPr>
        <w:t>最近12个月内被中国证监会及其派出机构认定为不适当人选；</w:t>
      </w:r>
    </w:p>
    <w:p>
      <w:pPr>
        <w:spacing w:line="360" w:lineRule="auto"/>
        <w:ind w:firstLine="480" w:firstLineChars="200"/>
        <w:rPr>
          <w:rFonts w:eastAsiaTheme="minorEastAsia"/>
          <w:sz w:val="24"/>
          <w:szCs w:val="24"/>
        </w:rPr>
      </w:pPr>
      <w:r>
        <w:rPr>
          <w:rFonts w:hint="eastAsia" w:eastAsiaTheme="minorEastAsia"/>
          <w:sz w:val="24"/>
          <w:szCs w:val="24"/>
        </w:rPr>
        <w:t>C.</w:t>
      </w:r>
      <w:r>
        <w:rPr>
          <w:rFonts w:eastAsiaTheme="minorEastAsia"/>
          <w:sz w:val="24"/>
          <w:szCs w:val="24"/>
        </w:rPr>
        <w:t>最近12个月内因重大违法违规行为被中国证监会及其派出机构行政处罚或者采取市场禁入措施；</w:t>
      </w:r>
    </w:p>
    <w:p>
      <w:pPr>
        <w:spacing w:line="360" w:lineRule="auto"/>
        <w:ind w:firstLine="480" w:firstLineChars="200"/>
        <w:rPr>
          <w:rFonts w:eastAsiaTheme="minorEastAsia"/>
          <w:b/>
          <w:bCs/>
          <w:sz w:val="24"/>
          <w:szCs w:val="24"/>
        </w:rPr>
      </w:pPr>
      <w:r>
        <w:rPr>
          <w:rFonts w:hint="eastAsia" w:eastAsiaTheme="minorEastAsia"/>
          <w:sz w:val="24"/>
          <w:szCs w:val="24"/>
        </w:rPr>
        <w:t>D.</w:t>
      </w:r>
      <w:r>
        <w:rPr>
          <w:rFonts w:eastAsiaTheme="minorEastAsia"/>
          <w:sz w:val="24"/>
          <w:szCs w:val="24"/>
        </w:rPr>
        <w:t>具有《公司法》规定的不得担任公司董事、高级管理人员的情形；</w:t>
      </w:r>
    </w:p>
    <w:p>
      <w:pPr>
        <w:spacing w:line="360" w:lineRule="auto"/>
        <w:ind w:firstLine="480" w:firstLineChars="200"/>
        <w:rPr>
          <w:rFonts w:eastAsiaTheme="minorEastAsia"/>
          <w:b/>
          <w:bCs/>
          <w:sz w:val="24"/>
          <w:szCs w:val="24"/>
        </w:rPr>
      </w:pPr>
      <w:r>
        <w:rPr>
          <w:rFonts w:hint="eastAsia" w:eastAsiaTheme="minorEastAsia"/>
          <w:sz w:val="24"/>
          <w:szCs w:val="24"/>
        </w:rPr>
        <w:t>E.</w:t>
      </w:r>
      <w:r>
        <w:rPr>
          <w:rFonts w:eastAsiaTheme="minorEastAsia"/>
          <w:sz w:val="24"/>
          <w:szCs w:val="24"/>
        </w:rPr>
        <w:t>法律法规规定不得参与上市公司股权激励的；</w:t>
      </w:r>
    </w:p>
    <w:p>
      <w:pPr>
        <w:spacing w:line="360" w:lineRule="auto"/>
        <w:ind w:firstLine="480" w:firstLineChars="200"/>
        <w:rPr>
          <w:rFonts w:eastAsiaTheme="minorEastAsia"/>
          <w:sz w:val="24"/>
          <w:szCs w:val="24"/>
        </w:rPr>
      </w:pPr>
      <w:r>
        <w:rPr>
          <w:rFonts w:hint="eastAsia" w:eastAsiaTheme="minorEastAsia"/>
          <w:sz w:val="24"/>
          <w:szCs w:val="24"/>
        </w:rPr>
        <w:t>F.</w:t>
      </w:r>
      <w:r>
        <w:rPr>
          <w:rFonts w:eastAsiaTheme="minorEastAsia"/>
          <w:sz w:val="24"/>
          <w:szCs w:val="24"/>
        </w:rPr>
        <w:t>中国证监会认定的其他情形。</w:t>
      </w:r>
    </w:p>
    <w:p>
      <w:pPr>
        <w:spacing w:line="360" w:lineRule="auto"/>
        <w:ind w:firstLine="480" w:firstLineChars="200"/>
        <w:rPr>
          <w:rFonts w:eastAsiaTheme="minorEastAsia"/>
          <w:sz w:val="24"/>
          <w:szCs w:val="24"/>
        </w:rPr>
      </w:pPr>
      <w:r>
        <w:rPr>
          <w:rFonts w:eastAsiaTheme="minorEastAsia"/>
          <w:sz w:val="24"/>
          <w:szCs w:val="24"/>
        </w:rPr>
        <w:t>某一激励对象出现上述第</w:t>
      </w:r>
      <w:r>
        <w:rPr>
          <w:rFonts w:hint="eastAsia" w:ascii="宋体" w:hAnsi="宋体" w:eastAsia="宋体" w:cs="宋体"/>
          <w:sz w:val="24"/>
          <w:szCs w:val="24"/>
        </w:rPr>
        <w:t>②</w:t>
      </w:r>
      <w:r>
        <w:rPr>
          <w:rFonts w:eastAsiaTheme="minorEastAsia"/>
          <w:sz w:val="24"/>
          <w:szCs w:val="24"/>
        </w:rPr>
        <w:t>条规定情形之一的，公司将终止其参与本激励计划的权利，该激励对象根据本激励计划已获授但尚未行权的股票期权应当由公司注销。</w:t>
      </w:r>
    </w:p>
    <w:p>
      <w:pPr>
        <w:spacing w:line="360" w:lineRule="auto"/>
        <w:ind w:firstLine="480" w:firstLineChars="200"/>
        <w:rPr>
          <w:rFonts w:eastAsiaTheme="minorEastAsia"/>
          <w:b/>
          <w:bCs/>
          <w:sz w:val="24"/>
          <w:szCs w:val="24"/>
        </w:rPr>
      </w:pPr>
      <w:r>
        <w:rPr>
          <w:rFonts w:hint="eastAsia" w:ascii="宋体" w:hAnsi="宋体" w:eastAsia="宋体" w:cs="宋体"/>
          <w:sz w:val="24"/>
          <w:szCs w:val="24"/>
        </w:rPr>
        <w:t>③</w:t>
      </w:r>
      <w:r>
        <w:rPr>
          <w:rFonts w:eastAsiaTheme="minorEastAsia"/>
          <w:sz w:val="24"/>
          <w:szCs w:val="24"/>
        </w:rPr>
        <w:t>公司层面的业绩考核要求：</w:t>
      </w:r>
    </w:p>
    <w:p>
      <w:pPr>
        <w:spacing w:line="360" w:lineRule="auto"/>
        <w:ind w:firstLine="480" w:firstLineChars="200"/>
        <w:rPr>
          <w:rFonts w:eastAsiaTheme="minorEastAsia"/>
          <w:sz w:val="24"/>
          <w:szCs w:val="24"/>
        </w:rPr>
      </w:pPr>
      <w:r>
        <w:rPr>
          <w:rFonts w:eastAsiaTheme="minorEastAsia"/>
          <w:sz w:val="24"/>
          <w:szCs w:val="24"/>
        </w:rPr>
        <w:t>本激励计划</w:t>
      </w:r>
      <w:r>
        <w:rPr>
          <w:rFonts w:hint="eastAsia" w:eastAsiaTheme="minorEastAsia"/>
          <w:sz w:val="24"/>
          <w:szCs w:val="24"/>
        </w:rPr>
        <w:t>在</w:t>
      </w:r>
      <w:r>
        <w:rPr>
          <w:rFonts w:eastAsiaTheme="minorEastAsia"/>
          <w:sz w:val="24"/>
          <w:szCs w:val="24"/>
        </w:rPr>
        <w:t>2021</w:t>
      </w:r>
      <w:r>
        <w:rPr>
          <w:rFonts w:hint="eastAsia" w:eastAsiaTheme="minorEastAsia"/>
          <w:sz w:val="24"/>
          <w:szCs w:val="24"/>
        </w:rPr>
        <w:t>年至</w:t>
      </w:r>
      <w:r>
        <w:rPr>
          <w:rFonts w:eastAsiaTheme="minorEastAsia"/>
          <w:sz w:val="24"/>
          <w:szCs w:val="24"/>
        </w:rPr>
        <w:t>2023</w:t>
      </w:r>
      <w:r>
        <w:rPr>
          <w:rFonts w:hint="eastAsia" w:eastAsiaTheme="minorEastAsia"/>
          <w:sz w:val="24"/>
          <w:szCs w:val="24"/>
        </w:rPr>
        <w:t>年会计年</w:t>
      </w:r>
      <w:r>
        <w:rPr>
          <w:rFonts w:eastAsiaTheme="minorEastAsia"/>
          <w:sz w:val="24"/>
          <w:szCs w:val="24"/>
        </w:rPr>
        <w:t>度中，分年度对公司的业绩指标进行考核，以达到业绩考核目标作为激励对象当年度的行权条件之一。</w:t>
      </w:r>
      <w:r>
        <w:rPr>
          <w:rFonts w:hint="eastAsia" w:eastAsiaTheme="minorEastAsia"/>
          <w:sz w:val="24"/>
          <w:szCs w:val="24"/>
        </w:rPr>
        <w:t>本次授予的股票期权的业绩考核目标如下表所示：</w:t>
      </w:r>
    </w:p>
    <w:tbl>
      <w:tblPr>
        <w:tblStyle w:val="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7"/>
        <w:gridCol w:w="63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1277" w:type="pct"/>
            <w:tcBorders>
              <w:top w:val="single" w:color="auto" w:sz="4" w:space="0"/>
              <w:left w:val="single" w:color="auto" w:sz="4" w:space="0"/>
              <w:bottom w:val="single" w:color="auto" w:sz="4" w:space="0"/>
              <w:right w:val="single" w:color="auto" w:sz="4" w:space="0"/>
            </w:tcBorders>
            <w:shd w:val="clear" w:color="auto" w:fill="F2F2F2"/>
            <w:vAlign w:val="center"/>
          </w:tcPr>
          <w:p>
            <w:pPr>
              <w:ind w:firstLine="357"/>
              <w:jc w:val="center"/>
              <w:rPr>
                <w:b/>
              </w:rPr>
            </w:pPr>
            <w:r>
              <w:rPr>
                <w:rFonts w:hint="eastAsia"/>
                <w:b/>
              </w:rPr>
              <w:t>行权</w:t>
            </w:r>
            <w:r>
              <w:rPr>
                <w:b/>
              </w:rPr>
              <w:t>期</w:t>
            </w:r>
          </w:p>
        </w:tc>
        <w:tc>
          <w:tcPr>
            <w:tcW w:w="3723" w:type="pct"/>
            <w:tcBorders>
              <w:top w:val="single" w:color="auto" w:sz="4" w:space="0"/>
              <w:left w:val="single" w:color="auto" w:sz="4" w:space="0"/>
              <w:bottom w:val="single" w:color="auto" w:sz="4" w:space="0"/>
              <w:right w:val="single" w:color="auto" w:sz="4" w:space="0"/>
            </w:tcBorders>
            <w:shd w:val="clear" w:color="auto" w:fill="F2F2F2"/>
            <w:vAlign w:val="center"/>
          </w:tcPr>
          <w:p>
            <w:pPr>
              <w:ind w:firstLine="357"/>
              <w:jc w:val="center"/>
              <w:rPr>
                <w:b/>
              </w:rPr>
            </w:pPr>
            <w:r>
              <w:rPr>
                <w:b/>
              </w:rPr>
              <w:t>业绩考核目标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277" w:type="pct"/>
            <w:vAlign w:val="center"/>
          </w:tcPr>
          <w:p>
            <w:pPr>
              <w:jc w:val="center"/>
              <w:rPr>
                <w:szCs w:val="21"/>
              </w:rPr>
            </w:pPr>
            <w:r>
              <w:rPr>
                <w:szCs w:val="21"/>
              </w:rPr>
              <w:t>第一个</w:t>
            </w:r>
            <w:r>
              <w:rPr>
                <w:rFonts w:hint="eastAsia"/>
                <w:szCs w:val="21"/>
              </w:rPr>
              <w:t>行权</w:t>
            </w:r>
            <w:r>
              <w:rPr>
                <w:szCs w:val="21"/>
              </w:rPr>
              <w:t>期</w:t>
            </w:r>
          </w:p>
        </w:tc>
        <w:tc>
          <w:tcPr>
            <w:tcW w:w="3723" w:type="pct"/>
            <w:vAlign w:val="center"/>
          </w:tcPr>
          <w:p>
            <w:pPr>
              <w:rPr>
                <w:szCs w:val="21"/>
              </w:rPr>
            </w:pPr>
            <w:r>
              <w:rPr>
                <w:rFonts w:hint="eastAsia"/>
                <w:szCs w:val="21"/>
              </w:rPr>
              <w:t>以</w:t>
            </w:r>
            <w:r>
              <w:rPr>
                <w:szCs w:val="21"/>
              </w:rPr>
              <w:t>2020</w:t>
            </w:r>
            <w:r>
              <w:rPr>
                <w:rFonts w:hint="eastAsia"/>
                <w:szCs w:val="21"/>
              </w:rPr>
              <w:t>年的净利润为基数，</w:t>
            </w:r>
            <w:r>
              <w:rPr>
                <w:szCs w:val="21"/>
              </w:rPr>
              <w:t>2021</w:t>
            </w:r>
            <w:r>
              <w:rPr>
                <w:rFonts w:hint="eastAsia"/>
                <w:szCs w:val="21"/>
              </w:rPr>
              <w:t>年的净利润增长率不低于</w:t>
            </w:r>
            <w:r>
              <w:rPr>
                <w:szCs w:val="21"/>
              </w:rPr>
              <w:t xml:space="preserve">35%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2236" w:type="dxa"/>
            <w:vAlign w:val="center"/>
          </w:tcPr>
          <w:p>
            <w:pPr>
              <w:jc w:val="center"/>
              <w:rPr>
                <w:szCs w:val="21"/>
              </w:rPr>
            </w:pPr>
            <w:r>
              <w:rPr>
                <w:szCs w:val="21"/>
              </w:rPr>
              <w:t>第二个</w:t>
            </w:r>
            <w:r>
              <w:rPr>
                <w:rFonts w:hint="eastAsia"/>
                <w:szCs w:val="21"/>
              </w:rPr>
              <w:t>行权</w:t>
            </w:r>
            <w:r>
              <w:rPr>
                <w:szCs w:val="21"/>
              </w:rPr>
              <w:t>期</w:t>
            </w:r>
          </w:p>
        </w:tc>
        <w:tc>
          <w:tcPr>
            <w:tcW w:w="6518" w:type="dxa"/>
            <w:vAlign w:val="center"/>
          </w:tcPr>
          <w:p>
            <w:pPr>
              <w:rPr>
                <w:szCs w:val="21"/>
              </w:rPr>
            </w:pPr>
            <w:r>
              <w:rPr>
                <w:rFonts w:hint="eastAsia"/>
                <w:szCs w:val="21"/>
              </w:rPr>
              <w:t>以</w:t>
            </w:r>
            <w:r>
              <w:rPr>
                <w:szCs w:val="21"/>
              </w:rPr>
              <w:t>2020</w:t>
            </w:r>
            <w:r>
              <w:rPr>
                <w:rFonts w:hint="eastAsia"/>
                <w:szCs w:val="21"/>
              </w:rPr>
              <w:t>年的净利润为基数，</w:t>
            </w:r>
            <w:r>
              <w:rPr>
                <w:szCs w:val="21"/>
              </w:rPr>
              <w:t>2022</w:t>
            </w:r>
            <w:r>
              <w:rPr>
                <w:rFonts w:hint="eastAsia"/>
                <w:szCs w:val="21"/>
              </w:rPr>
              <w:t>年的净利润增长率不低于</w:t>
            </w:r>
            <w:r>
              <w:rPr>
                <w:szCs w:val="21"/>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2236" w:type="dxa"/>
            <w:vAlign w:val="center"/>
          </w:tcPr>
          <w:p>
            <w:pPr>
              <w:jc w:val="center"/>
              <w:rPr>
                <w:szCs w:val="21"/>
              </w:rPr>
            </w:pPr>
            <w:r>
              <w:rPr>
                <w:szCs w:val="21"/>
              </w:rPr>
              <w:t>第三个</w:t>
            </w:r>
            <w:r>
              <w:rPr>
                <w:rFonts w:hint="eastAsia"/>
                <w:szCs w:val="21"/>
              </w:rPr>
              <w:t>行权</w:t>
            </w:r>
            <w:r>
              <w:rPr>
                <w:szCs w:val="21"/>
              </w:rPr>
              <w:t>期</w:t>
            </w:r>
          </w:p>
        </w:tc>
        <w:tc>
          <w:tcPr>
            <w:tcW w:w="6518" w:type="dxa"/>
            <w:vAlign w:val="center"/>
          </w:tcPr>
          <w:p>
            <w:pPr>
              <w:rPr>
                <w:szCs w:val="21"/>
              </w:rPr>
            </w:pPr>
            <w:r>
              <w:rPr>
                <w:rFonts w:hint="eastAsia"/>
                <w:szCs w:val="21"/>
              </w:rPr>
              <w:t>以</w:t>
            </w:r>
            <w:r>
              <w:rPr>
                <w:szCs w:val="21"/>
              </w:rPr>
              <w:t>2020</w:t>
            </w:r>
            <w:r>
              <w:rPr>
                <w:rFonts w:hint="eastAsia"/>
                <w:szCs w:val="21"/>
              </w:rPr>
              <w:t>年的净利润为基数，</w:t>
            </w:r>
            <w:r>
              <w:rPr>
                <w:szCs w:val="21"/>
              </w:rPr>
              <w:t>2023</w:t>
            </w:r>
            <w:r>
              <w:rPr>
                <w:rFonts w:hint="eastAsia"/>
                <w:szCs w:val="21"/>
              </w:rPr>
              <w:t>年的净利润增长率不低于</w:t>
            </w:r>
            <w:r>
              <w:rPr>
                <w:szCs w:val="21"/>
              </w:rPr>
              <w:t>105%</w:t>
            </w:r>
          </w:p>
        </w:tc>
      </w:tr>
    </w:tbl>
    <w:p>
      <w:pPr>
        <w:rPr>
          <w:szCs w:val="24"/>
        </w:rPr>
      </w:pPr>
      <w:r>
        <w:rPr>
          <w:rFonts w:hint="eastAsia"/>
          <w:szCs w:val="24"/>
        </w:rPr>
        <w:t>注：上</w:t>
      </w:r>
      <w:r>
        <w:rPr>
          <w:rFonts w:hint="eastAsia" w:ascii="宋体" w:hAnsi="宋体" w:cs="宋体"/>
          <w:szCs w:val="24"/>
        </w:rPr>
        <w:t>述“净利润”指</w:t>
      </w:r>
      <w:r>
        <w:rPr>
          <w:rFonts w:hint="eastAsia"/>
          <w:szCs w:val="24"/>
        </w:rPr>
        <w:t>经审计的归属于上市公司股东的净利润，但剔除本次及其它激励计划股份支付费用影响的数值作为计算依据。</w:t>
      </w:r>
    </w:p>
    <w:p>
      <w:pPr>
        <w:spacing w:line="360" w:lineRule="auto"/>
        <w:ind w:firstLine="510"/>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行权期内，公司为满足行权条件的激励对象办理行权事宜。若各行权期内，公司当期业绩水平未达到业绩考核目标条件的，所有激励对象对应考核当年可行权的股票期权均不得行权，公司注销激励对象股票期权当期可行权份额。</w:t>
      </w:r>
    </w:p>
    <w:p>
      <w:pPr>
        <w:spacing w:line="360" w:lineRule="auto"/>
        <w:ind w:firstLine="480" w:firstLineChars="200"/>
        <w:rPr>
          <w:rFonts w:eastAsiaTheme="minorEastAsia"/>
          <w:bCs/>
          <w:sz w:val="24"/>
          <w:szCs w:val="24"/>
        </w:rPr>
      </w:pPr>
      <w:r>
        <w:rPr>
          <w:rFonts w:hint="eastAsia" w:ascii="宋体" w:hAnsi="宋体" w:eastAsia="宋体" w:cs="宋体"/>
          <w:sz w:val="24"/>
          <w:szCs w:val="24"/>
        </w:rPr>
        <w:t>④</w:t>
      </w:r>
      <w:r>
        <w:rPr>
          <w:rFonts w:hint="eastAsia" w:eastAsiaTheme="minorEastAsia"/>
          <w:sz w:val="24"/>
          <w:szCs w:val="24"/>
        </w:rPr>
        <w:t>激励对象</w:t>
      </w:r>
      <w:r>
        <w:rPr>
          <w:rFonts w:hint="eastAsia" w:eastAsiaTheme="minorEastAsia"/>
          <w:bCs/>
          <w:sz w:val="24"/>
          <w:szCs w:val="24"/>
        </w:rPr>
        <w:t>个人层面的绩效考核要求：</w:t>
      </w:r>
    </w:p>
    <w:p>
      <w:pPr>
        <w:spacing w:line="360" w:lineRule="auto"/>
        <w:ind w:firstLine="480" w:firstLineChars="200"/>
        <w:rPr>
          <w:color w:val="000000"/>
          <w:sz w:val="24"/>
          <w:szCs w:val="24"/>
        </w:rPr>
      </w:pPr>
      <w:r>
        <w:rPr>
          <w:sz w:val="24"/>
          <w:szCs w:val="24"/>
        </w:rPr>
        <w:t>激励对象个人层面的考核根据公司内部绩效考核相关制度实施。激励对象个人考核评价结果</w:t>
      </w:r>
      <w:r>
        <w:rPr>
          <w:rFonts w:hint="eastAsia"/>
          <w:sz w:val="24"/>
          <w:szCs w:val="24"/>
        </w:rPr>
        <w:t>分为</w:t>
      </w:r>
      <w:r>
        <w:rPr>
          <w:sz w:val="24"/>
          <w:szCs w:val="24"/>
        </w:rPr>
        <w:t>“</w:t>
      </w:r>
      <w:r>
        <w:rPr>
          <w:rFonts w:hint="eastAsia"/>
          <w:sz w:val="24"/>
          <w:szCs w:val="24"/>
        </w:rPr>
        <w:t>合格</w:t>
      </w:r>
      <w:r>
        <w:rPr>
          <w:sz w:val="24"/>
          <w:szCs w:val="24"/>
        </w:rPr>
        <w:t>”</w:t>
      </w:r>
      <w:r>
        <w:rPr>
          <w:rFonts w:hint="eastAsia"/>
          <w:sz w:val="24"/>
          <w:szCs w:val="24"/>
        </w:rPr>
        <w:t>、</w:t>
      </w:r>
      <w:r>
        <w:rPr>
          <w:sz w:val="24"/>
          <w:szCs w:val="24"/>
        </w:rPr>
        <w:t>“</w:t>
      </w:r>
      <w:r>
        <w:rPr>
          <w:rFonts w:hint="eastAsia"/>
          <w:sz w:val="24"/>
          <w:szCs w:val="24"/>
        </w:rPr>
        <w:t>不合格</w:t>
      </w:r>
      <w:r>
        <w:rPr>
          <w:sz w:val="24"/>
          <w:szCs w:val="24"/>
        </w:rPr>
        <w:t>”</w:t>
      </w:r>
      <w:r>
        <w:rPr>
          <w:rFonts w:hint="eastAsia"/>
          <w:sz w:val="24"/>
          <w:szCs w:val="24"/>
        </w:rPr>
        <w:t>两个</w:t>
      </w:r>
      <w:r>
        <w:rPr>
          <w:sz w:val="24"/>
          <w:szCs w:val="24"/>
        </w:rPr>
        <w:t>等级</w:t>
      </w:r>
      <w:r>
        <w:rPr>
          <w:rFonts w:hint="eastAsia"/>
          <w:color w:val="000000"/>
          <w:sz w:val="24"/>
          <w:szCs w:val="24"/>
        </w:rPr>
        <w:t>。</w:t>
      </w:r>
    </w:p>
    <w:p>
      <w:pPr>
        <w:spacing w:line="360" w:lineRule="auto"/>
        <w:ind w:firstLine="480" w:firstLineChars="200"/>
        <w:rPr>
          <w:color w:val="000000"/>
          <w:sz w:val="24"/>
          <w:szCs w:val="24"/>
        </w:rPr>
      </w:pPr>
      <w:r>
        <w:rPr>
          <w:rFonts w:hint="eastAsia"/>
          <w:color w:val="000000"/>
          <w:sz w:val="24"/>
          <w:szCs w:val="24"/>
        </w:rPr>
        <w:t>在公司业绩目标达成的前提下，若激励对象上一年度个人绩效考核结果达到</w:t>
      </w:r>
      <w:r>
        <w:rPr>
          <w:rFonts w:hint="eastAsia"/>
          <w:sz w:val="24"/>
          <w:szCs w:val="24"/>
        </w:rPr>
        <w:t>“合格”</w:t>
      </w:r>
      <w:r>
        <w:rPr>
          <w:rFonts w:hint="eastAsia"/>
          <w:color w:val="000000"/>
          <w:sz w:val="24"/>
          <w:szCs w:val="24"/>
        </w:rPr>
        <w:t>，则激励对象对应考核当年的股票期权可全部行权；若激励对象上一年度个人绩效考核结果</w:t>
      </w:r>
      <w:r>
        <w:rPr>
          <w:rFonts w:hint="eastAsia" w:asciiTheme="minorEastAsia" w:hAnsiTheme="minorEastAsia" w:eastAsiaTheme="minorEastAsia"/>
          <w:sz w:val="24"/>
          <w:szCs w:val="24"/>
        </w:rPr>
        <w:t>“不合格”</w:t>
      </w:r>
      <w:r>
        <w:rPr>
          <w:rFonts w:hint="eastAsia"/>
          <w:color w:val="000000"/>
          <w:sz w:val="24"/>
          <w:szCs w:val="24"/>
        </w:rPr>
        <w:t>，则激励对象对应考核当年可行权的股票期权全部不得行权。激励对象未能行权的股票期权由公司注销。</w:t>
      </w:r>
    </w:p>
    <w:p>
      <w:pPr>
        <w:spacing w:line="360" w:lineRule="auto"/>
        <w:ind w:firstLine="465"/>
        <w:rPr>
          <w:rFonts w:eastAsiaTheme="minorEastAsia"/>
          <w:sz w:val="24"/>
          <w:szCs w:val="24"/>
        </w:rPr>
      </w:pPr>
      <w:r>
        <w:rPr>
          <w:rFonts w:hint="eastAsia"/>
          <w:color w:val="000000"/>
          <w:sz w:val="24"/>
          <w:szCs w:val="24"/>
        </w:rPr>
        <w:t>本激励计划具体考核内容依据《公司2</w:t>
      </w:r>
      <w:r>
        <w:rPr>
          <w:color w:val="000000"/>
          <w:sz w:val="24"/>
          <w:szCs w:val="24"/>
        </w:rPr>
        <w:t>021年股票期权激励计划实施</w:t>
      </w:r>
      <w:r>
        <w:rPr>
          <w:rFonts w:hint="eastAsia"/>
          <w:color w:val="000000"/>
          <w:sz w:val="24"/>
          <w:szCs w:val="24"/>
        </w:rPr>
        <w:t>考核管理办法》执行。</w:t>
      </w:r>
    </w:p>
    <w:p>
      <w:pPr>
        <w:numPr>
          <w:ilvl w:val="0"/>
          <w:numId w:val="3"/>
        </w:numPr>
        <w:spacing w:before="156" w:beforeLines="50" w:after="156" w:afterLines="50" w:line="360" w:lineRule="auto"/>
        <w:ind w:firstLine="420"/>
        <w:rPr>
          <w:sz w:val="24"/>
          <w:szCs w:val="24"/>
        </w:rPr>
      </w:pPr>
      <w:r>
        <w:rPr>
          <w:rFonts w:hint="eastAsia"/>
          <w:sz w:val="24"/>
          <w:szCs w:val="24"/>
        </w:rPr>
        <w:t>激励对象名单及实际授予情况</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7"/>
        <w:gridCol w:w="1774"/>
        <w:gridCol w:w="1583"/>
        <w:gridCol w:w="2100"/>
        <w:gridCol w:w="18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26" w:type="pct"/>
            <w:vAlign w:val="center"/>
          </w:tcPr>
          <w:p>
            <w:pPr>
              <w:jc w:val="center"/>
              <w:rPr>
                <w:b/>
                <w:szCs w:val="21"/>
              </w:rPr>
            </w:pPr>
            <w:r>
              <w:rPr>
                <w:b/>
                <w:szCs w:val="21"/>
              </w:rPr>
              <w:t>姓名</w:t>
            </w:r>
          </w:p>
        </w:tc>
        <w:tc>
          <w:tcPr>
            <w:tcW w:w="1040" w:type="pct"/>
            <w:vAlign w:val="center"/>
          </w:tcPr>
          <w:p>
            <w:pPr>
              <w:jc w:val="center"/>
              <w:rPr>
                <w:b/>
                <w:szCs w:val="21"/>
              </w:rPr>
            </w:pPr>
            <w:r>
              <w:rPr>
                <w:b/>
                <w:szCs w:val="21"/>
              </w:rPr>
              <w:t>职务</w:t>
            </w:r>
          </w:p>
        </w:tc>
        <w:tc>
          <w:tcPr>
            <w:tcW w:w="929" w:type="pct"/>
            <w:vAlign w:val="center"/>
          </w:tcPr>
          <w:p>
            <w:pPr>
              <w:jc w:val="center"/>
              <w:rPr>
                <w:b/>
                <w:szCs w:val="21"/>
              </w:rPr>
            </w:pPr>
            <w:r>
              <w:rPr>
                <w:b/>
                <w:szCs w:val="21"/>
              </w:rPr>
              <w:t>获授的股票期权数量(万份)</w:t>
            </w:r>
          </w:p>
        </w:tc>
        <w:tc>
          <w:tcPr>
            <w:tcW w:w="1232" w:type="pct"/>
            <w:vAlign w:val="center"/>
          </w:tcPr>
          <w:p>
            <w:pPr>
              <w:jc w:val="center"/>
              <w:rPr>
                <w:b/>
                <w:szCs w:val="21"/>
              </w:rPr>
            </w:pPr>
            <w:r>
              <w:rPr>
                <w:b/>
                <w:szCs w:val="21"/>
              </w:rPr>
              <w:t>占本激励计划授出权益数量的比例</w:t>
            </w:r>
          </w:p>
        </w:tc>
        <w:tc>
          <w:tcPr>
            <w:tcW w:w="1073" w:type="pct"/>
            <w:vAlign w:val="center"/>
          </w:tcPr>
          <w:p>
            <w:pPr>
              <w:jc w:val="center"/>
              <w:rPr>
                <w:b/>
                <w:szCs w:val="21"/>
              </w:rPr>
            </w:pPr>
            <w:r>
              <w:rPr>
                <w:b/>
                <w:szCs w:val="21"/>
              </w:rPr>
              <w:t>占</w:t>
            </w:r>
            <w:r>
              <w:rPr>
                <w:rFonts w:hint="eastAsia"/>
                <w:b/>
                <w:szCs w:val="21"/>
              </w:rPr>
              <w:t>授予时</w:t>
            </w:r>
            <w:r>
              <w:rPr>
                <w:b/>
                <w:szCs w:val="21"/>
              </w:rPr>
              <w:t>股本总额比例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26" w:type="pct"/>
            <w:vAlign w:val="center"/>
          </w:tcPr>
          <w:p>
            <w:pPr>
              <w:jc w:val="center"/>
              <w:rPr>
                <w:szCs w:val="21"/>
              </w:rPr>
            </w:pPr>
            <w:r>
              <w:rPr>
                <w:rFonts w:hint="eastAsia"/>
                <w:szCs w:val="21"/>
              </w:rPr>
              <w:t>朱斌</w:t>
            </w:r>
          </w:p>
        </w:tc>
        <w:tc>
          <w:tcPr>
            <w:tcW w:w="1040" w:type="pct"/>
            <w:vAlign w:val="center"/>
          </w:tcPr>
          <w:p>
            <w:pPr>
              <w:jc w:val="center"/>
              <w:rPr>
                <w:szCs w:val="21"/>
              </w:rPr>
            </w:pPr>
            <w:r>
              <w:rPr>
                <w:rFonts w:hint="eastAsia"/>
                <w:szCs w:val="21"/>
              </w:rPr>
              <w:t>董事、副总经理</w:t>
            </w:r>
          </w:p>
        </w:tc>
        <w:tc>
          <w:tcPr>
            <w:tcW w:w="929" w:type="pct"/>
            <w:vAlign w:val="center"/>
          </w:tcPr>
          <w:p>
            <w:pPr>
              <w:jc w:val="center"/>
              <w:rPr>
                <w:szCs w:val="21"/>
              </w:rPr>
            </w:pPr>
            <w:r>
              <w:rPr>
                <w:szCs w:val="21"/>
              </w:rPr>
              <w:t>30.00</w:t>
            </w:r>
          </w:p>
        </w:tc>
        <w:tc>
          <w:tcPr>
            <w:tcW w:w="2100" w:type="dxa"/>
            <w:vAlign w:val="center"/>
          </w:tcPr>
          <w:p>
            <w:pPr>
              <w:widowControl/>
              <w:jc w:val="center"/>
              <w:textAlignment w:val="center"/>
              <w:rPr>
                <w:szCs w:val="21"/>
              </w:rPr>
            </w:pPr>
            <w:r>
              <w:rPr>
                <w:color w:val="000000"/>
                <w:kern w:val="0"/>
                <w:szCs w:val="21"/>
                <w:lang w:bidi="ar"/>
              </w:rPr>
              <w:t>4.29%</w:t>
            </w:r>
          </w:p>
        </w:tc>
        <w:tc>
          <w:tcPr>
            <w:tcW w:w="1828" w:type="dxa"/>
            <w:vAlign w:val="center"/>
          </w:tcPr>
          <w:p>
            <w:pPr>
              <w:widowControl/>
              <w:jc w:val="center"/>
              <w:textAlignment w:val="center"/>
              <w:rPr>
                <w:szCs w:val="21"/>
              </w:rPr>
            </w:pPr>
            <w:r>
              <w:rPr>
                <w:color w:val="000000"/>
                <w:kern w:val="0"/>
                <w:szCs w:val="21"/>
                <w:lang w:bidi="ar"/>
              </w:rPr>
              <w:t>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26" w:type="pct"/>
            <w:vAlign w:val="center"/>
          </w:tcPr>
          <w:p>
            <w:pPr>
              <w:jc w:val="center"/>
              <w:rPr>
                <w:szCs w:val="21"/>
              </w:rPr>
            </w:pPr>
            <w:r>
              <w:rPr>
                <w:rFonts w:hint="eastAsia"/>
                <w:szCs w:val="21"/>
              </w:rPr>
              <w:t>朱立通</w:t>
            </w:r>
          </w:p>
        </w:tc>
        <w:tc>
          <w:tcPr>
            <w:tcW w:w="1040" w:type="pct"/>
            <w:vAlign w:val="center"/>
          </w:tcPr>
          <w:p>
            <w:pPr>
              <w:jc w:val="center"/>
              <w:rPr>
                <w:szCs w:val="21"/>
              </w:rPr>
            </w:pPr>
            <w:r>
              <w:rPr>
                <w:rFonts w:hint="eastAsia"/>
                <w:szCs w:val="21"/>
              </w:rPr>
              <w:t>副总经理</w:t>
            </w:r>
          </w:p>
        </w:tc>
        <w:tc>
          <w:tcPr>
            <w:tcW w:w="929" w:type="pct"/>
            <w:vAlign w:val="center"/>
          </w:tcPr>
          <w:p>
            <w:pPr>
              <w:jc w:val="center"/>
              <w:rPr>
                <w:szCs w:val="21"/>
              </w:rPr>
            </w:pPr>
            <w:r>
              <w:rPr>
                <w:szCs w:val="21"/>
              </w:rPr>
              <w:t>30.00</w:t>
            </w:r>
          </w:p>
        </w:tc>
        <w:tc>
          <w:tcPr>
            <w:tcW w:w="2100" w:type="dxa"/>
            <w:vAlign w:val="center"/>
          </w:tcPr>
          <w:p>
            <w:pPr>
              <w:widowControl/>
              <w:jc w:val="center"/>
              <w:textAlignment w:val="center"/>
              <w:rPr>
                <w:szCs w:val="21"/>
              </w:rPr>
            </w:pPr>
            <w:r>
              <w:rPr>
                <w:color w:val="000000"/>
                <w:kern w:val="0"/>
                <w:szCs w:val="21"/>
                <w:lang w:bidi="ar"/>
              </w:rPr>
              <w:t>4.29%</w:t>
            </w:r>
          </w:p>
        </w:tc>
        <w:tc>
          <w:tcPr>
            <w:tcW w:w="1828" w:type="dxa"/>
            <w:vAlign w:val="center"/>
          </w:tcPr>
          <w:p>
            <w:pPr>
              <w:widowControl/>
              <w:jc w:val="center"/>
              <w:textAlignment w:val="center"/>
              <w:rPr>
                <w:szCs w:val="21"/>
              </w:rPr>
            </w:pPr>
            <w:r>
              <w:rPr>
                <w:color w:val="000000"/>
                <w:kern w:val="0"/>
                <w:szCs w:val="21"/>
                <w:lang w:bidi="ar"/>
              </w:rPr>
              <w:t>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26" w:type="pct"/>
            <w:vAlign w:val="center"/>
          </w:tcPr>
          <w:p>
            <w:pPr>
              <w:jc w:val="center"/>
              <w:rPr>
                <w:szCs w:val="21"/>
              </w:rPr>
            </w:pPr>
            <w:r>
              <w:rPr>
                <w:rFonts w:hint="eastAsia"/>
                <w:szCs w:val="21"/>
              </w:rPr>
              <w:t>叶枫</w:t>
            </w:r>
          </w:p>
        </w:tc>
        <w:tc>
          <w:tcPr>
            <w:tcW w:w="1040" w:type="pct"/>
            <w:vAlign w:val="center"/>
          </w:tcPr>
          <w:p>
            <w:pPr>
              <w:jc w:val="center"/>
              <w:rPr>
                <w:szCs w:val="21"/>
              </w:rPr>
            </w:pPr>
            <w:r>
              <w:rPr>
                <w:rFonts w:hint="eastAsia"/>
                <w:szCs w:val="21"/>
              </w:rPr>
              <w:t>董事、副总经理</w:t>
            </w:r>
          </w:p>
        </w:tc>
        <w:tc>
          <w:tcPr>
            <w:tcW w:w="929" w:type="pct"/>
            <w:vAlign w:val="center"/>
          </w:tcPr>
          <w:p>
            <w:pPr>
              <w:jc w:val="center"/>
              <w:rPr>
                <w:szCs w:val="21"/>
              </w:rPr>
            </w:pPr>
            <w:r>
              <w:rPr>
                <w:szCs w:val="21"/>
              </w:rPr>
              <w:t>24.00</w:t>
            </w:r>
          </w:p>
        </w:tc>
        <w:tc>
          <w:tcPr>
            <w:tcW w:w="2100" w:type="dxa"/>
            <w:vAlign w:val="center"/>
          </w:tcPr>
          <w:p>
            <w:pPr>
              <w:widowControl/>
              <w:jc w:val="center"/>
              <w:textAlignment w:val="center"/>
              <w:rPr>
                <w:szCs w:val="21"/>
              </w:rPr>
            </w:pPr>
            <w:r>
              <w:rPr>
                <w:color w:val="000000"/>
                <w:kern w:val="0"/>
                <w:szCs w:val="21"/>
                <w:lang w:bidi="ar"/>
              </w:rPr>
              <w:t>3.43%</w:t>
            </w:r>
          </w:p>
        </w:tc>
        <w:tc>
          <w:tcPr>
            <w:tcW w:w="1828" w:type="dxa"/>
            <w:vAlign w:val="center"/>
          </w:tcPr>
          <w:p>
            <w:pPr>
              <w:widowControl/>
              <w:jc w:val="center"/>
              <w:textAlignment w:val="center"/>
              <w:rPr>
                <w:szCs w:val="21"/>
              </w:rPr>
            </w:pPr>
            <w:r>
              <w:rPr>
                <w:color w:val="000000"/>
                <w:kern w:val="0"/>
                <w:szCs w:val="21"/>
                <w:lang w:bidi="ar"/>
              </w:rPr>
              <w:t>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26" w:type="pct"/>
            <w:vAlign w:val="center"/>
          </w:tcPr>
          <w:p>
            <w:pPr>
              <w:jc w:val="center"/>
              <w:rPr>
                <w:szCs w:val="21"/>
              </w:rPr>
            </w:pPr>
            <w:r>
              <w:rPr>
                <w:rFonts w:hint="eastAsia"/>
                <w:szCs w:val="21"/>
              </w:rPr>
              <w:t>顾峰</w:t>
            </w:r>
          </w:p>
        </w:tc>
        <w:tc>
          <w:tcPr>
            <w:tcW w:w="1040" w:type="pct"/>
            <w:vAlign w:val="center"/>
          </w:tcPr>
          <w:p>
            <w:pPr>
              <w:jc w:val="center"/>
              <w:rPr>
                <w:szCs w:val="21"/>
              </w:rPr>
            </w:pPr>
            <w:r>
              <w:rPr>
                <w:rFonts w:hint="eastAsia"/>
                <w:szCs w:val="21"/>
              </w:rPr>
              <w:t>董事会秘书、财务总监</w:t>
            </w:r>
          </w:p>
        </w:tc>
        <w:tc>
          <w:tcPr>
            <w:tcW w:w="929" w:type="pct"/>
            <w:vAlign w:val="center"/>
          </w:tcPr>
          <w:p>
            <w:pPr>
              <w:jc w:val="center"/>
              <w:rPr>
                <w:szCs w:val="21"/>
              </w:rPr>
            </w:pPr>
            <w:r>
              <w:rPr>
                <w:szCs w:val="21"/>
              </w:rPr>
              <w:t>18.00</w:t>
            </w:r>
          </w:p>
        </w:tc>
        <w:tc>
          <w:tcPr>
            <w:tcW w:w="2100" w:type="dxa"/>
            <w:vAlign w:val="center"/>
          </w:tcPr>
          <w:p>
            <w:pPr>
              <w:widowControl/>
              <w:jc w:val="center"/>
              <w:textAlignment w:val="center"/>
              <w:rPr>
                <w:szCs w:val="21"/>
              </w:rPr>
            </w:pPr>
            <w:r>
              <w:rPr>
                <w:color w:val="000000"/>
                <w:kern w:val="0"/>
                <w:szCs w:val="21"/>
                <w:lang w:bidi="ar"/>
              </w:rPr>
              <w:t>2.58%</w:t>
            </w:r>
          </w:p>
        </w:tc>
        <w:tc>
          <w:tcPr>
            <w:tcW w:w="1828" w:type="dxa"/>
            <w:vAlign w:val="center"/>
          </w:tcPr>
          <w:p>
            <w:pPr>
              <w:widowControl/>
              <w:jc w:val="center"/>
              <w:textAlignment w:val="center"/>
              <w:rPr>
                <w:szCs w:val="21"/>
              </w:rPr>
            </w:pPr>
            <w:r>
              <w:rPr>
                <w:color w:val="000000"/>
                <w:kern w:val="0"/>
                <w:szCs w:val="21"/>
                <w:lang w:bidi="ar"/>
              </w:rPr>
              <w:t>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26" w:type="pct"/>
            <w:vAlign w:val="center"/>
          </w:tcPr>
          <w:p>
            <w:pPr>
              <w:jc w:val="center"/>
              <w:rPr>
                <w:szCs w:val="21"/>
              </w:rPr>
            </w:pPr>
            <w:r>
              <w:rPr>
                <w:rFonts w:hint="eastAsia"/>
                <w:szCs w:val="21"/>
              </w:rPr>
              <w:t>李祥明</w:t>
            </w:r>
          </w:p>
        </w:tc>
        <w:tc>
          <w:tcPr>
            <w:tcW w:w="1040" w:type="pct"/>
            <w:vAlign w:val="center"/>
          </w:tcPr>
          <w:p>
            <w:pPr>
              <w:jc w:val="center"/>
              <w:rPr>
                <w:szCs w:val="21"/>
              </w:rPr>
            </w:pPr>
            <w:r>
              <w:rPr>
                <w:rFonts w:hint="eastAsia"/>
                <w:szCs w:val="21"/>
              </w:rPr>
              <w:t>副总经理</w:t>
            </w:r>
          </w:p>
        </w:tc>
        <w:tc>
          <w:tcPr>
            <w:tcW w:w="929" w:type="pct"/>
            <w:vAlign w:val="center"/>
          </w:tcPr>
          <w:p>
            <w:pPr>
              <w:jc w:val="center"/>
              <w:rPr>
                <w:szCs w:val="21"/>
              </w:rPr>
            </w:pPr>
            <w:r>
              <w:rPr>
                <w:szCs w:val="21"/>
              </w:rPr>
              <w:t>13.80</w:t>
            </w:r>
          </w:p>
        </w:tc>
        <w:tc>
          <w:tcPr>
            <w:tcW w:w="2100" w:type="dxa"/>
            <w:vAlign w:val="center"/>
          </w:tcPr>
          <w:p>
            <w:pPr>
              <w:widowControl/>
              <w:jc w:val="center"/>
              <w:textAlignment w:val="center"/>
              <w:rPr>
                <w:szCs w:val="21"/>
              </w:rPr>
            </w:pPr>
            <w:r>
              <w:rPr>
                <w:color w:val="000000"/>
                <w:kern w:val="0"/>
                <w:szCs w:val="21"/>
                <w:lang w:bidi="ar"/>
              </w:rPr>
              <w:t>1.97%</w:t>
            </w:r>
          </w:p>
        </w:tc>
        <w:tc>
          <w:tcPr>
            <w:tcW w:w="1828" w:type="dxa"/>
            <w:vAlign w:val="center"/>
          </w:tcPr>
          <w:p>
            <w:pPr>
              <w:widowControl/>
              <w:jc w:val="center"/>
              <w:textAlignment w:val="center"/>
              <w:rPr>
                <w:szCs w:val="21"/>
              </w:rPr>
            </w:pPr>
            <w:r>
              <w:rPr>
                <w:color w:val="000000"/>
                <w:kern w:val="0"/>
                <w:szCs w:val="21"/>
                <w:lang w:bidi="ar"/>
              </w:rPr>
              <w:t>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26" w:type="pct"/>
            <w:vAlign w:val="center"/>
          </w:tcPr>
          <w:p>
            <w:pPr>
              <w:jc w:val="center"/>
              <w:rPr>
                <w:szCs w:val="21"/>
              </w:rPr>
            </w:pPr>
            <w:r>
              <w:rPr>
                <w:rFonts w:hint="eastAsia"/>
                <w:szCs w:val="21"/>
              </w:rPr>
              <w:t>范峰</w:t>
            </w:r>
          </w:p>
        </w:tc>
        <w:tc>
          <w:tcPr>
            <w:tcW w:w="1040" w:type="pct"/>
            <w:vAlign w:val="center"/>
          </w:tcPr>
          <w:p>
            <w:pPr>
              <w:jc w:val="center"/>
              <w:rPr>
                <w:szCs w:val="21"/>
              </w:rPr>
            </w:pPr>
            <w:r>
              <w:rPr>
                <w:rFonts w:hint="eastAsia"/>
                <w:szCs w:val="21"/>
              </w:rPr>
              <w:t>副总经理</w:t>
            </w:r>
          </w:p>
        </w:tc>
        <w:tc>
          <w:tcPr>
            <w:tcW w:w="929" w:type="pct"/>
            <w:vAlign w:val="center"/>
          </w:tcPr>
          <w:p>
            <w:pPr>
              <w:jc w:val="center"/>
              <w:rPr>
                <w:szCs w:val="21"/>
              </w:rPr>
            </w:pPr>
            <w:r>
              <w:rPr>
                <w:szCs w:val="21"/>
              </w:rPr>
              <w:t>8.40</w:t>
            </w:r>
          </w:p>
        </w:tc>
        <w:tc>
          <w:tcPr>
            <w:tcW w:w="2100" w:type="dxa"/>
            <w:vAlign w:val="center"/>
          </w:tcPr>
          <w:p>
            <w:pPr>
              <w:widowControl/>
              <w:jc w:val="center"/>
              <w:textAlignment w:val="center"/>
              <w:rPr>
                <w:szCs w:val="21"/>
              </w:rPr>
            </w:pPr>
            <w:r>
              <w:rPr>
                <w:color w:val="000000"/>
                <w:kern w:val="0"/>
                <w:szCs w:val="21"/>
                <w:lang w:bidi="ar"/>
              </w:rPr>
              <w:t>1.20%</w:t>
            </w:r>
          </w:p>
        </w:tc>
        <w:tc>
          <w:tcPr>
            <w:tcW w:w="1828" w:type="dxa"/>
            <w:vAlign w:val="center"/>
          </w:tcPr>
          <w:p>
            <w:pPr>
              <w:widowControl/>
              <w:jc w:val="center"/>
              <w:textAlignment w:val="center"/>
              <w:rPr>
                <w:szCs w:val="21"/>
              </w:rPr>
            </w:pPr>
            <w:r>
              <w:rPr>
                <w:color w:val="000000"/>
                <w:kern w:val="0"/>
                <w:szCs w:val="21"/>
                <w:lang w:bidi="ar"/>
              </w:rPr>
              <w:t>0.04%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26" w:type="pct"/>
            <w:vAlign w:val="center"/>
          </w:tcPr>
          <w:p>
            <w:pPr>
              <w:jc w:val="center"/>
              <w:rPr>
                <w:szCs w:val="21"/>
              </w:rPr>
            </w:pPr>
            <w:r>
              <w:rPr>
                <w:rFonts w:hint="eastAsia"/>
                <w:szCs w:val="21"/>
              </w:rPr>
              <w:t>卫杰</w:t>
            </w:r>
          </w:p>
        </w:tc>
        <w:tc>
          <w:tcPr>
            <w:tcW w:w="1040" w:type="pct"/>
            <w:vAlign w:val="center"/>
          </w:tcPr>
          <w:p>
            <w:pPr>
              <w:jc w:val="center"/>
              <w:rPr>
                <w:szCs w:val="21"/>
              </w:rPr>
            </w:pPr>
            <w:r>
              <w:rPr>
                <w:rFonts w:hint="eastAsia"/>
                <w:szCs w:val="21"/>
              </w:rPr>
              <w:t>副总经理</w:t>
            </w:r>
          </w:p>
        </w:tc>
        <w:tc>
          <w:tcPr>
            <w:tcW w:w="929" w:type="pct"/>
            <w:vAlign w:val="center"/>
          </w:tcPr>
          <w:p>
            <w:pPr>
              <w:jc w:val="center"/>
              <w:rPr>
                <w:szCs w:val="21"/>
              </w:rPr>
            </w:pPr>
            <w:r>
              <w:rPr>
                <w:szCs w:val="21"/>
              </w:rPr>
              <w:t>7.20</w:t>
            </w:r>
          </w:p>
        </w:tc>
        <w:tc>
          <w:tcPr>
            <w:tcW w:w="2100" w:type="dxa"/>
            <w:vAlign w:val="center"/>
          </w:tcPr>
          <w:p>
            <w:pPr>
              <w:widowControl/>
              <w:jc w:val="center"/>
              <w:textAlignment w:val="center"/>
              <w:rPr>
                <w:szCs w:val="21"/>
              </w:rPr>
            </w:pPr>
            <w:r>
              <w:rPr>
                <w:color w:val="000000"/>
                <w:kern w:val="0"/>
                <w:szCs w:val="21"/>
                <w:lang w:bidi="ar"/>
              </w:rPr>
              <w:t>1.03%</w:t>
            </w:r>
          </w:p>
        </w:tc>
        <w:tc>
          <w:tcPr>
            <w:tcW w:w="1828" w:type="dxa"/>
            <w:vAlign w:val="center"/>
          </w:tcPr>
          <w:p>
            <w:pPr>
              <w:widowControl/>
              <w:jc w:val="center"/>
              <w:textAlignment w:val="center"/>
              <w:rPr>
                <w:szCs w:val="21"/>
              </w:rPr>
            </w:pPr>
            <w:r>
              <w:rPr>
                <w:color w:val="000000"/>
                <w:kern w:val="0"/>
                <w:szCs w:val="21"/>
                <w:lang w:bidi="ar"/>
              </w:rPr>
              <w:t>0.03%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67" w:type="pct"/>
            <w:gridSpan w:val="2"/>
            <w:vAlign w:val="center"/>
          </w:tcPr>
          <w:p>
            <w:pPr>
              <w:jc w:val="center"/>
              <w:rPr>
                <w:szCs w:val="21"/>
              </w:rPr>
            </w:pPr>
            <w:r>
              <w:rPr>
                <w:rFonts w:hint="eastAsia"/>
                <w:szCs w:val="21"/>
              </w:rPr>
              <w:t>核心业务（技术）人员</w:t>
            </w:r>
            <w:r>
              <w:rPr>
                <w:szCs w:val="21"/>
              </w:rPr>
              <w:t>/</w:t>
            </w:r>
            <w:r>
              <w:rPr>
                <w:rFonts w:hint="eastAsia"/>
                <w:szCs w:val="21"/>
              </w:rPr>
              <w:t>管理人员（</w:t>
            </w:r>
            <w:r>
              <w:rPr>
                <w:szCs w:val="21"/>
              </w:rPr>
              <w:t>15</w:t>
            </w:r>
            <w:r>
              <w:rPr>
                <w:rFonts w:hint="eastAsia"/>
                <w:szCs w:val="21"/>
              </w:rPr>
              <w:t>4人）</w:t>
            </w:r>
          </w:p>
        </w:tc>
        <w:tc>
          <w:tcPr>
            <w:tcW w:w="929" w:type="pct"/>
            <w:vAlign w:val="center"/>
          </w:tcPr>
          <w:p>
            <w:pPr>
              <w:jc w:val="center"/>
              <w:textAlignment w:val="center"/>
              <w:rPr>
                <w:szCs w:val="21"/>
              </w:rPr>
            </w:pPr>
            <w:r>
              <w:rPr>
                <w:color w:val="000000"/>
                <w:kern w:val="0"/>
                <w:szCs w:val="21"/>
                <w:lang w:bidi="ar"/>
              </w:rPr>
              <w:t>56</w:t>
            </w:r>
            <w:r>
              <w:rPr>
                <w:rFonts w:hint="eastAsia"/>
                <w:color w:val="000000"/>
                <w:kern w:val="0"/>
                <w:szCs w:val="21"/>
                <w:lang w:bidi="ar"/>
              </w:rPr>
              <w:t>7.4</w:t>
            </w:r>
            <w:r>
              <w:rPr>
                <w:color w:val="000000"/>
                <w:kern w:val="0"/>
                <w:szCs w:val="21"/>
                <w:lang w:bidi="ar"/>
              </w:rPr>
              <w:t>0</w:t>
            </w:r>
          </w:p>
        </w:tc>
        <w:tc>
          <w:tcPr>
            <w:tcW w:w="2100" w:type="dxa"/>
            <w:vAlign w:val="center"/>
          </w:tcPr>
          <w:p>
            <w:pPr>
              <w:widowControl/>
              <w:jc w:val="center"/>
              <w:textAlignment w:val="center"/>
              <w:rPr>
                <w:szCs w:val="21"/>
              </w:rPr>
            </w:pPr>
            <w:r>
              <w:rPr>
                <w:color w:val="000000"/>
                <w:kern w:val="0"/>
                <w:szCs w:val="21"/>
                <w:lang w:bidi="ar"/>
              </w:rPr>
              <w:t>81.20%</w:t>
            </w:r>
          </w:p>
        </w:tc>
        <w:tc>
          <w:tcPr>
            <w:tcW w:w="1828" w:type="dxa"/>
            <w:vAlign w:val="center"/>
          </w:tcPr>
          <w:p>
            <w:pPr>
              <w:widowControl/>
              <w:jc w:val="center"/>
              <w:textAlignment w:val="center"/>
              <w:rPr>
                <w:color w:val="000000"/>
                <w:szCs w:val="21"/>
              </w:rPr>
            </w:pPr>
            <w:r>
              <w:rPr>
                <w:color w:val="000000"/>
                <w:kern w:val="0"/>
                <w:szCs w:val="21"/>
                <w:lang w:bidi="ar"/>
              </w:rPr>
              <w:t>2.45%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67" w:type="pct"/>
            <w:gridSpan w:val="2"/>
            <w:vAlign w:val="center"/>
          </w:tcPr>
          <w:p>
            <w:pPr>
              <w:jc w:val="center"/>
              <w:rPr>
                <w:b/>
                <w:szCs w:val="21"/>
              </w:rPr>
            </w:pPr>
            <w:r>
              <w:rPr>
                <w:rFonts w:hint="eastAsia"/>
                <w:b/>
                <w:szCs w:val="21"/>
              </w:rPr>
              <w:t>合计</w:t>
            </w:r>
          </w:p>
        </w:tc>
        <w:tc>
          <w:tcPr>
            <w:tcW w:w="929" w:type="pct"/>
            <w:vAlign w:val="center"/>
          </w:tcPr>
          <w:p>
            <w:pPr>
              <w:jc w:val="center"/>
              <w:rPr>
                <w:b/>
                <w:szCs w:val="21"/>
              </w:rPr>
            </w:pPr>
            <w:r>
              <w:rPr>
                <w:rFonts w:hint="eastAsia"/>
                <w:b/>
                <w:szCs w:val="21"/>
              </w:rPr>
              <w:t>698.80</w:t>
            </w:r>
          </w:p>
        </w:tc>
        <w:tc>
          <w:tcPr>
            <w:tcW w:w="1232" w:type="pct"/>
            <w:vAlign w:val="center"/>
          </w:tcPr>
          <w:p>
            <w:pPr>
              <w:jc w:val="center"/>
              <w:rPr>
                <w:b/>
                <w:szCs w:val="21"/>
              </w:rPr>
            </w:pPr>
            <w:r>
              <w:rPr>
                <w:b/>
                <w:szCs w:val="21"/>
              </w:rPr>
              <w:t>100%</w:t>
            </w:r>
          </w:p>
        </w:tc>
        <w:tc>
          <w:tcPr>
            <w:tcW w:w="1828" w:type="dxa"/>
            <w:vAlign w:val="center"/>
          </w:tcPr>
          <w:p>
            <w:pPr>
              <w:widowControl/>
              <w:jc w:val="center"/>
              <w:textAlignment w:val="center"/>
              <w:rPr>
                <w:b/>
                <w:color w:val="000000"/>
                <w:szCs w:val="21"/>
              </w:rPr>
            </w:pPr>
            <w:r>
              <w:rPr>
                <w:b/>
                <w:bCs/>
                <w:color w:val="000000"/>
                <w:kern w:val="0"/>
                <w:szCs w:val="21"/>
                <w:lang w:bidi="ar"/>
              </w:rPr>
              <w:t>3.02%</w:t>
            </w:r>
          </w:p>
        </w:tc>
      </w:tr>
    </w:tbl>
    <w:p>
      <w:pPr>
        <w:snapToGrid w:val="0"/>
        <w:spacing w:before="156" w:beforeLines="50" w:line="360" w:lineRule="auto"/>
        <w:rPr>
          <w:szCs w:val="21"/>
        </w:rPr>
      </w:pPr>
      <w:r>
        <w:rPr>
          <w:rFonts w:hint="eastAsia"/>
          <w:szCs w:val="21"/>
        </w:rPr>
        <w:t>注：上表中部分合计数与各明细数相加之和在尾数上如有差异，系以上百分比结果四舍五入所致。</w:t>
      </w:r>
    </w:p>
    <w:p>
      <w:pPr>
        <w:numPr>
          <w:ilvl w:val="0"/>
          <w:numId w:val="2"/>
        </w:numPr>
        <w:snapToGrid w:val="0"/>
        <w:spacing w:before="156" w:beforeLines="50" w:after="156" w:afterLines="50" w:line="360" w:lineRule="auto"/>
        <w:rPr>
          <w:bCs/>
          <w:snapToGrid w:val="0"/>
          <w:color w:val="000000"/>
        </w:rPr>
      </w:pPr>
      <w:r>
        <w:rPr>
          <w:rFonts w:hint="eastAsia"/>
          <w:b/>
          <w:sz w:val="24"/>
          <w:szCs w:val="24"/>
        </w:rPr>
        <w:t>股票期权的登记情况</w:t>
      </w:r>
    </w:p>
    <w:p>
      <w:pPr>
        <w:pStyle w:val="6"/>
        <w:adjustRightInd w:val="0"/>
        <w:snapToGrid w:val="0"/>
        <w:spacing w:before="0" w:beforeAutospacing="0" w:after="0" w:afterAutospacing="0" w:line="360" w:lineRule="auto"/>
        <w:ind w:firstLine="420"/>
        <w:jc w:val="both"/>
        <w:rPr>
          <w:bCs/>
          <w:snapToGrid w:val="0"/>
          <w:color w:val="000000"/>
        </w:rPr>
      </w:pPr>
      <w:r>
        <w:rPr>
          <w:rFonts w:hint="eastAsia"/>
          <w:bCs/>
          <w:snapToGrid w:val="0"/>
          <w:color w:val="000000"/>
        </w:rPr>
        <w:t>2021年</w:t>
      </w:r>
      <w:r>
        <w:rPr>
          <w:rFonts w:hint="eastAsia"/>
          <w:bCs/>
          <w:snapToGrid w:val="0"/>
          <w:color w:val="000000"/>
          <w:lang w:val="en-US" w:eastAsia="zh-CN"/>
        </w:rPr>
        <w:t>9</w:t>
      </w:r>
      <w:r>
        <w:rPr>
          <w:rFonts w:hint="eastAsia"/>
          <w:bCs/>
          <w:snapToGrid w:val="0"/>
          <w:color w:val="000000"/>
        </w:rPr>
        <w:t>月</w:t>
      </w:r>
      <w:r>
        <w:rPr>
          <w:rFonts w:hint="eastAsia"/>
          <w:bCs/>
          <w:snapToGrid w:val="0"/>
          <w:color w:val="000000"/>
          <w:lang w:val="en-US" w:eastAsia="zh-CN"/>
        </w:rPr>
        <w:t>2</w:t>
      </w:r>
      <w:r>
        <w:rPr>
          <w:rFonts w:hint="eastAsia"/>
          <w:bCs/>
          <w:snapToGrid w:val="0"/>
          <w:color w:val="000000"/>
        </w:rPr>
        <w:t>日，公司已在中国证券登记结算有限责任公司上海分公司办理完毕本次激励计划的授予登记手续，登记股票期权698.80万份。</w:t>
      </w:r>
    </w:p>
    <w:p>
      <w:pPr>
        <w:numPr>
          <w:ilvl w:val="0"/>
          <w:numId w:val="2"/>
        </w:numPr>
        <w:snapToGrid w:val="0"/>
        <w:spacing w:before="156" w:beforeLines="50" w:after="156" w:afterLines="50" w:line="360" w:lineRule="auto"/>
        <w:rPr>
          <w:b/>
          <w:sz w:val="24"/>
          <w:szCs w:val="24"/>
        </w:rPr>
      </w:pPr>
      <w:r>
        <w:rPr>
          <w:rFonts w:hint="eastAsia"/>
          <w:b/>
          <w:sz w:val="24"/>
          <w:szCs w:val="24"/>
        </w:rPr>
        <w:t>权益授予后对公司财务状况的影响</w:t>
      </w:r>
    </w:p>
    <w:p>
      <w:pPr>
        <w:snapToGrid w:val="0"/>
        <w:spacing w:line="360" w:lineRule="auto"/>
        <w:ind w:firstLine="420"/>
        <w:rPr>
          <w:sz w:val="24"/>
          <w:szCs w:val="24"/>
        </w:rPr>
      </w:pPr>
      <w:r>
        <w:rPr>
          <w:rFonts w:hint="eastAsia"/>
          <w:sz w:val="24"/>
          <w:szCs w:val="24"/>
        </w:rPr>
        <w:t>根据财政部《企业会计准则第11号-股份支付》和《企业会计准则第22号-金融工具确认和计量》的相关规定，公司将在等待其内的每个资产负债表日，根据最新取得的可行权人数变动、业绩指标完成情况等后续信息，修正预计可行权的股票期权数量，并按照股票期权授权日的公允价值，将当期取得的服务计入相关成本或费用和资本公积。</w:t>
      </w:r>
    </w:p>
    <w:p>
      <w:pPr>
        <w:snapToGrid w:val="0"/>
        <w:spacing w:line="360" w:lineRule="auto"/>
        <w:ind w:firstLine="420"/>
        <w:rPr>
          <w:sz w:val="24"/>
          <w:szCs w:val="24"/>
        </w:rPr>
      </w:pPr>
      <w:r>
        <w:rPr>
          <w:rFonts w:hint="eastAsia"/>
          <w:sz w:val="24"/>
          <w:szCs w:val="24"/>
        </w:rPr>
        <w:t>经测算，公司于2021年7月28日授予的698.80万份股票期权需摊销的总费用为</w:t>
      </w:r>
      <w:r>
        <w:rPr>
          <w:sz w:val="24"/>
          <w:szCs w:val="24"/>
        </w:rPr>
        <w:t>1,715.38</w:t>
      </w:r>
      <w:r>
        <w:rPr>
          <w:rFonts w:hint="eastAsia"/>
          <w:sz w:val="24"/>
          <w:szCs w:val="24"/>
        </w:rPr>
        <w:t>万元，具体摊销情况见下表：</w:t>
      </w:r>
    </w:p>
    <w:p>
      <w:pPr>
        <w:spacing w:before="156" w:beforeLines="50" w:line="360" w:lineRule="auto"/>
        <w:ind w:firstLine="420" w:firstLineChars="200"/>
        <w:jc w:val="right"/>
        <w:rPr>
          <w:szCs w:val="24"/>
        </w:rPr>
      </w:pPr>
      <w:r>
        <w:rPr>
          <w:szCs w:val="24"/>
        </w:rPr>
        <w:t>单位：万元</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50"/>
        <w:gridCol w:w="1596"/>
        <w:gridCol w:w="1592"/>
        <w:gridCol w:w="1592"/>
        <w:gridCol w:w="15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1261" w:type="pct"/>
            <w:vAlign w:val="center"/>
          </w:tcPr>
          <w:p>
            <w:pPr>
              <w:spacing w:line="360" w:lineRule="auto"/>
              <w:jc w:val="center"/>
              <w:rPr>
                <w:b/>
                <w:szCs w:val="21"/>
                <w:highlight w:val="none"/>
              </w:rPr>
            </w:pPr>
            <w:r>
              <w:rPr>
                <w:rFonts w:hint="eastAsia"/>
                <w:b/>
                <w:szCs w:val="21"/>
                <w:highlight w:val="none"/>
              </w:rPr>
              <w:t>股票期权摊销成本</w:t>
            </w:r>
          </w:p>
        </w:tc>
        <w:tc>
          <w:tcPr>
            <w:tcW w:w="936" w:type="pct"/>
            <w:vAlign w:val="center"/>
          </w:tcPr>
          <w:p>
            <w:pPr>
              <w:spacing w:line="360" w:lineRule="auto"/>
              <w:jc w:val="center"/>
              <w:rPr>
                <w:b/>
                <w:szCs w:val="21"/>
                <w:highlight w:val="none"/>
              </w:rPr>
            </w:pPr>
            <w:r>
              <w:rPr>
                <w:b/>
                <w:szCs w:val="21"/>
                <w:highlight w:val="none"/>
              </w:rPr>
              <w:t>2021</w:t>
            </w:r>
            <w:r>
              <w:rPr>
                <w:rFonts w:hint="eastAsia"/>
                <w:b/>
                <w:szCs w:val="21"/>
                <w:highlight w:val="none"/>
              </w:rPr>
              <w:t>年</w:t>
            </w:r>
          </w:p>
        </w:tc>
        <w:tc>
          <w:tcPr>
            <w:tcW w:w="934" w:type="pct"/>
            <w:vAlign w:val="center"/>
          </w:tcPr>
          <w:p>
            <w:pPr>
              <w:spacing w:line="360" w:lineRule="auto"/>
              <w:jc w:val="center"/>
              <w:rPr>
                <w:b/>
                <w:szCs w:val="21"/>
                <w:highlight w:val="none"/>
              </w:rPr>
            </w:pPr>
            <w:r>
              <w:rPr>
                <w:b/>
                <w:szCs w:val="21"/>
                <w:highlight w:val="none"/>
              </w:rPr>
              <w:t>2022</w:t>
            </w:r>
            <w:r>
              <w:rPr>
                <w:rFonts w:hint="eastAsia"/>
                <w:b/>
                <w:szCs w:val="21"/>
                <w:highlight w:val="none"/>
              </w:rPr>
              <w:t>年</w:t>
            </w:r>
          </w:p>
        </w:tc>
        <w:tc>
          <w:tcPr>
            <w:tcW w:w="934" w:type="pct"/>
            <w:vAlign w:val="center"/>
          </w:tcPr>
          <w:p>
            <w:pPr>
              <w:spacing w:line="360" w:lineRule="auto"/>
              <w:jc w:val="center"/>
              <w:rPr>
                <w:b/>
                <w:szCs w:val="21"/>
                <w:highlight w:val="none"/>
              </w:rPr>
            </w:pPr>
            <w:r>
              <w:rPr>
                <w:b/>
                <w:szCs w:val="21"/>
                <w:highlight w:val="none"/>
              </w:rPr>
              <w:t>2023</w:t>
            </w:r>
            <w:r>
              <w:rPr>
                <w:rFonts w:hint="eastAsia"/>
                <w:b/>
                <w:szCs w:val="21"/>
                <w:highlight w:val="none"/>
              </w:rPr>
              <w:t>年</w:t>
            </w:r>
          </w:p>
        </w:tc>
        <w:tc>
          <w:tcPr>
            <w:tcW w:w="934" w:type="pct"/>
          </w:tcPr>
          <w:p>
            <w:pPr>
              <w:spacing w:line="360" w:lineRule="auto"/>
              <w:jc w:val="center"/>
              <w:rPr>
                <w:b/>
                <w:szCs w:val="21"/>
                <w:highlight w:val="none"/>
              </w:rPr>
            </w:pPr>
            <w:r>
              <w:rPr>
                <w:b/>
                <w:szCs w:val="21"/>
                <w:highlight w:val="none"/>
              </w:rPr>
              <w:t>2024</w:t>
            </w:r>
            <w:r>
              <w:rPr>
                <w:rFonts w:hint="eastAsia"/>
                <w:b/>
                <w:szCs w:val="21"/>
                <w:highlight w:val="none"/>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exact"/>
          <w:jc w:val="center"/>
        </w:trPr>
        <w:tc>
          <w:tcPr>
            <w:tcW w:w="1261" w:type="pct"/>
            <w:vAlign w:val="center"/>
          </w:tcPr>
          <w:p>
            <w:pPr>
              <w:jc w:val="center"/>
              <w:rPr>
                <w:b w:val="0"/>
                <w:bCs/>
                <w:szCs w:val="21"/>
                <w:highlight w:val="none"/>
              </w:rPr>
            </w:pPr>
            <w:r>
              <w:rPr>
                <w:b/>
                <w:bCs w:val="0"/>
                <w:szCs w:val="21"/>
              </w:rPr>
              <w:t>1,715.38</w:t>
            </w:r>
          </w:p>
        </w:tc>
        <w:tc>
          <w:tcPr>
            <w:tcW w:w="93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b w:val="0"/>
                <w:bCs/>
                <w:color w:val="000000"/>
                <w:kern w:val="0"/>
                <w:szCs w:val="21"/>
              </w:rPr>
            </w:pPr>
            <w:r>
              <w:rPr>
                <w:b w:val="0"/>
                <w:bCs/>
                <w:color w:val="000000"/>
                <w:sz w:val="21"/>
                <w:szCs w:val="21"/>
              </w:rPr>
              <w:t>370.58</w:t>
            </w:r>
          </w:p>
        </w:tc>
        <w:tc>
          <w:tcPr>
            <w:tcW w:w="934" w:type="pct"/>
            <w:tcBorders>
              <w:top w:val="single" w:color="auto" w:sz="4" w:space="0"/>
              <w:left w:val="nil"/>
              <w:bottom w:val="single" w:color="auto" w:sz="4" w:space="0"/>
              <w:right w:val="single" w:color="auto" w:sz="4" w:space="0"/>
            </w:tcBorders>
            <w:shd w:val="clear" w:color="auto" w:fill="auto"/>
            <w:vAlign w:val="center"/>
          </w:tcPr>
          <w:p>
            <w:pPr>
              <w:jc w:val="center"/>
              <w:rPr>
                <w:b w:val="0"/>
                <w:bCs/>
                <w:color w:val="000000"/>
                <w:szCs w:val="21"/>
              </w:rPr>
            </w:pPr>
            <w:r>
              <w:rPr>
                <w:b w:val="0"/>
                <w:bCs/>
                <w:color w:val="000000"/>
                <w:sz w:val="21"/>
                <w:szCs w:val="21"/>
              </w:rPr>
              <w:t>742.90</w:t>
            </w:r>
          </w:p>
        </w:tc>
        <w:tc>
          <w:tcPr>
            <w:tcW w:w="934" w:type="pct"/>
            <w:tcBorders>
              <w:top w:val="single" w:color="auto" w:sz="4" w:space="0"/>
              <w:left w:val="nil"/>
              <w:bottom w:val="single" w:color="auto" w:sz="4" w:space="0"/>
              <w:right w:val="single" w:color="auto" w:sz="4" w:space="0"/>
            </w:tcBorders>
            <w:shd w:val="clear" w:color="auto" w:fill="auto"/>
            <w:vAlign w:val="center"/>
          </w:tcPr>
          <w:p>
            <w:pPr>
              <w:jc w:val="center"/>
              <w:rPr>
                <w:b w:val="0"/>
                <w:bCs/>
                <w:color w:val="000000"/>
                <w:szCs w:val="21"/>
              </w:rPr>
            </w:pPr>
            <w:r>
              <w:rPr>
                <w:b w:val="0"/>
                <w:bCs/>
                <w:color w:val="000000"/>
                <w:sz w:val="21"/>
                <w:szCs w:val="21"/>
              </w:rPr>
              <w:t>433.79</w:t>
            </w:r>
          </w:p>
        </w:tc>
        <w:tc>
          <w:tcPr>
            <w:tcW w:w="934" w:type="pct"/>
            <w:tcBorders>
              <w:top w:val="single" w:color="auto" w:sz="4" w:space="0"/>
              <w:left w:val="nil"/>
              <w:bottom w:val="single" w:color="auto" w:sz="4" w:space="0"/>
              <w:right w:val="single" w:color="auto" w:sz="4" w:space="0"/>
            </w:tcBorders>
            <w:shd w:val="clear" w:color="auto" w:fill="auto"/>
            <w:vAlign w:val="center"/>
          </w:tcPr>
          <w:p>
            <w:pPr>
              <w:jc w:val="center"/>
              <w:rPr>
                <w:b w:val="0"/>
                <w:bCs/>
                <w:color w:val="000000"/>
                <w:szCs w:val="21"/>
              </w:rPr>
            </w:pPr>
            <w:r>
              <w:rPr>
                <w:b w:val="0"/>
                <w:bCs/>
                <w:color w:val="000000"/>
                <w:sz w:val="21"/>
                <w:szCs w:val="21"/>
              </w:rPr>
              <w:t>168.10</w:t>
            </w:r>
          </w:p>
        </w:tc>
      </w:tr>
    </w:tbl>
    <w:p>
      <w:pPr>
        <w:snapToGrid w:val="0"/>
        <w:spacing w:before="156" w:beforeLines="50" w:after="156" w:afterLines="50" w:line="360" w:lineRule="auto"/>
        <w:rPr>
          <w:sz w:val="24"/>
          <w:szCs w:val="24"/>
        </w:rPr>
      </w:pPr>
      <w:r>
        <w:rPr>
          <w:rFonts w:hint="eastAsia"/>
          <w:sz w:val="24"/>
          <w:szCs w:val="24"/>
        </w:rPr>
        <w:t>注：1、上述费用为预测成本，实际成本与行权价格、授权日、授予日收盘价、授予数量及对可行权权益工具数量的最佳估计相关；</w:t>
      </w:r>
    </w:p>
    <w:p>
      <w:pPr>
        <w:snapToGrid w:val="0"/>
        <w:spacing w:before="156" w:beforeLines="50" w:after="156" w:afterLines="50" w:line="360" w:lineRule="auto"/>
        <w:ind w:firstLine="420"/>
        <w:rPr>
          <w:sz w:val="24"/>
          <w:szCs w:val="24"/>
        </w:rPr>
      </w:pPr>
      <w:r>
        <w:rPr>
          <w:rFonts w:hint="eastAsia"/>
          <w:sz w:val="24"/>
          <w:szCs w:val="24"/>
        </w:rPr>
        <w:t>2、上述摊销费用预测对公司经营业绩的最终影响以会计师所出的审计报告为准；</w:t>
      </w:r>
    </w:p>
    <w:p>
      <w:pPr>
        <w:snapToGrid w:val="0"/>
        <w:spacing w:before="156" w:beforeLines="50" w:after="156" w:afterLines="50" w:line="360" w:lineRule="auto"/>
        <w:ind w:firstLine="420"/>
        <w:rPr>
          <w:sz w:val="24"/>
          <w:szCs w:val="24"/>
        </w:rPr>
      </w:pPr>
      <w:r>
        <w:rPr>
          <w:sz w:val="24"/>
          <w:szCs w:val="24"/>
        </w:rPr>
        <w:t>3、</w:t>
      </w:r>
      <w:r>
        <w:rPr>
          <w:rFonts w:hint="eastAsia"/>
          <w:sz w:val="24"/>
          <w:szCs w:val="24"/>
        </w:rPr>
        <w:t>上表中合计数与各明细数相加之和在尾数上如有差异，系四舍五入所致。</w:t>
      </w:r>
    </w:p>
    <w:p>
      <w:pPr>
        <w:pStyle w:val="6"/>
        <w:adjustRightInd w:val="0"/>
        <w:snapToGrid w:val="0"/>
        <w:spacing w:before="0" w:beforeAutospacing="0" w:after="0" w:afterAutospacing="0" w:line="360" w:lineRule="auto"/>
        <w:ind w:firstLine="420" w:firstLineChars="175"/>
        <w:jc w:val="both"/>
        <w:rPr>
          <w:bCs/>
          <w:snapToGrid w:val="0"/>
          <w:color w:val="000000"/>
        </w:rPr>
      </w:pPr>
      <w:r>
        <w:rPr>
          <w:bCs/>
          <w:snapToGrid w:val="0"/>
          <w:color w:val="000000"/>
        </w:rPr>
        <w:t>特此公告。</w:t>
      </w:r>
    </w:p>
    <w:p>
      <w:pPr>
        <w:pStyle w:val="6"/>
        <w:adjustRightInd w:val="0"/>
        <w:snapToGrid w:val="0"/>
        <w:spacing w:before="0" w:beforeAutospacing="0" w:after="0" w:afterAutospacing="0" w:line="360" w:lineRule="auto"/>
        <w:ind w:firstLine="420" w:firstLineChars="175"/>
        <w:rPr>
          <w:bCs/>
          <w:snapToGrid w:val="0"/>
          <w:color w:val="000000"/>
        </w:rPr>
      </w:pPr>
    </w:p>
    <w:p>
      <w:pPr>
        <w:autoSpaceDE w:val="0"/>
        <w:autoSpaceDN w:val="0"/>
        <w:adjustRightInd w:val="0"/>
        <w:snapToGrid w:val="0"/>
        <w:spacing w:line="360" w:lineRule="auto"/>
        <w:ind w:firstLine="420" w:firstLineChars="175"/>
        <w:jc w:val="right"/>
        <w:rPr>
          <w:color w:val="000000"/>
          <w:kern w:val="0"/>
          <w:sz w:val="24"/>
          <w:szCs w:val="24"/>
        </w:rPr>
      </w:pPr>
      <w:r>
        <w:rPr>
          <w:color w:val="000000"/>
          <w:kern w:val="0"/>
          <w:sz w:val="24"/>
          <w:szCs w:val="24"/>
        </w:rPr>
        <w:t>格尔软件股份有限公司董事会</w:t>
      </w:r>
    </w:p>
    <w:p>
      <w:pPr>
        <w:pStyle w:val="6"/>
        <w:adjustRightInd w:val="0"/>
        <w:snapToGrid w:val="0"/>
        <w:spacing w:before="0" w:beforeAutospacing="0" w:after="0" w:afterAutospacing="0" w:line="360" w:lineRule="auto"/>
        <w:ind w:firstLine="420" w:firstLineChars="175"/>
        <w:jc w:val="right"/>
        <w:rPr>
          <w:bCs/>
          <w:snapToGrid w:val="0"/>
          <w:color w:val="000000"/>
        </w:rPr>
      </w:pPr>
      <w:r>
        <w:rPr>
          <w:color w:val="000000"/>
        </w:rPr>
        <w:t>2021年</w:t>
      </w:r>
      <w:r>
        <w:rPr>
          <w:rFonts w:hint="eastAsia"/>
          <w:color w:val="000000"/>
          <w:lang w:val="en-US" w:eastAsia="zh-CN"/>
        </w:rPr>
        <w:t>9</w:t>
      </w:r>
      <w:r>
        <w:rPr>
          <w:color w:val="000000"/>
        </w:rPr>
        <w:t>月</w:t>
      </w:r>
      <w:r>
        <w:rPr>
          <w:rFonts w:hint="eastAsia"/>
          <w:color w:val="000000"/>
          <w:lang w:val="en-US" w:eastAsia="zh-CN"/>
        </w:rPr>
        <w:t>3</w:t>
      </w:r>
      <w:r>
        <w:rPr>
          <w:rFonts w:hint="eastAsia"/>
          <w:color w:val="000000"/>
        </w:rPr>
        <w:t>日</w:t>
      </w:r>
    </w:p>
    <w:p>
      <w:pPr>
        <w:pStyle w:val="6"/>
        <w:adjustRightInd w:val="0"/>
        <w:snapToGrid w:val="0"/>
        <w:spacing w:before="0" w:beforeAutospacing="0" w:after="0" w:afterAutospacing="0" w:line="360" w:lineRule="auto"/>
        <w:ind w:firstLine="420" w:firstLineChars="175"/>
        <w:rPr>
          <w:bCs/>
          <w:snapToGrid w:val="0"/>
          <w:color w:val="000000"/>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064F7C"/>
    <w:multiLevelType w:val="singleLevel"/>
    <w:tmpl w:val="AC064F7C"/>
    <w:lvl w:ilvl="0" w:tentative="0">
      <w:start w:val="1"/>
      <w:numFmt w:val="bullet"/>
      <w:lvlText w:val=""/>
      <w:lvlJc w:val="left"/>
      <w:pPr>
        <w:ind w:left="420" w:hanging="420"/>
      </w:pPr>
      <w:rPr>
        <w:rFonts w:hint="default" w:ascii="Wingdings" w:hAnsi="Wingdings"/>
      </w:rPr>
    </w:lvl>
  </w:abstractNum>
  <w:abstractNum w:abstractNumId="1">
    <w:nsid w:val="2AED6C44"/>
    <w:multiLevelType w:val="singleLevel"/>
    <w:tmpl w:val="2AED6C44"/>
    <w:lvl w:ilvl="0" w:tentative="0">
      <w:start w:val="1"/>
      <w:numFmt w:val="chineseCounting"/>
      <w:suff w:val="nothing"/>
      <w:lvlText w:val="%1、"/>
      <w:lvlJc w:val="left"/>
      <w:pPr>
        <w:ind w:left="0" w:firstLine="420"/>
      </w:pPr>
      <w:rPr>
        <w:rFonts w:hint="eastAsia"/>
      </w:rPr>
    </w:lvl>
  </w:abstractNum>
  <w:abstractNum w:abstractNumId="2">
    <w:nsid w:val="37AFAA1A"/>
    <w:multiLevelType w:val="singleLevel"/>
    <w:tmpl w:val="37AFAA1A"/>
    <w:lvl w:ilvl="0" w:tentative="0">
      <w:start w:val="1"/>
      <w:numFmt w:val="decimal"/>
      <w:suff w:val="nothing"/>
      <w:lvlText w:val="%1、"/>
      <w:lvlJc w:val="left"/>
    </w:lvl>
  </w:abstractNum>
  <w:abstractNum w:abstractNumId="3">
    <w:nsid w:val="7CF3ABA5"/>
    <w:multiLevelType w:val="singleLevel"/>
    <w:tmpl w:val="7CF3ABA5"/>
    <w:lvl w:ilvl="0" w:tentative="0">
      <w:start w:val="3"/>
      <w:numFmt w:val="decimal"/>
      <w:suff w:val="nothing"/>
      <w:lvlText w:val="（%1）"/>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3F7E61"/>
    <w:rsid w:val="0004158D"/>
    <w:rsid w:val="0004660D"/>
    <w:rsid w:val="00054919"/>
    <w:rsid w:val="00071378"/>
    <w:rsid w:val="00074F3F"/>
    <w:rsid w:val="000A4FDF"/>
    <w:rsid w:val="000A73F0"/>
    <w:rsid w:val="00103C9F"/>
    <w:rsid w:val="00104BCE"/>
    <w:rsid w:val="00114670"/>
    <w:rsid w:val="00116992"/>
    <w:rsid w:val="001514FA"/>
    <w:rsid w:val="00161565"/>
    <w:rsid w:val="00196EEF"/>
    <w:rsid w:val="001A34D9"/>
    <w:rsid w:val="001C461E"/>
    <w:rsid w:val="001E6663"/>
    <w:rsid w:val="0022053A"/>
    <w:rsid w:val="00242BAC"/>
    <w:rsid w:val="00245C70"/>
    <w:rsid w:val="002552A5"/>
    <w:rsid w:val="00275935"/>
    <w:rsid w:val="002817BC"/>
    <w:rsid w:val="0029018C"/>
    <w:rsid w:val="002A65C3"/>
    <w:rsid w:val="002C091B"/>
    <w:rsid w:val="002D1EF7"/>
    <w:rsid w:val="002E4F62"/>
    <w:rsid w:val="002F6467"/>
    <w:rsid w:val="00301980"/>
    <w:rsid w:val="00307F2F"/>
    <w:rsid w:val="0034579E"/>
    <w:rsid w:val="0035465E"/>
    <w:rsid w:val="00370FB5"/>
    <w:rsid w:val="00385F81"/>
    <w:rsid w:val="0039071D"/>
    <w:rsid w:val="003A2B70"/>
    <w:rsid w:val="003A4ED2"/>
    <w:rsid w:val="003C0818"/>
    <w:rsid w:val="003C1AD6"/>
    <w:rsid w:val="003D7FA0"/>
    <w:rsid w:val="003E15D2"/>
    <w:rsid w:val="003F229A"/>
    <w:rsid w:val="00402849"/>
    <w:rsid w:val="00402AF8"/>
    <w:rsid w:val="00427C49"/>
    <w:rsid w:val="00445180"/>
    <w:rsid w:val="00453F6E"/>
    <w:rsid w:val="004A4B80"/>
    <w:rsid w:val="004F25D0"/>
    <w:rsid w:val="005264BE"/>
    <w:rsid w:val="00551E48"/>
    <w:rsid w:val="00566E68"/>
    <w:rsid w:val="005D6F38"/>
    <w:rsid w:val="005E5522"/>
    <w:rsid w:val="00656252"/>
    <w:rsid w:val="006606BD"/>
    <w:rsid w:val="00663C16"/>
    <w:rsid w:val="0068494F"/>
    <w:rsid w:val="00693198"/>
    <w:rsid w:val="006A16EC"/>
    <w:rsid w:val="006D1B96"/>
    <w:rsid w:val="006D3EA4"/>
    <w:rsid w:val="00705BDE"/>
    <w:rsid w:val="00706863"/>
    <w:rsid w:val="0074085C"/>
    <w:rsid w:val="00747F40"/>
    <w:rsid w:val="0075416B"/>
    <w:rsid w:val="00765C7E"/>
    <w:rsid w:val="007946B2"/>
    <w:rsid w:val="007C09CC"/>
    <w:rsid w:val="007C371C"/>
    <w:rsid w:val="007C3D93"/>
    <w:rsid w:val="00827E1F"/>
    <w:rsid w:val="00853303"/>
    <w:rsid w:val="0096476F"/>
    <w:rsid w:val="00973DD1"/>
    <w:rsid w:val="00973FE2"/>
    <w:rsid w:val="00981464"/>
    <w:rsid w:val="009827AC"/>
    <w:rsid w:val="0098778B"/>
    <w:rsid w:val="009879C4"/>
    <w:rsid w:val="009C1C82"/>
    <w:rsid w:val="009D5C58"/>
    <w:rsid w:val="009F7162"/>
    <w:rsid w:val="00A0708A"/>
    <w:rsid w:val="00A13C9B"/>
    <w:rsid w:val="00A2752E"/>
    <w:rsid w:val="00A43F32"/>
    <w:rsid w:val="00A533EA"/>
    <w:rsid w:val="00A53AE6"/>
    <w:rsid w:val="00A630BA"/>
    <w:rsid w:val="00A9487B"/>
    <w:rsid w:val="00A9511E"/>
    <w:rsid w:val="00AB5ED5"/>
    <w:rsid w:val="00AC1ADB"/>
    <w:rsid w:val="00AC1C6C"/>
    <w:rsid w:val="00AC2CA7"/>
    <w:rsid w:val="00AC55C4"/>
    <w:rsid w:val="00AC6D78"/>
    <w:rsid w:val="00B00F3B"/>
    <w:rsid w:val="00B24637"/>
    <w:rsid w:val="00B52A53"/>
    <w:rsid w:val="00B775B9"/>
    <w:rsid w:val="00BB7964"/>
    <w:rsid w:val="00C035F8"/>
    <w:rsid w:val="00C3563C"/>
    <w:rsid w:val="00C412A5"/>
    <w:rsid w:val="00C72C73"/>
    <w:rsid w:val="00C737F1"/>
    <w:rsid w:val="00C8562C"/>
    <w:rsid w:val="00CA18DC"/>
    <w:rsid w:val="00CA3DFD"/>
    <w:rsid w:val="00CA4B41"/>
    <w:rsid w:val="00CC441B"/>
    <w:rsid w:val="00CF3DC1"/>
    <w:rsid w:val="00D13E67"/>
    <w:rsid w:val="00D17A5D"/>
    <w:rsid w:val="00D20344"/>
    <w:rsid w:val="00D2223E"/>
    <w:rsid w:val="00D54006"/>
    <w:rsid w:val="00D85D6E"/>
    <w:rsid w:val="00D87C6D"/>
    <w:rsid w:val="00DE7804"/>
    <w:rsid w:val="00DF0082"/>
    <w:rsid w:val="00DF3685"/>
    <w:rsid w:val="00E03D2A"/>
    <w:rsid w:val="00E25CBA"/>
    <w:rsid w:val="00E508B8"/>
    <w:rsid w:val="00E71D4C"/>
    <w:rsid w:val="00E86CA1"/>
    <w:rsid w:val="00EC0A3F"/>
    <w:rsid w:val="00EF52C1"/>
    <w:rsid w:val="00F01209"/>
    <w:rsid w:val="00F05C23"/>
    <w:rsid w:val="00F86447"/>
    <w:rsid w:val="00F97029"/>
    <w:rsid w:val="00FB3FB4"/>
    <w:rsid w:val="00FD0A16"/>
    <w:rsid w:val="00FD285B"/>
    <w:rsid w:val="00FE39D7"/>
    <w:rsid w:val="02FB5217"/>
    <w:rsid w:val="03250DC9"/>
    <w:rsid w:val="063A3039"/>
    <w:rsid w:val="06775748"/>
    <w:rsid w:val="07BE499F"/>
    <w:rsid w:val="07C45B3E"/>
    <w:rsid w:val="1060695A"/>
    <w:rsid w:val="16195FC1"/>
    <w:rsid w:val="18F805CC"/>
    <w:rsid w:val="1A8803C9"/>
    <w:rsid w:val="1AF517D2"/>
    <w:rsid w:val="1E3B3E95"/>
    <w:rsid w:val="1F4F5B2C"/>
    <w:rsid w:val="20F10804"/>
    <w:rsid w:val="225A35BF"/>
    <w:rsid w:val="271C1761"/>
    <w:rsid w:val="275B3F88"/>
    <w:rsid w:val="28D86DBC"/>
    <w:rsid w:val="2B47421A"/>
    <w:rsid w:val="2B4F52F9"/>
    <w:rsid w:val="2BC136AF"/>
    <w:rsid w:val="30A433BE"/>
    <w:rsid w:val="31113881"/>
    <w:rsid w:val="33EF38F6"/>
    <w:rsid w:val="36136315"/>
    <w:rsid w:val="39A95D8A"/>
    <w:rsid w:val="3B473A1E"/>
    <w:rsid w:val="3C2854A3"/>
    <w:rsid w:val="3CA73C68"/>
    <w:rsid w:val="3E2D2CC5"/>
    <w:rsid w:val="3FA73663"/>
    <w:rsid w:val="4394704E"/>
    <w:rsid w:val="4443675A"/>
    <w:rsid w:val="4718612C"/>
    <w:rsid w:val="477915AF"/>
    <w:rsid w:val="478C5CD4"/>
    <w:rsid w:val="48453637"/>
    <w:rsid w:val="4A237879"/>
    <w:rsid w:val="4A7F5E84"/>
    <w:rsid w:val="4D880E3D"/>
    <w:rsid w:val="4ED32F70"/>
    <w:rsid w:val="50D80390"/>
    <w:rsid w:val="54794BD7"/>
    <w:rsid w:val="54AB6545"/>
    <w:rsid w:val="55316EFF"/>
    <w:rsid w:val="55FC11EF"/>
    <w:rsid w:val="566E58E1"/>
    <w:rsid w:val="5847001C"/>
    <w:rsid w:val="58B50EDB"/>
    <w:rsid w:val="599357D9"/>
    <w:rsid w:val="5EA62610"/>
    <w:rsid w:val="609127BD"/>
    <w:rsid w:val="622722BE"/>
    <w:rsid w:val="69AF0C86"/>
    <w:rsid w:val="6D2A1F48"/>
    <w:rsid w:val="6E0505A9"/>
    <w:rsid w:val="70227D89"/>
    <w:rsid w:val="707556DE"/>
    <w:rsid w:val="74553A63"/>
    <w:rsid w:val="75C83441"/>
    <w:rsid w:val="76022360"/>
    <w:rsid w:val="774B7A20"/>
    <w:rsid w:val="776D075C"/>
    <w:rsid w:val="78A04EE8"/>
    <w:rsid w:val="7AD71C26"/>
    <w:rsid w:val="7E213986"/>
    <w:rsid w:val="7E3F7E61"/>
    <w:rsid w:val="7FF434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semiHidden/>
    <w:unhideWhenUsed/>
    <w:qFormat/>
    <w:uiPriority w:val="0"/>
    <w:pPr>
      <w:spacing w:beforeAutospacing="1" w:afterAutospacing="1"/>
      <w:jc w:val="left"/>
      <w:outlineLvl w:val="1"/>
    </w:pPr>
    <w:rPr>
      <w:rFonts w:hint="eastAsia" w:ascii="宋体" w:hAnsi="宋体"/>
      <w:b/>
      <w:bCs/>
      <w:kern w:val="0"/>
      <w:sz w:val="36"/>
      <w:szCs w:val="36"/>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1"/>
    <w:qFormat/>
    <w:uiPriority w:val="0"/>
    <w:rPr>
      <w:sz w:val="18"/>
      <w:szCs w:val="18"/>
    </w:rPr>
  </w:style>
  <w:style w:type="paragraph" w:styleId="4">
    <w:name w:val="footer"/>
    <w:basedOn w:val="1"/>
    <w:link w:val="14"/>
    <w:qFormat/>
    <w:uiPriority w:val="0"/>
    <w:pPr>
      <w:tabs>
        <w:tab w:val="center" w:pos="4153"/>
        <w:tab w:val="right" w:pos="8306"/>
      </w:tabs>
      <w:snapToGrid w:val="0"/>
      <w:jc w:val="left"/>
    </w:pPr>
    <w:rPr>
      <w:sz w:val="18"/>
      <w:szCs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widowControl/>
      <w:spacing w:before="100" w:beforeAutospacing="1" w:after="100" w:afterAutospacing="1"/>
      <w:jc w:val="left"/>
    </w:pPr>
    <w:rPr>
      <w:kern w:val="0"/>
      <w:sz w:val="24"/>
      <w:szCs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p0"/>
    <w:qFormat/>
    <w:uiPriority w:val="0"/>
    <w:pPr>
      <w:spacing w:line="595" w:lineRule="atLeast"/>
      <w:ind w:left="1"/>
      <w:jc w:val="both"/>
    </w:pPr>
    <w:rPr>
      <w:rFonts w:ascii="Times New Roman" w:hAnsi="Times New Roman" w:eastAsia="宋体" w:cs="Times New Roman"/>
      <w:color w:val="000000"/>
      <w:sz w:val="21"/>
      <w:szCs w:val="21"/>
      <w:lang w:val="en-US" w:eastAsia="zh-CN" w:bidi="ar-SA"/>
    </w:rPr>
  </w:style>
  <w:style w:type="character" w:customStyle="1" w:styleId="11">
    <w:name w:val="批注框文本 Char"/>
    <w:basedOn w:val="9"/>
    <w:link w:val="3"/>
    <w:qFormat/>
    <w:uiPriority w:val="0"/>
    <w:rPr>
      <w:kern w:val="2"/>
      <w:sz w:val="18"/>
      <w:szCs w:val="18"/>
    </w:rPr>
  </w:style>
  <w:style w:type="paragraph" w:styleId="12">
    <w:name w:val="List Paragraph"/>
    <w:basedOn w:val="1"/>
    <w:qFormat/>
    <w:uiPriority w:val="99"/>
    <w:pPr>
      <w:ind w:firstLine="420" w:firstLineChars="200"/>
    </w:pPr>
  </w:style>
  <w:style w:type="character" w:customStyle="1" w:styleId="13">
    <w:name w:val="页眉 Char"/>
    <w:basedOn w:val="9"/>
    <w:link w:val="5"/>
    <w:qFormat/>
    <w:uiPriority w:val="0"/>
    <w:rPr>
      <w:kern w:val="2"/>
      <w:sz w:val="18"/>
      <w:szCs w:val="18"/>
    </w:rPr>
  </w:style>
  <w:style w:type="character" w:customStyle="1" w:styleId="14">
    <w:name w:val="页脚 Char"/>
    <w:basedOn w:val="9"/>
    <w:link w:val="4"/>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668</Words>
  <Characters>3810</Characters>
  <Lines>31</Lines>
  <Paragraphs>8</Paragraphs>
  <TotalTime>70</TotalTime>
  <ScaleCrop>false</ScaleCrop>
  <LinksUpToDate>false</LinksUpToDate>
  <CharactersWithSpaces>4470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2021-08-25T03:00:00Z</dcterms:created>
  <dc:creator>易杯酒</dc:creator>
  <cp:lastModifiedBy>邹岩</cp:lastModifiedBy>
  <dcterms:modified xsi:type="dcterms:W3CDTF">2021-09-02T06:20:14Z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3BF42355F5254C5CB93AE8069E4A6D97</vt:lpwstr>
  </property>
</Properties>
</file>