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Cs w:val="21"/>
        </w:rPr>
      </w:pPr>
      <w:r>
        <w:rPr>
          <w:szCs w:val="21"/>
        </w:rPr>
        <w:t xml:space="preserve">证券代码：603232              证券简称：格尔软件    </w:t>
      </w:r>
      <w:r>
        <w:rPr>
          <w:rFonts w:hint="eastAsia"/>
          <w:szCs w:val="21"/>
        </w:rPr>
        <w:t xml:space="preserve"> </w:t>
      </w:r>
      <w:r>
        <w:rPr>
          <w:szCs w:val="21"/>
        </w:rPr>
        <w:t xml:space="preserve">        公告编号：202</w:t>
      </w:r>
      <w:r>
        <w:rPr>
          <w:rFonts w:hint="eastAsia"/>
          <w:szCs w:val="21"/>
        </w:rPr>
        <w:t>3</w:t>
      </w:r>
      <w:r>
        <w:rPr>
          <w:szCs w:val="21"/>
        </w:rPr>
        <w:t>-</w:t>
      </w:r>
      <w:r>
        <w:rPr>
          <w:rFonts w:hint="eastAsia"/>
          <w:szCs w:val="21"/>
        </w:rPr>
        <w:t>013</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关于使用部分闲置募集资金进行现金管理到期赎回的公告</w:t>
      </w:r>
    </w:p>
    <w:p>
      <w:pPr>
        <w:pBdr>
          <w:top w:val="single" w:color="auto" w:sz="4" w:space="1"/>
          <w:left w:val="single" w:color="auto" w:sz="4" w:space="4"/>
          <w:bottom w:val="single" w:color="auto" w:sz="4" w:space="0"/>
          <w:right w:val="single" w:color="auto" w:sz="4" w:space="4"/>
        </w:pBdr>
        <w:adjustRightInd w:val="0"/>
        <w:snapToGrid w:val="0"/>
        <w:spacing w:before="156" w:beforeLines="50" w:after="312" w:afterLines="100"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本公司董事会及全体董事保证本公告内容不存在任何虚假记载、误导性陈述或者重大遗漏，并对其内容的真实性、准确性和完整性承担法律责任。</w:t>
      </w:r>
    </w:p>
    <w:p>
      <w:pPr>
        <w:widowControl/>
        <w:spacing w:line="360" w:lineRule="auto"/>
        <w:ind w:firstLine="480" w:firstLineChars="200"/>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widowControl/>
        <w:spacing w:before="156" w:beforeLines="50" w:after="156" w:afterLines="50"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一、公司前次使用暂时闲置募集资金购买理财产品到期赎回的情况</w:t>
      </w:r>
    </w:p>
    <w:tbl>
      <w:tblPr>
        <w:tblStyle w:val="8"/>
        <w:tblW w:w="6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166"/>
        <w:gridCol w:w="1308"/>
        <w:gridCol w:w="1311"/>
        <w:gridCol w:w="1605"/>
        <w:gridCol w:w="1310"/>
        <w:gridCol w:w="1307"/>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478"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548"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615" w:type="pct"/>
            <w:vAlign w:val="center"/>
          </w:tcPr>
          <w:p>
            <w:pPr>
              <w:autoSpaceDE w:val="0"/>
              <w:autoSpaceDN w:val="0"/>
              <w:adjustRightInd w:val="0"/>
              <w:spacing w:line="360" w:lineRule="auto"/>
              <w:ind w:left="219" w:hanging="219" w:hangingChars="104"/>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616"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赎回金额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54"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16"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起始日</w:t>
            </w:r>
          </w:p>
        </w:tc>
        <w:tc>
          <w:tcPr>
            <w:tcW w:w="615"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754" w:type="pct"/>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实际收益金额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78" w:type="pct"/>
            <w:vAlign w:val="center"/>
          </w:tcPr>
          <w:p>
            <w:pPr>
              <w:autoSpaceDE w:val="0"/>
              <w:autoSpaceDN w:val="0"/>
              <w:adjustRightInd w:val="0"/>
              <w:spacing w:line="360" w:lineRule="auto"/>
              <w:jc w:val="center"/>
              <w:rPr>
                <w:rFonts w:eastAsiaTheme="minorEastAsia"/>
                <w:color w:val="000000"/>
                <w:kern w:val="0"/>
                <w:szCs w:val="21"/>
              </w:rPr>
            </w:pPr>
            <w:r>
              <w:rPr>
                <w:rFonts w:hint="eastAsia" w:eastAsiaTheme="minorEastAsia"/>
                <w:color w:val="000000"/>
                <w:kern w:val="0"/>
                <w:szCs w:val="21"/>
              </w:rPr>
              <w:t>东兴证券</w:t>
            </w:r>
          </w:p>
        </w:tc>
        <w:tc>
          <w:tcPr>
            <w:tcW w:w="548" w:type="pct"/>
            <w:vAlign w:val="center"/>
          </w:tcPr>
          <w:p>
            <w:pPr>
              <w:autoSpaceDE w:val="0"/>
              <w:autoSpaceDN w:val="0"/>
              <w:adjustRightInd w:val="0"/>
              <w:spacing w:line="360" w:lineRule="auto"/>
              <w:jc w:val="center"/>
              <w:rPr>
                <w:rFonts w:eastAsiaTheme="minorEastAsia"/>
                <w:color w:val="000000"/>
                <w:szCs w:val="21"/>
              </w:rPr>
            </w:pPr>
            <w:r>
              <w:rPr>
                <w:rFonts w:hint="eastAsia" w:eastAsiaTheme="minorEastAsia"/>
                <w:color w:val="000000"/>
                <w:szCs w:val="21"/>
              </w:rPr>
              <w:t>券商收益凭证</w:t>
            </w:r>
          </w:p>
        </w:tc>
        <w:tc>
          <w:tcPr>
            <w:tcW w:w="615" w:type="pct"/>
            <w:vAlign w:val="center"/>
          </w:tcPr>
          <w:p>
            <w:pPr>
              <w:autoSpaceDE w:val="0"/>
              <w:autoSpaceDN w:val="0"/>
              <w:adjustRightInd w:val="0"/>
              <w:spacing w:line="360" w:lineRule="auto"/>
              <w:jc w:val="center"/>
              <w:rPr>
                <w:rFonts w:eastAsiaTheme="minorEastAsia"/>
                <w:color w:val="000000"/>
                <w:kern w:val="0"/>
                <w:szCs w:val="21"/>
              </w:rPr>
            </w:pPr>
            <w:r>
              <w:rPr>
                <w:rFonts w:hint="eastAsia" w:eastAsiaTheme="minorEastAsia"/>
                <w:color w:val="000000"/>
                <w:kern w:val="0"/>
                <w:szCs w:val="21"/>
              </w:rPr>
              <w:t>东兴金元</w:t>
            </w:r>
          </w:p>
          <w:p>
            <w:pPr>
              <w:autoSpaceDE w:val="0"/>
              <w:autoSpaceDN w:val="0"/>
              <w:adjustRightInd w:val="0"/>
              <w:spacing w:line="360" w:lineRule="auto"/>
              <w:jc w:val="center"/>
              <w:rPr>
                <w:rFonts w:eastAsiaTheme="minorEastAsia"/>
                <w:color w:val="000000"/>
                <w:kern w:val="0"/>
                <w:szCs w:val="21"/>
              </w:rPr>
            </w:pPr>
            <w:r>
              <w:rPr>
                <w:rFonts w:hint="eastAsia" w:eastAsiaTheme="minorEastAsia"/>
                <w:color w:val="000000"/>
                <w:kern w:val="0"/>
                <w:szCs w:val="21"/>
              </w:rPr>
              <w:t>56号</w:t>
            </w:r>
          </w:p>
        </w:tc>
        <w:tc>
          <w:tcPr>
            <w:tcW w:w="616" w:type="pct"/>
            <w:vAlign w:val="center"/>
          </w:tcPr>
          <w:p>
            <w:pPr>
              <w:widowControl/>
              <w:jc w:val="center"/>
              <w:textAlignment w:val="center"/>
              <w:rPr>
                <w:color w:val="000000"/>
                <w:kern w:val="0"/>
                <w:szCs w:val="21"/>
                <w:lang w:bidi="ar"/>
              </w:rPr>
            </w:pPr>
            <w:r>
              <w:rPr>
                <w:rFonts w:hint="eastAsia" w:eastAsiaTheme="minorEastAsia"/>
                <w:color w:val="000000"/>
                <w:kern w:val="0"/>
                <w:szCs w:val="21"/>
                <w:lang w:bidi="ar"/>
              </w:rPr>
              <w:t>2,500</w:t>
            </w:r>
          </w:p>
        </w:tc>
        <w:tc>
          <w:tcPr>
            <w:tcW w:w="754" w:type="pct"/>
            <w:vAlign w:val="center"/>
          </w:tcPr>
          <w:p>
            <w:pPr>
              <w:widowControl/>
              <w:spacing w:before="156" w:beforeLines="50" w:after="156" w:afterLines="50"/>
              <w:jc w:val="center"/>
              <w:rPr>
                <w:rFonts w:eastAsiaTheme="minorEastAsia"/>
                <w:bCs/>
                <w:color w:val="000000"/>
                <w:kern w:val="0"/>
                <w:szCs w:val="21"/>
              </w:rPr>
            </w:pPr>
            <w:r>
              <w:rPr>
                <w:rFonts w:hint="eastAsia" w:eastAsiaTheme="minorEastAsia"/>
                <w:color w:val="000000"/>
                <w:szCs w:val="21"/>
              </w:rPr>
              <w:t>本金保障型(固定收益+浮动收益)</w:t>
            </w:r>
          </w:p>
        </w:tc>
        <w:tc>
          <w:tcPr>
            <w:tcW w:w="616" w:type="pct"/>
            <w:vAlign w:val="center"/>
          </w:tcPr>
          <w:p>
            <w:pPr>
              <w:widowControl/>
              <w:spacing w:before="156" w:beforeLines="50" w:after="156" w:afterLines="50"/>
              <w:jc w:val="center"/>
              <w:rPr>
                <w:color w:val="000000"/>
                <w:szCs w:val="21"/>
              </w:rPr>
            </w:pPr>
            <w:r>
              <w:rPr>
                <w:rFonts w:hint="eastAsia"/>
                <w:color w:val="000000"/>
                <w:szCs w:val="21"/>
              </w:rPr>
              <w:t>2022.9.30</w:t>
            </w:r>
          </w:p>
        </w:tc>
        <w:tc>
          <w:tcPr>
            <w:tcW w:w="615" w:type="pct"/>
            <w:vAlign w:val="center"/>
          </w:tcPr>
          <w:p>
            <w:pPr>
              <w:widowControl/>
              <w:spacing w:before="156" w:beforeLines="50" w:after="156" w:afterLines="50"/>
              <w:jc w:val="center"/>
              <w:rPr>
                <w:bCs/>
                <w:color w:val="000000"/>
                <w:kern w:val="0"/>
                <w:szCs w:val="21"/>
              </w:rPr>
            </w:pPr>
            <w:r>
              <w:rPr>
                <w:rFonts w:hint="eastAsia"/>
                <w:bCs/>
                <w:color w:val="000000"/>
                <w:kern w:val="0"/>
                <w:szCs w:val="21"/>
              </w:rPr>
              <w:t>2023.3.28</w:t>
            </w:r>
          </w:p>
        </w:tc>
        <w:tc>
          <w:tcPr>
            <w:tcW w:w="754" w:type="pct"/>
            <w:vAlign w:val="center"/>
          </w:tcPr>
          <w:p>
            <w:pPr>
              <w:widowControl/>
              <w:spacing w:before="156" w:beforeLines="50" w:after="156" w:afterLines="50"/>
              <w:jc w:val="center"/>
              <w:rPr>
                <w:rFonts w:hint="default" w:eastAsia="宋体"/>
                <w:color w:val="000000"/>
                <w:szCs w:val="21"/>
                <w:lang w:val="en-US" w:eastAsia="zh-CN"/>
              </w:rPr>
            </w:pPr>
            <w:r>
              <w:rPr>
                <w:rFonts w:hint="default" w:eastAsia="宋体"/>
                <w:color w:val="000000"/>
                <w:szCs w:val="21"/>
                <w:lang w:val="en-US" w:eastAsia="zh-CN"/>
              </w:rPr>
              <w:t>59.7</w:t>
            </w:r>
            <w:r>
              <w:rPr>
                <w:rFonts w:hint="eastAsia"/>
                <w:color w:val="000000"/>
                <w:szCs w:val="21"/>
                <w:lang w:val="en-US" w:eastAsia="zh-CN"/>
              </w:rPr>
              <w:t>7</w:t>
            </w:r>
          </w:p>
        </w:tc>
      </w:tr>
    </w:tbl>
    <w:p>
      <w:pPr>
        <w:widowControl/>
        <w:wordWrap w:val="0"/>
        <w:spacing w:before="156" w:beforeLines="50" w:after="156" w:afterLines="50" w:line="360" w:lineRule="auto"/>
        <w:ind w:firstLine="480" w:firstLineChars="200"/>
        <w:rPr>
          <w:rFonts w:eastAsiaTheme="minorEastAsia"/>
          <w:color w:val="000000"/>
          <w:sz w:val="24"/>
          <w:szCs w:val="24"/>
        </w:rPr>
      </w:pPr>
      <w:r>
        <w:rPr>
          <w:rFonts w:hint="eastAsia" w:eastAsiaTheme="minorEastAsia"/>
          <w:color w:val="000000"/>
          <w:sz w:val="24"/>
          <w:szCs w:val="24"/>
        </w:rPr>
        <w:t>公司于2022年9月30日以募集资金认购了东兴证券股份有限公司的理财产品，具体内容详见公司于2022年10月1日在上海证券交易所官方网站（www.sse.com.cn）披露的《格尔软件股份有限公司关于使用部分闲置募集资金进行现金管理的进展公告》（公告编号：2022-053）。截至本公告披露日，公司已收回本金和获得理财收益并划至募集资金专用账户。</w:t>
      </w:r>
    </w:p>
    <w:p>
      <w:pPr>
        <w:widowControl/>
        <w:spacing w:before="156" w:beforeLines="50" w:after="156" w:afterLines="50" w:line="360" w:lineRule="auto"/>
        <w:ind w:firstLine="482" w:firstLineChars="20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二、</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spacing w:line="360" w:lineRule="auto"/>
        <w:ind w:left="368" w:leftChars="175"/>
        <w:jc w:val="right"/>
        <w:rPr>
          <w:rFonts w:ascii="宋体" w:hAnsi="宋体"/>
          <w:bCs/>
          <w:szCs w:val="21"/>
        </w:rPr>
      </w:pPr>
      <w:r>
        <w:rPr>
          <w:rFonts w:hint="eastAsia" w:ascii="宋体" w:hAnsi="宋体"/>
          <w:bCs/>
          <w:szCs w:val="21"/>
        </w:rPr>
        <w:t xml:space="preserve">币种：人民币 </w:t>
      </w:r>
      <w:r>
        <w:rPr>
          <w:rFonts w:ascii="宋体" w:hAnsi="宋体"/>
          <w:bCs/>
          <w:szCs w:val="21"/>
        </w:rPr>
        <w:t xml:space="preserve"> </w:t>
      </w: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实际收益</w:t>
            </w:r>
          </w:p>
        </w:tc>
        <w:tc>
          <w:tcPr>
            <w:tcW w:w="1449" w:type="dxa"/>
          </w:tcPr>
          <w:p>
            <w:pPr>
              <w:widowControl/>
              <w:spacing w:line="360" w:lineRule="auto"/>
              <w:jc w:val="center"/>
              <w:textAlignment w:val="center"/>
              <w:rPr>
                <w:color w:val="000000"/>
                <w:kern w:val="0"/>
                <w:szCs w:val="21"/>
                <w:lang w:bidi="ar"/>
              </w:rPr>
            </w:pPr>
            <w:r>
              <w:rPr>
                <w:color w:val="000000"/>
                <w:kern w:val="0"/>
                <w:szCs w:val="21"/>
                <w:lang w:bidi="ar"/>
              </w:rPr>
              <w:t>尚未收回</w:t>
            </w:r>
          </w:p>
          <w:p>
            <w:pPr>
              <w:widowControl/>
              <w:spacing w:line="360" w:lineRule="auto"/>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bookmarkStart w:id="0" w:name="OLE_LINK1" w:colFirst="2" w:colLast="4"/>
            <w:r>
              <w:rPr>
                <w:rFonts w:hint="eastAsia"/>
                <w:color w:val="000000"/>
                <w:kern w:val="0"/>
                <w:szCs w:val="21"/>
                <w:lang w:bidi="ar"/>
              </w:rPr>
              <w:t>1</w:t>
            </w:r>
          </w:p>
        </w:tc>
        <w:tc>
          <w:tcPr>
            <w:tcW w:w="1559"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8,000.00</w:t>
            </w:r>
          </w:p>
        </w:tc>
        <w:tc>
          <w:tcPr>
            <w:tcW w:w="1701" w:type="dxa"/>
            <w:shd w:val="clear" w:color="auto" w:fill="auto"/>
            <w:vAlign w:val="center"/>
          </w:tcPr>
          <w:p>
            <w:pPr>
              <w:widowControl/>
              <w:spacing w:line="360" w:lineRule="auto"/>
              <w:jc w:val="right"/>
              <w:textAlignment w:val="center"/>
              <w:rPr>
                <w:color w:val="000000"/>
                <w:kern w:val="0"/>
                <w:szCs w:val="21"/>
                <w:highlight w:val="yellow"/>
                <w:lang w:bidi="ar"/>
              </w:rPr>
            </w:pPr>
            <w:r>
              <w:rPr>
                <w:rFonts w:hint="eastAsia"/>
                <w:color w:val="000000"/>
                <w:kern w:val="0"/>
                <w:szCs w:val="21"/>
                <w:lang w:bidi="ar"/>
              </w:rPr>
              <w:t>8,000.00</w:t>
            </w:r>
          </w:p>
        </w:tc>
        <w:tc>
          <w:tcPr>
            <w:tcW w:w="1378" w:type="dxa"/>
            <w:shd w:val="clear" w:color="auto" w:fill="auto"/>
            <w:vAlign w:val="center"/>
          </w:tcPr>
          <w:p>
            <w:pPr>
              <w:widowControl/>
              <w:spacing w:line="360" w:lineRule="auto"/>
              <w:jc w:val="right"/>
              <w:textAlignment w:val="center"/>
              <w:rPr>
                <w:color w:val="000000"/>
                <w:kern w:val="0"/>
                <w:szCs w:val="21"/>
                <w:highlight w:val="yellow"/>
                <w:lang w:bidi="ar"/>
              </w:rPr>
            </w:pPr>
            <w:r>
              <w:rPr>
                <w:rFonts w:hint="eastAsia"/>
                <w:color w:val="000000"/>
                <w:kern w:val="0"/>
                <w:szCs w:val="21"/>
                <w:lang w:bidi="ar"/>
              </w:rPr>
              <w:t>355.35</w:t>
            </w:r>
          </w:p>
        </w:tc>
        <w:tc>
          <w:tcPr>
            <w:tcW w:w="1449" w:type="dxa"/>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2</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20,000.00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20,000.00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color w:val="000000"/>
                <w:szCs w:val="21"/>
              </w:rPr>
              <w:t>895.08</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3</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96.16</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4</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92.05</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5</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6</w:t>
            </w:r>
          </w:p>
        </w:tc>
        <w:tc>
          <w:tcPr>
            <w:tcW w:w="1559" w:type="dxa"/>
            <w:shd w:val="clear" w:color="auto" w:fill="auto"/>
            <w:vAlign w:val="center"/>
          </w:tcPr>
          <w:p>
            <w:pPr>
              <w:widowControl/>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2,500.00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color w:val="000000"/>
                <w:szCs w:val="21"/>
              </w:rPr>
              <w:t>18.67</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rFonts w:hint="eastAsia"/>
                <w:color w:val="000000"/>
                <w:kern w:val="0"/>
                <w:szCs w:val="21"/>
                <w:lang w:bidi="ar"/>
              </w:rPr>
              <w:t>7</w:t>
            </w:r>
          </w:p>
        </w:tc>
        <w:tc>
          <w:tcPr>
            <w:tcW w:w="1559" w:type="dxa"/>
            <w:shd w:val="clear" w:color="auto" w:fill="auto"/>
            <w:vAlign w:val="center"/>
          </w:tcPr>
          <w:p>
            <w:pPr>
              <w:widowControl/>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3,500.00</w:t>
            </w:r>
          </w:p>
        </w:tc>
        <w:tc>
          <w:tcPr>
            <w:tcW w:w="1701"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3,500.00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color w:val="000000"/>
                <w:szCs w:val="21"/>
              </w:rPr>
              <w:t>26.61</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rFonts w:hint="eastAsia"/>
                <w:color w:val="000000"/>
                <w:kern w:val="0"/>
                <w:szCs w:val="21"/>
                <w:lang w:bidi="ar"/>
              </w:rPr>
              <w:t>8</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color w:val="000000"/>
                <w:szCs w:val="21"/>
              </w:rPr>
              <w:t>142.22</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9</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7.23</w:t>
            </w:r>
          </w:p>
        </w:tc>
        <w:tc>
          <w:tcPr>
            <w:tcW w:w="1449" w:type="dxa"/>
            <w:vAlign w:val="center"/>
          </w:tcPr>
          <w:p>
            <w:pPr>
              <w:widowControl/>
              <w:spacing w:line="360" w:lineRule="auto"/>
              <w:jc w:val="right"/>
              <w:textAlignment w:val="center"/>
              <w:rPr>
                <w:kern w:val="0"/>
                <w:szCs w:val="21"/>
                <w:lang w:bidi="ar"/>
              </w:rPr>
            </w:pPr>
            <w:bookmarkStart w:id="1" w:name="_GoBack"/>
            <w:bookmarkEnd w:id="1"/>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10</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4,000.00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4,000.00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33.80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1</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5,000.00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5,000.00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2</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3</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highlight w:val="none"/>
                <w:lang w:bidi="ar"/>
              </w:rPr>
            </w:pPr>
            <w:r>
              <w:rPr>
                <w:rFonts w:hint="eastAsia"/>
                <w:kern w:val="0"/>
                <w:szCs w:val="21"/>
                <w:highlight w:val="none"/>
                <w:lang w:bidi="ar"/>
              </w:rPr>
              <w:t>2,500.00</w:t>
            </w:r>
          </w:p>
        </w:tc>
        <w:tc>
          <w:tcPr>
            <w:tcW w:w="1701" w:type="dxa"/>
            <w:shd w:val="clear" w:color="auto" w:fill="auto"/>
            <w:vAlign w:val="center"/>
          </w:tcPr>
          <w:p>
            <w:pPr>
              <w:widowControl/>
              <w:spacing w:line="360" w:lineRule="auto"/>
              <w:jc w:val="right"/>
              <w:textAlignment w:val="center"/>
              <w:rPr>
                <w:kern w:val="0"/>
                <w:szCs w:val="21"/>
                <w:highlight w:val="none"/>
                <w:lang w:bidi="ar"/>
              </w:rPr>
            </w:pPr>
            <w:r>
              <w:rPr>
                <w:rFonts w:hint="eastAsia"/>
                <w:kern w:val="0"/>
                <w:szCs w:val="21"/>
                <w:highlight w:val="none"/>
                <w:lang w:bidi="ar"/>
              </w:rPr>
              <w:t>2,500.00</w:t>
            </w:r>
          </w:p>
        </w:tc>
        <w:tc>
          <w:tcPr>
            <w:tcW w:w="1378" w:type="dxa"/>
            <w:shd w:val="clear" w:color="auto" w:fill="auto"/>
            <w:vAlign w:val="center"/>
          </w:tcPr>
          <w:p>
            <w:pPr>
              <w:widowControl/>
              <w:spacing w:line="360" w:lineRule="auto"/>
              <w:jc w:val="right"/>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59.77</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4</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5</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3,000.00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6</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7</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kern w:val="0"/>
                <w:szCs w:val="21"/>
                <w:lang w:bidi="ar"/>
              </w:rPr>
            </w:pPr>
            <w:r>
              <w:rPr>
                <w:kern w:val="0"/>
                <w:szCs w:val="21"/>
                <w:lang w:bidi="ar"/>
              </w:rPr>
              <w:t>1</w:t>
            </w:r>
            <w:r>
              <w:rPr>
                <w:rFonts w:hint="eastAsia"/>
                <w:kern w:val="0"/>
                <w:szCs w:val="21"/>
                <w:lang w:bidi="ar"/>
              </w:rPr>
              <w:t>8</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spacing w:line="360" w:lineRule="auto"/>
              <w:jc w:val="center"/>
              <w:textAlignment w:val="center"/>
              <w:rPr>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spacing w:line="360" w:lineRule="auto"/>
              <w:jc w:val="right"/>
              <w:textAlignment w:val="center"/>
              <w:rPr>
                <w:b/>
                <w:bCs/>
                <w:color w:val="000000" w:themeColor="text1"/>
                <w:kern w:val="0"/>
                <w:szCs w:val="21"/>
                <w:lang w:bidi="ar"/>
                <w14:textFill>
                  <w14:solidFill>
                    <w14:schemeClr w14:val="tx1"/>
                  </w14:solidFill>
                </w14:textFill>
              </w:rPr>
            </w:pPr>
            <w:r>
              <w:rPr>
                <w:rFonts w:hint="eastAsia"/>
                <w:b/>
                <w:bCs/>
                <w:color w:val="000000" w:themeColor="text1"/>
                <w:kern w:val="0"/>
                <w:szCs w:val="21"/>
                <w:lang w:bidi="ar"/>
                <w14:textFill>
                  <w14:solidFill>
                    <w14:schemeClr w14:val="tx1"/>
                  </w14:solidFill>
                </w14:textFill>
              </w:rPr>
              <w:t>96,000.00</w:t>
            </w:r>
          </w:p>
        </w:tc>
        <w:tc>
          <w:tcPr>
            <w:tcW w:w="1701" w:type="dxa"/>
            <w:tcBorders>
              <w:bottom w:val="thinThickSmallGap" w:color="auto" w:sz="24" w:space="0"/>
            </w:tcBorders>
            <w:shd w:val="clear" w:color="auto" w:fill="auto"/>
            <w:vAlign w:val="center"/>
          </w:tcPr>
          <w:p>
            <w:pPr>
              <w:widowControl/>
              <w:spacing w:line="360" w:lineRule="auto"/>
              <w:jc w:val="right"/>
              <w:textAlignment w:val="center"/>
              <w:rPr>
                <w:b/>
                <w:bCs/>
                <w:color w:val="000000" w:themeColor="text1"/>
                <w:kern w:val="0"/>
                <w:szCs w:val="21"/>
                <w:highlight w:val="none"/>
                <w:lang w:bidi="ar"/>
                <w14:textFill>
                  <w14:solidFill>
                    <w14:schemeClr w14:val="tx1"/>
                  </w14:solidFill>
                </w14:textFill>
              </w:rPr>
            </w:pPr>
            <w:r>
              <w:rPr>
                <w:rFonts w:hint="eastAsia"/>
                <w:b/>
                <w:bCs/>
                <w:color w:val="000000" w:themeColor="text1"/>
                <w:kern w:val="0"/>
                <w:szCs w:val="21"/>
                <w:highlight w:val="none"/>
                <w:lang w:bidi="ar"/>
                <w14:textFill>
                  <w14:solidFill>
                    <w14:schemeClr w14:val="tx1"/>
                  </w14:solidFill>
                </w14:textFill>
              </w:rPr>
              <w:t>60,000.00</w:t>
            </w:r>
          </w:p>
        </w:tc>
        <w:tc>
          <w:tcPr>
            <w:tcW w:w="1378" w:type="dxa"/>
            <w:tcBorders>
              <w:bottom w:val="thinThickSmallGap" w:color="auto" w:sz="24" w:space="0"/>
            </w:tcBorders>
            <w:shd w:val="clear" w:color="auto" w:fill="auto"/>
            <w:vAlign w:val="center"/>
          </w:tcPr>
          <w:p>
            <w:pPr>
              <w:widowControl/>
              <w:spacing w:line="360" w:lineRule="auto"/>
              <w:jc w:val="right"/>
              <w:textAlignment w:val="center"/>
              <w:rPr>
                <w:b/>
                <w:bCs/>
                <w:color w:val="000000"/>
                <w:kern w:val="0"/>
                <w:sz w:val="22"/>
                <w:szCs w:val="22"/>
                <w:highlight w:val="none"/>
                <w:lang w:bidi="ar"/>
              </w:rPr>
            </w:pPr>
            <w:r>
              <w:rPr>
                <w:rFonts w:hint="eastAsia"/>
                <w:b/>
                <w:bCs/>
                <w:color w:val="000000"/>
                <w:kern w:val="0"/>
                <w:sz w:val="22"/>
                <w:szCs w:val="22"/>
                <w:highlight w:val="none"/>
                <w:lang w:bidi="ar"/>
              </w:rPr>
              <w:t>1</w:t>
            </w:r>
            <w:r>
              <w:rPr>
                <w:rFonts w:hint="eastAsia"/>
                <w:b/>
                <w:bCs/>
                <w:color w:val="000000"/>
                <w:kern w:val="0"/>
                <w:sz w:val="22"/>
                <w:szCs w:val="22"/>
                <w:highlight w:val="none"/>
                <w:lang w:val="en-US" w:eastAsia="zh-CN" w:bidi="ar"/>
              </w:rPr>
              <w:t>,</w:t>
            </w:r>
            <w:r>
              <w:rPr>
                <w:rFonts w:hint="eastAsia"/>
                <w:b/>
                <w:bCs/>
                <w:color w:val="000000"/>
                <w:kern w:val="0"/>
                <w:sz w:val="22"/>
                <w:szCs w:val="22"/>
                <w:highlight w:val="none"/>
                <w:lang w:bidi="ar"/>
              </w:rPr>
              <w:t>726.94</w:t>
            </w:r>
          </w:p>
        </w:tc>
        <w:tc>
          <w:tcPr>
            <w:tcW w:w="1449" w:type="dxa"/>
            <w:tcBorders>
              <w:bottom w:val="thinThickSmallGap" w:color="auto" w:sz="24" w:space="0"/>
            </w:tcBorders>
            <w:vAlign w:val="center"/>
          </w:tcPr>
          <w:p>
            <w:pPr>
              <w:widowControl/>
              <w:spacing w:line="360" w:lineRule="auto"/>
              <w:jc w:val="right"/>
              <w:textAlignment w:val="center"/>
              <w:rPr>
                <w:b/>
                <w:bCs/>
                <w:color w:val="000000"/>
                <w:kern w:val="0"/>
                <w:sz w:val="22"/>
                <w:szCs w:val="22"/>
                <w:highlight w:val="none"/>
                <w:lang w:bidi="ar"/>
              </w:rPr>
            </w:pPr>
            <w:r>
              <w:rPr>
                <w:rFonts w:hint="eastAsia"/>
                <w:b/>
                <w:bCs/>
                <w:color w:val="000000"/>
                <w:kern w:val="0"/>
                <w:sz w:val="22"/>
                <w:szCs w:val="22"/>
                <w:highlight w:val="none"/>
                <w:lang w:bidi="ar"/>
              </w:rPr>
              <w:t>36,000.00</w:t>
            </w:r>
          </w:p>
        </w:tc>
      </w:tr>
      <w:bookmarkEnd w:id="0"/>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42</w:t>
            </w:r>
            <w:r>
              <w:rPr>
                <w:color w:val="000000"/>
                <w:kern w:val="0"/>
                <w:szCs w:val="21"/>
                <w:lang w:bidi="ar"/>
              </w:rPr>
              <w:t>,</w:t>
            </w:r>
            <w:r>
              <w:rPr>
                <w:rFonts w:hint="eastAsia"/>
                <w:color w:val="000000"/>
                <w:kern w:val="0"/>
                <w:szCs w:val="21"/>
                <w:lang w:bidi="ar"/>
              </w:rPr>
              <w:t>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spacing w:line="360" w:lineRule="auto"/>
              <w:jc w:val="right"/>
              <w:textAlignment w:val="center"/>
              <w:rPr>
                <w:color w:val="000000"/>
                <w:kern w:val="0"/>
                <w:szCs w:val="21"/>
                <w:highlight w:val="yellow"/>
                <w:lang w:bidi="ar"/>
              </w:rPr>
            </w:pPr>
            <w:r>
              <w:rPr>
                <w:rFonts w:hint="eastAsia"/>
                <w:color w:val="000000"/>
                <w:kern w:val="0"/>
                <w:szCs w:val="21"/>
                <w:highlight w:val="none"/>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最近12个月委托理财累计收益/最近一年净利润（%）</w:t>
            </w:r>
          </w:p>
        </w:tc>
        <w:tc>
          <w:tcPr>
            <w:tcW w:w="2827" w:type="dxa"/>
            <w:gridSpan w:val="2"/>
            <w:shd w:val="clear" w:color="auto" w:fill="auto"/>
            <w:vAlign w:val="center"/>
          </w:tcPr>
          <w:p>
            <w:pPr>
              <w:widowControl/>
              <w:spacing w:line="360" w:lineRule="auto"/>
              <w:jc w:val="right"/>
              <w:textAlignment w:val="center"/>
              <w:rPr>
                <w:color w:val="000000"/>
                <w:kern w:val="0"/>
                <w:szCs w:val="21"/>
                <w:highlight w:val="none"/>
                <w:lang w:bidi="ar"/>
              </w:rPr>
            </w:pPr>
            <w:r>
              <w:rPr>
                <w:rFonts w:hint="eastAsia"/>
                <w:color w:val="000000"/>
                <w:kern w:val="0"/>
                <w:szCs w:val="21"/>
                <w:highlight w:val="none"/>
                <w:lang w:bidi="ar"/>
              </w:rPr>
              <w:t>21.</w:t>
            </w:r>
            <w:r>
              <w:rPr>
                <w:rFonts w:hint="eastAsia"/>
                <w:color w:val="000000"/>
                <w:kern w:val="0"/>
                <w:szCs w:val="21"/>
                <w:highlight w:val="none"/>
                <w:lang w:val="en-US" w:eastAsia="zh-CN" w:bidi="ar"/>
              </w:rPr>
              <w:t>64</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目前已使用的理财额度</w:t>
            </w:r>
          </w:p>
        </w:tc>
        <w:tc>
          <w:tcPr>
            <w:tcW w:w="2827" w:type="dxa"/>
            <w:gridSpan w:val="2"/>
            <w:shd w:val="clear" w:color="auto" w:fill="auto"/>
            <w:vAlign w:val="center"/>
          </w:tcPr>
          <w:p>
            <w:pPr>
              <w:widowControl/>
              <w:spacing w:line="360" w:lineRule="auto"/>
              <w:jc w:val="right"/>
              <w:textAlignment w:val="center"/>
              <w:rPr>
                <w:color w:val="000000"/>
                <w:kern w:val="0"/>
                <w:szCs w:val="21"/>
                <w:highlight w:val="none"/>
                <w:lang w:bidi="ar"/>
              </w:rPr>
            </w:pPr>
            <w:r>
              <w:rPr>
                <w:rFonts w:hint="eastAsia"/>
                <w:color w:val="000000"/>
                <w:kern w:val="0"/>
                <w:szCs w:val="21"/>
                <w:highlight w:val="none"/>
                <w:lang w:bidi="ar"/>
              </w:rPr>
              <w:t>36,0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尚未使用的理财额度</w:t>
            </w:r>
          </w:p>
        </w:tc>
        <w:tc>
          <w:tcPr>
            <w:tcW w:w="2827" w:type="dxa"/>
            <w:gridSpan w:val="2"/>
            <w:shd w:val="clear" w:color="auto" w:fill="auto"/>
            <w:vAlign w:val="center"/>
          </w:tcPr>
          <w:p>
            <w:pPr>
              <w:widowControl/>
              <w:spacing w:line="360" w:lineRule="auto"/>
              <w:jc w:val="right"/>
              <w:textAlignment w:val="center"/>
              <w:rPr>
                <w:color w:val="000000"/>
                <w:kern w:val="0"/>
                <w:szCs w:val="21"/>
                <w:highlight w:val="none"/>
                <w:lang w:bidi="ar"/>
              </w:rPr>
            </w:pPr>
            <w:r>
              <w:rPr>
                <w:rFonts w:hint="eastAsia"/>
                <w:color w:val="000000"/>
                <w:kern w:val="0"/>
                <w:szCs w:val="21"/>
                <w:highlight w:val="none"/>
                <w:lang w:bidi="ar"/>
              </w:rPr>
              <w:t>14,000.00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总理财额度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5</w:t>
            </w:r>
            <w:r>
              <w:rPr>
                <w:color w:val="000000"/>
                <w:kern w:val="0"/>
                <w:szCs w:val="21"/>
                <w:lang w:bidi="ar"/>
              </w:rPr>
              <w:t>0,000</w:t>
            </w:r>
            <w:r>
              <w:rPr>
                <w:rFonts w:hint="eastAsia"/>
                <w:color w:val="000000"/>
                <w:kern w:val="0"/>
                <w:szCs w:val="21"/>
                <w:lang w:bidi="ar"/>
              </w:rPr>
              <w:t>.00</w:t>
            </w:r>
          </w:p>
        </w:tc>
      </w:tr>
    </w:tbl>
    <w:p>
      <w:pPr>
        <w:widowControl/>
        <w:spacing w:before="312" w:beforeLines="100" w:line="360" w:lineRule="auto"/>
        <w:ind w:firstLine="480" w:firstLineChars="200"/>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rPr>
        <w:t>3</w:t>
      </w:r>
      <w:r>
        <w:rPr>
          <w:rFonts w:eastAsiaTheme="minorEastAsia"/>
          <w:color w:val="000000"/>
          <w:sz w:val="24"/>
          <w:szCs w:val="24"/>
        </w:rPr>
        <w:t>年</w:t>
      </w:r>
      <w:r>
        <w:rPr>
          <w:rFonts w:hint="eastAsia" w:eastAsiaTheme="minorEastAsia"/>
          <w:color w:val="000000"/>
          <w:sz w:val="24"/>
          <w:szCs w:val="24"/>
        </w:rPr>
        <w:t>3</w:t>
      </w:r>
      <w:r>
        <w:rPr>
          <w:rFonts w:eastAsiaTheme="minorEastAsia"/>
          <w:color w:val="000000"/>
          <w:sz w:val="24"/>
          <w:szCs w:val="24"/>
        </w:rPr>
        <w:t>月</w:t>
      </w:r>
      <w:r>
        <w:rPr>
          <w:rFonts w:hint="eastAsia" w:eastAsiaTheme="minorEastAsia"/>
          <w:color w:val="000000"/>
          <w:sz w:val="24"/>
          <w:szCs w:val="24"/>
          <w:lang w:val="en-US" w:eastAsia="zh-CN"/>
        </w:rPr>
        <w:t>30</w:t>
      </w:r>
      <w:r>
        <w:rPr>
          <w:rFonts w:eastAsiaTheme="minorEastAsia"/>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 w:name="KSO_WPS_MARK_KEY" w:val="ecbd8ddf-e6b1-4714-bca8-ec0003fa1b9d"/>
  </w:docVars>
  <w:rsids>
    <w:rsidRoot w:val="00172A27"/>
    <w:rsid w:val="0008475C"/>
    <w:rsid w:val="000A7B1C"/>
    <w:rsid w:val="000E03B2"/>
    <w:rsid w:val="001412EF"/>
    <w:rsid w:val="00172A27"/>
    <w:rsid w:val="00185548"/>
    <w:rsid w:val="001E17EA"/>
    <w:rsid w:val="001F1F79"/>
    <w:rsid w:val="00264ADB"/>
    <w:rsid w:val="002E1FA7"/>
    <w:rsid w:val="00346DA1"/>
    <w:rsid w:val="003A3E74"/>
    <w:rsid w:val="00454E78"/>
    <w:rsid w:val="00491A48"/>
    <w:rsid w:val="004B10E2"/>
    <w:rsid w:val="004F66E7"/>
    <w:rsid w:val="00516DD8"/>
    <w:rsid w:val="00526730"/>
    <w:rsid w:val="00551A7F"/>
    <w:rsid w:val="00583B30"/>
    <w:rsid w:val="005B2BB8"/>
    <w:rsid w:val="00610FFB"/>
    <w:rsid w:val="00680573"/>
    <w:rsid w:val="006F3225"/>
    <w:rsid w:val="0072751C"/>
    <w:rsid w:val="0073434F"/>
    <w:rsid w:val="007A65E2"/>
    <w:rsid w:val="007B5F91"/>
    <w:rsid w:val="007F0D65"/>
    <w:rsid w:val="007F256C"/>
    <w:rsid w:val="008D4204"/>
    <w:rsid w:val="008E3DED"/>
    <w:rsid w:val="00916C5C"/>
    <w:rsid w:val="00961EC7"/>
    <w:rsid w:val="009E3DFE"/>
    <w:rsid w:val="00A44917"/>
    <w:rsid w:val="00A45303"/>
    <w:rsid w:val="00AF22AE"/>
    <w:rsid w:val="00B037A9"/>
    <w:rsid w:val="00B4057A"/>
    <w:rsid w:val="00BC179A"/>
    <w:rsid w:val="00BE1E8F"/>
    <w:rsid w:val="00C530AB"/>
    <w:rsid w:val="00C60A20"/>
    <w:rsid w:val="00C924DE"/>
    <w:rsid w:val="00CB7C7D"/>
    <w:rsid w:val="00D11DCD"/>
    <w:rsid w:val="00D43C9F"/>
    <w:rsid w:val="00D530F3"/>
    <w:rsid w:val="00D63AC2"/>
    <w:rsid w:val="00D93AE5"/>
    <w:rsid w:val="00E16AC7"/>
    <w:rsid w:val="00E20E55"/>
    <w:rsid w:val="00EB0616"/>
    <w:rsid w:val="00EB3B4B"/>
    <w:rsid w:val="00ED265B"/>
    <w:rsid w:val="00EF5FB9"/>
    <w:rsid w:val="00FA025A"/>
    <w:rsid w:val="01046B36"/>
    <w:rsid w:val="012004B8"/>
    <w:rsid w:val="014943C9"/>
    <w:rsid w:val="01514253"/>
    <w:rsid w:val="018E4822"/>
    <w:rsid w:val="019B553E"/>
    <w:rsid w:val="01B05B0D"/>
    <w:rsid w:val="01B752FA"/>
    <w:rsid w:val="01CD2B2B"/>
    <w:rsid w:val="01D428E1"/>
    <w:rsid w:val="01DF6B9E"/>
    <w:rsid w:val="01E55C12"/>
    <w:rsid w:val="02325B21"/>
    <w:rsid w:val="0248443E"/>
    <w:rsid w:val="025D6557"/>
    <w:rsid w:val="027576DF"/>
    <w:rsid w:val="02982C02"/>
    <w:rsid w:val="02A57477"/>
    <w:rsid w:val="02AF4FED"/>
    <w:rsid w:val="02CB311A"/>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6EB467F"/>
    <w:rsid w:val="072E6603"/>
    <w:rsid w:val="07832D9E"/>
    <w:rsid w:val="07912289"/>
    <w:rsid w:val="07C13AF5"/>
    <w:rsid w:val="07C73762"/>
    <w:rsid w:val="08105099"/>
    <w:rsid w:val="083E47F0"/>
    <w:rsid w:val="08977F70"/>
    <w:rsid w:val="08AA1C74"/>
    <w:rsid w:val="08AA289A"/>
    <w:rsid w:val="08B7755F"/>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BD65F3"/>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3F54D3"/>
    <w:rsid w:val="125A5E7C"/>
    <w:rsid w:val="12836B35"/>
    <w:rsid w:val="12A65EB9"/>
    <w:rsid w:val="12F32D06"/>
    <w:rsid w:val="1331129B"/>
    <w:rsid w:val="13341B04"/>
    <w:rsid w:val="13622204"/>
    <w:rsid w:val="13700F26"/>
    <w:rsid w:val="137C230D"/>
    <w:rsid w:val="13BB1D9A"/>
    <w:rsid w:val="13C8541B"/>
    <w:rsid w:val="13D06940"/>
    <w:rsid w:val="13E34C02"/>
    <w:rsid w:val="13ED276A"/>
    <w:rsid w:val="140212F1"/>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236100"/>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04BC0"/>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EDE4471"/>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AD0E71"/>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5781413"/>
    <w:rsid w:val="26010EE8"/>
    <w:rsid w:val="26023801"/>
    <w:rsid w:val="26114A34"/>
    <w:rsid w:val="26290859"/>
    <w:rsid w:val="265B05A2"/>
    <w:rsid w:val="267C3F47"/>
    <w:rsid w:val="268E7807"/>
    <w:rsid w:val="26DB60FD"/>
    <w:rsid w:val="26F909DD"/>
    <w:rsid w:val="271E19F2"/>
    <w:rsid w:val="27756961"/>
    <w:rsid w:val="27D55CFC"/>
    <w:rsid w:val="27F07DF2"/>
    <w:rsid w:val="288C5C1E"/>
    <w:rsid w:val="28B54147"/>
    <w:rsid w:val="28BB4B6F"/>
    <w:rsid w:val="28CF784B"/>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21007C"/>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CF2D03"/>
    <w:rsid w:val="31D77017"/>
    <w:rsid w:val="31DD57E6"/>
    <w:rsid w:val="320A3645"/>
    <w:rsid w:val="325451C1"/>
    <w:rsid w:val="32D204BD"/>
    <w:rsid w:val="332A7D95"/>
    <w:rsid w:val="3340749F"/>
    <w:rsid w:val="33562357"/>
    <w:rsid w:val="33743374"/>
    <w:rsid w:val="33BA574B"/>
    <w:rsid w:val="33BD7F41"/>
    <w:rsid w:val="33C35E37"/>
    <w:rsid w:val="341214D4"/>
    <w:rsid w:val="34182627"/>
    <w:rsid w:val="344F1E96"/>
    <w:rsid w:val="347C40F8"/>
    <w:rsid w:val="34E22E0F"/>
    <w:rsid w:val="34E7249A"/>
    <w:rsid w:val="350C3A9F"/>
    <w:rsid w:val="351C2BF1"/>
    <w:rsid w:val="35BF55DC"/>
    <w:rsid w:val="362B7AD3"/>
    <w:rsid w:val="36655B51"/>
    <w:rsid w:val="369C4690"/>
    <w:rsid w:val="36E92B9A"/>
    <w:rsid w:val="37307DD1"/>
    <w:rsid w:val="37381173"/>
    <w:rsid w:val="37636236"/>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1F3694"/>
    <w:rsid w:val="3C295A99"/>
    <w:rsid w:val="3C491031"/>
    <w:rsid w:val="3C565CC7"/>
    <w:rsid w:val="3CAF7A61"/>
    <w:rsid w:val="3CF014F0"/>
    <w:rsid w:val="3CF52986"/>
    <w:rsid w:val="3D2C5A80"/>
    <w:rsid w:val="3D417F43"/>
    <w:rsid w:val="3DA6641A"/>
    <w:rsid w:val="3E19451F"/>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6E5112"/>
    <w:rsid w:val="40707236"/>
    <w:rsid w:val="408A442A"/>
    <w:rsid w:val="40AF25FA"/>
    <w:rsid w:val="40B90AE6"/>
    <w:rsid w:val="40C01FCB"/>
    <w:rsid w:val="40D4008B"/>
    <w:rsid w:val="40D4782B"/>
    <w:rsid w:val="40FD0905"/>
    <w:rsid w:val="410B04D9"/>
    <w:rsid w:val="412521E4"/>
    <w:rsid w:val="41551B3B"/>
    <w:rsid w:val="416602B2"/>
    <w:rsid w:val="41665F67"/>
    <w:rsid w:val="41785691"/>
    <w:rsid w:val="418E3065"/>
    <w:rsid w:val="41C7544C"/>
    <w:rsid w:val="41DE0DCA"/>
    <w:rsid w:val="41E75418"/>
    <w:rsid w:val="421E6B4D"/>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27311B"/>
    <w:rsid w:val="466758D8"/>
    <w:rsid w:val="468A4AA1"/>
    <w:rsid w:val="46CF5A07"/>
    <w:rsid w:val="46FB157C"/>
    <w:rsid w:val="471E67A1"/>
    <w:rsid w:val="4752541D"/>
    <w:rsid w:val="47A22846"/>
    <w:rsid w:val="47B20E55"/>
    <w:rsid w:val="47E37431"/>
    <w:rsid w:val="47FF5B38"/>
    <w:rsid w:val="48000720"/>
    <w:rsid w:val="4809042F"/>
    <w:rsid w:val="489D483F"/>
    <w:rsid w:val="49410D19"/>
    <w:rsid w:val="49507E2D"/>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67137"/>
    <w:rsid w:val="4B7B065F"/>
    <w:rsid w:val="4B865AA7"/>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31987"/>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1F74ABF"/>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511FB2"/>
    <w:rsid w:val="577D03B1"/>
    <w:rsid w:val="57BB0A78"/>
    <w:rsid w:val="580D0D18"/>
    <w:rsid w:val="58137B4D"/>
    <w:rsid w:val="58325CD2"/>
    <w:rsid w:val="58366984"/>
    <w:rsid w:val="58874867"/>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2A52BE"/>
    <w:rsid w:val="5C646231"/>
    <w:rsid w:val="5CE46FAA"/>
    <w:rsid w:val="5D2E4278"/>
    <w:rsid w:val="5D960828"/>
    <w:rsid w:val="5DAA51B9"/>
    <w:rsid w:val="5DC518B5"/>
    <w:rsid w:val="5DE66F6F"/>
    <w:rsid w:val="5E2810FD"/>
    <w:rsid w:val="5E2E0ABF"/>
    <w:rsid w:val="5E3B2546"/>
    <w:rsid w:val="5E3F5D12"/>
    <w:rsid w:val="5E472CA5"/>
    <w:rsid w:val="5E5B5F8C"/>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1C4637"/>
    <w:rsid w:val="64274C3E"/>
    <w:rsid w:val="644323A1"/>
    <w:rsid w:val="64684EA9"/>
    <w:rsid w:val="64686153"/>
    <w:rsid w:val="652323D6"/>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CF3BEB"/>
    <w:rsid w:val="69EB7683"/>
    <w:rsid w:val="6A387C70"/>
    <w:rsid w:val="6A631E35"/>
    <w:rsid w:val="6A6F1C20"/>
    <w:rsid w:val="6A7C4E57"/>
    <w:rsid w:val="6A9A5FFD"/>
    <w:rsid w:val="6AA30D43"/>
    <w:rsid w:val="6AC97B14"/>
    <w:rsid w:val="6AE40685"/>
    <w:rsid w:val="6B144F27"/>
    <w:rsid w:val="6B797D08"/>
    <w:rsid w:val="6B7F203F"/>
    <w:rsid w:val="6B866E86"/>
    <w:rsid w:val="6B990794"/>
    <w:rsid w:val="6BE24CE8"/>
    <w:rsid w:val="6C360C93"/>
    <w:rsid w:val="6CA54180"/>
    <w:rsid w:val="6CE42579"/>
    <w:rsid w:val="6CE64DE7"/>
    <w:rsid w:val="6D1C3817"/>
    <w:rsid w:val="6D38704B"/>
    <w:rsid w:val="6D5307CF"/>
    <w:rsid w:val="6D98264B"/>
    <w:rsid w:val="6DAB6138"/>
    <w:rsid w:val="6DAE3B7D"/>
    <w:rsid w:val="6DBF37EC"/>
    <w:rsid w:val="6DEE2249"/>
    <w:rsid w:val="6DFC191F"/>
    <w:rsid w:val="6E0C0F5A"/>
    <w:rsid w:val="6E12113E"/>
    <w:rsid w:val="6E471F02"/>
    <w:rsid w:val="6E5503E4"/>
    <w:rsid w:val="6E620C4B"/>
    <w:rsid w:val="6E870A36"/>
    <w:rsid w:val="6F16667F"/>
    <w:rsid w:val="6F3A45FB"/>
    <w:rsid w:val="6F461A44"/>
    <w:rsid w:val="6F5003AC"/>
    <w:rsid w:val="6F8017C9"/>
    <w:rsid w:val="6F83527F"/>
    <w:rsid w:val="6FAF3346"/>
    <w:rsid w:val="6FCB4A13"/>
    <w:rsid w:val="6FF86DDD"/>
    <w:rsid w:val="70187EC5"/>
    <w:rsid w:val="701C39A1"/>
    <w:rsid w:val="7034456F"/>
    <w:rsid w:val="70700F6A"/>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3F2B3D"/>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D230BA"/>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23F06"/>
    <w:rsid w:val="7B154A85"/>
    <w:rsid w:val="7B865DB0"/>
    <w:rsid w:val="7B957C6B"/>
    <w:rsid w:val="7BE049A8"/>
    <w:rsid w:val="7BEB393A"/>
    <w:rsid w:val="7C03388E"/>
    <w:rsid w:val="7C1F439D"/>
    <w:rsid w:val="7C7069A4"/>
    <w:rsid w:val="7C804E8D"/>
    <w:rsid w:val="7C8A1FDF"/>
    <w:rsid w:val="7C953875"/>
    <w:rsid w:val="7C9B7091"/>
    <w:rsid w:val="7CAF1F68"/>
    <w:rsid w:val="7CD05500"/>
    <w:rsid w:val="7D0B37FA"/>
    <w:rsid w:val="7D2908DD"/>
    <w:rsid w:val="7D5D5D78"/>
    <w:rsid w:val="7E071885"/>
    <w:rsid w:val="7E653164"/>
    <w:rsid w:val="7E8D1B3C"/>
    <w:rsid w:val="7EA618F0"/>
    <w:rsid w:val="7EB7696D"/>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修订2"/>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qFormat/>
    <w:uiPriority w:val="0"/>
    <w:rPr>
      <w:kern w:val="2"/>
      <w:sz w:val="18"/>
      <w:szCs w:val="18"/>
    </w:rPr>
  </w:style>
  <w:style w:type="character" w:customStyle="1" w:styleId="18">
    <w:name w:val="页脚 字符"/>
    <w:basedOn w:val="9"/>
    <w:link w:val="4"/>
    <w:qFormat/>
    <w:uiPriority w:val="0"/>
    <w:rPr>
      <w:kern w:val="2"/>
      <w:sz w:val="18"/>
      <w:szCs w:val="18"/>
    </w:rPr>
  </w:style>
  <w:style w:type="paragraph" w:customStyle="1" w:styleId="19">
    <w:name w:val="修订3"/>
    <w:hidden/>
    <w:semiHidden/>
    <w:qFormat/>
    <w:uiPriority w:val="99"/>
    <w:rPr>
      <w:rFonts w:ascii="Times New Roman" w:hAnsi="Times New Roman" w:eastAsia="宋体" w:cs="Times New Roman"/>
      <w:kern w:val="2"/>
      <w:sz w:val="21"/>
      <w:lang w:val="en-US" w:eastAsia="zh-CN" w:bidi="ar-SA"/>
    </w:rPr>
  </w:style>
  <w:style w:type="paragraph" w:customStyle="1" w:styleId="20">
    <w:name w:val="修订4"/>
    <w:hidden/>
    <w:semiHidden/>
    <w:qFormat/>
    <w:uiPriority w:val="99"/>
    <w:rPr>
      <w:rFonts w:ascii="Times New Roman" w:hAnsi="Times New Roman" w:eastAsia="宋体" w:cs="Times New Roman"/>
      <w:kern w:val="2"/>
      <w:sz w:val="21"/>
      <w:lang w:val="en-US" w:eastAsia="zh-CN" w:bidi="ar-SA"/>
    </w:rPr>
  </w:style>
  <w:style w:type="paragraph" w:customStyle="1" w:styleId="21">
    <w:name w:val="修订5"/>
    <w:hidden/>
    <w:semiHidden/>
    <w:qFormat/>
    <w:uiPriority w:val="99"/>
    <w:rPr>
      <w:rFonts w:ascii="Times New Roman" w:hAnsi="Times New Roman" w:eastAsia="宋体" w:cs="Times New Roman"/>
      <w:kern w:val="2"/>
      <w:sz w:val="21"/>
      <w:lang w:val="en-US" w:eastAsia="zh-CN" w:bidi="ar-SA"/>
    </w:rPr>
  </w:style>
  <w:style w:type="paragraph" w:customStyle="1" w:styleId="22">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1124</Words>
  <Characters>1682</Characters>
  <Lines>13</Lines>
  <Paragraphs>3</Paragraphs>
  <TotalTime>40</TotalTime>
  <ScaleCrop>false</ScaleCrop>
  <LinksUpToDate>false</LinksUpToDate>
  <CharactersWithSpaces>1711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2023-03-27T02:19:00Z</dcterms:created>
  <dc:creator>suuuu</dc:creator>
  <cp:lastModifiedBy>suuuu</cp:lastModifiedBy>
  <dcterms:modified xsi:type="dcterms:W3CDTF">2023-03-29T02:10:35Z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5F5735B756C949ADAED5F2FB1A028F25_13</vt:lpwstr>
  </property>
</Properties>
</file>