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Cs w:val="21"/>
        </w:rPr>
      </w:pPr>
      <w:r>
        <w:rPr>
          <w:szCs w:val="21"/>
        </w:rPr>
        <w:t xml:space="preserve">证券代码：603232              证券简称：格尔软件    </w:t>
      </w:r>
      <w:r>
        <w:rPr>
          <w:rFonts w:hint="eastAsia"/>
          <w:szCs w:val="21"/>
        </w:rPr>
        <w:t xml:space="preserve"> </w:t>
      </w:r>
      <w:r>
        <w:rPr>
          <w:szCs w:val="21"/>
        </w:rPr>
        <w:t xml:space="preserve">        公告编号：202</w:t>
      </w:r>
      <w:r>
        <w:rPr>
          <w:rFonts w:hint="eastAsia"/>
          <w:szCs w:val="21"/>
        </w:rPr>
        <w:t>2</w:t>
      </w:r>
      <w:r>
        <w:rPr>
          <w:szCs w:val="21"/>
        </w:rPr>
        <w:t>-</w:t>
      </w:r>
      <w:r>
        <w:rPr>
          <w:rFonts w:hint="eastAsia"/>
          <w:szCs w:val="21"/>
        </w:rPr>
        <w:t>048</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本公司董事会及全体董事保证本公告内容不存在任何虚假记载、误导性陈述或者重大遗漏，并对其内容的真实性、准确性和完整性承担法律责任。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widowControl/>
        <w:numPr>
          <w:ilvl w:val="0"/>
          <w:numId w:val="1"/>
        </w:numPr>
        <w:spacing w:line="360" w:lineRule="auto"/>
        <w:jc w:val="left"/>
        <w:rPr>
          <w:rFonts w:eastAsia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委托理财受托方：</w:t>
      </w:r>
      <w:r>
        <w:rPr>
          <w:rFonts w:hint="eastAsia" w:eastAsiaTheme="minorEastAsia"/>
          <w:color w:val="000000"/>
          <w:kern w:val="0"/>
          <w:sz w:val="24"/>
          <w:szCs w:val="24"/>
          <w:lang w:bidi="ar"/>
        </w:rPr>
        <w:t>东北</w:t>
      </w:r>
      <w:r>
        <w:rPr>
          <w:rFonts w:eastAsiaTheme="minorEastAsia"/>
          <w:color w:val="000000"/>
          <w:kern w:val="0"/>
          <w:sz w:val="24"/>
          <w:szCs w:val="24"/>
          <w:lang w:bidi="ar"/>
        </w:rPr>
        <w:t>证券股份有限公司</w:t>
      </w:r>
      <w:r>
        <w:rPr>
          <w:rFonts w:hint="eastAsia" w:eastAsiaTheme="minorEastAsia"/>
          <w:color w:val="000000"/>
          <w:kern w:val="0"/>
          <w:sz w:val="24"/>
          <w:szCs w:val="24"/>
          <w:lang w:bidi="ar"/>
        </w:rPr>
        <w:t>（以下简称“东北证券”）</w:t>
      </w:r>
    </w:p>
    <w:p>
      <w:pPr>
        <w:widowControl/>
        <w:numPr>
          <w:ilvl w:val="0"/>
          <w:numId w:val="1"/>
        </w:numPr>
        <w:spacing w:line="360" w:lineRule="auto"/>
        <w:jc w:val="left"/>
        <w:rPr>
          <w:rFonts w:eastAsiaTheme="minorEastAsia"/>
          <w:sz w:val="24"/>
          <w:szCs w:val="24"/>
        </w:rPr>
      </w:pPr>
      <w:r>
        <w:rPr>
          <w:rFonts w:eastAsiaTheme="minorEastAsia"/>
          <w:color w:val="000000"/>
          <w:kern w:val="0"/>
          <w:sz w:val="24"/>
          <w:szCs w:val="24"/>
          <w:lang w:bidi="ar"/>
        </w:rPr>
        <w:t>本次委托理财金额：</w:t>
      </w:r>
      <w:r>
        <w:rPr>
          <w:rFonts w:hint="eastAsia" w:eastAsiaTheme="minorEastAsia"/>
          <w:color w:val="000000"/>
          <w:kern w:val="0"/>
          <w:sz w:val="24"/>
          <w:szCs w:val="24"/>
          <w:lang w:bidi="ar"/>
        </w:rPr>
        <w:t>4,000</w:t>
      </w:r>
      <w:r>
        <w:rPr>
          <w:rFonts w:eastAsiaTheme="minorEastAsia"/>
          <w:color w:val="000000"/>
          <w:kern w:val="0"/>
          <w:sz w:val="24"/>
          <w:szCs w:val="24"/>
          <w:lang w:bidi="ar"/>
        </w:rPr>
        <w:t>万元</w:t>
      </w:r>
      <w:bookmarkStart w:id="1" w:name="_GoBack"/>
      <w:bookmarkEnd w:id="1"/>
    </w:p>
    <w:p>
      <w:pPr>
        <w:widowControl/>
        <w:numPr>
          <w:ilvl w:val="0"/>
          <w:numId w:val="1"/>
        </w:numPr>
        <w:spacing w:line="360" w:lineRule="auto"/>
        <w:rPr>
          <w:rFonts w:asciiTheme="minorEastAsia" w:hAnsiTheme="minorEastAsia" w:eastAsiaTheme="minorEastAsia" w:cstheme="minorEastAsia"/>
        </w:rPr>
      </w:pPr>
      <w:r>
        <w:rPr>
          <w:rFonts w:eastAsiaTheme="minorEastAsia"/>
          <w:color w:val="000000"/>
          <w:kern w:val="0"/>
          <w:sz w:val="24"/>
          <w:szCs w:val="24"/>
          <w:lang w:bidi="ar"/>
        </w:rPr>
        <w:t>委托理财产品名称</w:t>
      </w:r>
      <w:r>
        <w:rPr>
          <w:rFonts w:hint="eastAsia" w:eastAsiaTheme="minorEastAsia"/>
          <w:color w:val="000000"/>
          <w:kern w:val="0"/>
          <w:sz w:val="24"/>
          <w:szCs w:val="24"/>
          <w:lang w:bidi="ar"/>
        </w:rPr>
        <w:t>：东北证券收益凭证融发-32号（以下简称“融发32号”）</w:t>
      </w:r>
    </w:p>
    <w:p>
      <w:pPr>
        <w:widowControl/>
        <w:numPr>
          <w:ilvl w:val="0"/>
          <w:numId w:val="1"/>
        </w:numPr>
        <w:spacing w:line="360" w:lineRule="auto"/>
        <w:jc w:val="left"/>
        <w:rPr>
          <w:rFonts w:eastAsiaTheme="minorEastAsia"/>
          <w:color w:val="000000"/>
          <w:kern w:val="0"/>
          <w:sz w:val="24"/>
          <w:szCs w:val="24"/>
          <w:lang w:bidi="ar"/>
        </w:rPr>
      </w:pPr>
      <w:r>
        <w:rPr>
          <w:rFonts w:eastAsiaTheme="minorEastAsia"/>
          <w:color w:val="000000"/>
          <w:kern w:val="0"/>
          <w:sz w:val="24"/>
          <w:szCs w:val="24"/>
          <w:lang w:bidi="ar"/>
        </w:rPr>
        <w:t>委托理财期限：</w:t>
      </w:r>
      <w:r>
        <w:rPr>
          <w:rFonts w:hint="eastAsia" w:eastAsiaTheme="minorEastAsia"/>
          <w:color w:val="000000"/>
          <w:kern w:val="0"/>
          <w:sz w:val="24"/>
          <w:szCs w:val="24"/>
          <w:lang w:bidi="ar"/>
        </w:rPr>
        <w:t>90天</w:t>
      </w:r>
    </w:p>
    <w:p>
      <w:pPr>
        <w:widowControl/>
        <w:numPr>
          <w:ilvl w:val="0"/>
          <w:numId w:val="1"/>
        </w:numPr>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widowControl/>
        <w:numPr>
          <w:ilvl w:val="0"/>
          <w:numId w:val="1"/>
        </w:numPr>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别风险提示：尽管本次公司进行现金管理，投资购买的理财品种为安全性高、流动性好、低风险、短期（不超过1年）的理财产品，但金融市场受宏观经济、财政及货币政策的影响较大，该项投资仍会受到市场波动的影响。敬请广大投资者谨慎决策，注意防范投资风险。</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一、本次委托理财概况</w:t>
      </w:r>
    </w:p>
    <w:p>
      <w:pPr>
        <w:widowControl/>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widowControl/>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在不影响公司日常经营，保证公司募集资金投资项目建设和使用的前提下，为更好地发挥资金效益，提高公司资金的使用效率，更好地实现公司现金资产的保值增值，保障公司及股东的利益。</w:t>
      </w:r>
    </w:p>
    <w:p>
      <w:pPr>
        <w:widowControl/>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widowControl/>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widowControl/>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widowControl/>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（三）委托理财产品的基本情况</w:t>
      </w:r>
    </w:p>
    <w:tbl>
      <w:tblPr>
        <w:tblStyle w:val="7"/>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产品期限（天）</w:t>
            </w:r>
          </w:p>
        </w:tc>
        <w:tc>
          <w:tcPr>
            <w:tcW w:w="126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highlight w:val="yellow"/>
              </w:rPr>
            </w:pPr>
            <w:r>
              <w:rPr>
                <w:rFonts w:hint="eastAsia" w:eastAsiaTheme="minorEastAsia"/>
                <w:color w:val="000000"/>
                <w:kern w:val="0"/>
                <w:szCs w:val="21"/>
              </w:rPr>
              <w:t>东北证券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highlight w:val="yellow"/>
              </w:rPr>
            </w:pPr>
            <w:r>
              <w:rPr>
                <w:rFonts w:hint="eastAsia" w:eastAsiaTheme="minorEastAsia"/>
                <w:color w:val="000000"/>
                <w:szCs w:val="21"/>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kern w:val="0"/>
                <w:szCs w:val="21"/>
                <w:highlight w:val="yellow"/>
              </w:rPr>
            </w:pPr>
            <w:r>
              <w:rPr>
                <w:rFonts w:hint="eastAsia" w:eastAsiaTheme="minorEastAsia"/>
                <w:color w:val="000000"/>
                <w:kern w:val="0"/>
                <w:szCs w:val="21"/>
              </w:rPr>
              <w:t>融发32号</w:t>
            </w:r>
          </w:p>
        </w:tc>
        <w:tc>
          <w:tcPr>
            <w:tcW w:w="834"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center"/>
              <w:rPr>
                <w:rFonts w:eastAsiaTheme="minorEastAsia"/>
                <w:color w:val="000000"/>
                <w:szCs w:val="21"/>
                <w:highlight w:val="yellow"/>
              </w:rPr>
            </w:pPr>
            <w:r>
              <w:rPr>
                <w:rFonts w:hint="eastAsia" w:eastAsiaTheme="minorEastAsia"/>
                <w:color w:val="000000"/>
                <w:kern w:val="0"/>
                <w:szCs w:val="21"/>
                <w:lang w:bidi="ar"/>
              </w:rPr>
              <w:t>4,000</w:t>
            </w:r>
          </w:p>
        </w:tc>
        <w:tc>
          <w:tcPr>
            <w:tcW w:w="8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3.40%</w:t>
            </w:r>
          </w:p>
        </w:tc>
        <w:tc>
          <w:tcPr>
            <w:tcW w:w="91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hint="eastAsia" w:eastAsiaTheme="minorEastAsia"/>
                <w:color w:val="000000"/>
                <w:szCs w:val="21"/>
              </w:rPr>
              <w:t>33.53</w:t>
            </w:r>
          </w:p>
        </w:tc>
        <w:tc>
          <w:tcPr>
            <w:tcW w:w="74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highlight w:val="yellow"/>
              </w:rPr>
            </w:pPr>
            <w:r>
              <w:rPr>
                <w:rFonts w:hint="eastAsia" w:eastAsiaTheme="minorEastAsia"/>
                <w:color w:val="000000"/>
                <w:szCs w:val="21"/>
              </w:rPr>
              <w:t>90</w:t>
            </w:r>
          </w:p>
        </w:tc>
        <w:tc>
          <w:tcPr>
            <w:tcW w:w="126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highlight w:val="yellow"/>
              </w:rPr>
            </w:pPr>
            <w:r>
              <w:rPr>
                <w:rFonts w:hint="eastAsia" w:eastAsiaTheme="minorEastAsia"/>
                <w:bCs/>
                <w:color w:val="000000"/>
                <w:kern w:val="0"/>
                <w:szCs w:val="21"/>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eastAsiaTheme="minorEastAsia"/>
                <w:color w:val="000000"/>
                <w:szCs w:val="21"/>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color w:val="000000"/>
                <w:szCs w:val="21"/>
              </w:rPr>
            </w:pPr>
            <w:r>
              <w:rPr>
                <w:rFonts w:eastAsiaTheme="minorEastAsia"/>
                <w:color w:val="000000"/>
                <w:szCs w:val="21"/>
              </w:rPr>
              <w:t>否</w:t>
            </w:r>
          </w:p>
        </w:tc>
      </w:tr>
    </w:tbl>
    <w:p>
      <w:pPr>
        <w:widowControl/>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widowControl/>
        <w:spacing w:before="156" w:beforeLines="50" w:after="156" w:afterLines="50" w:line="360" w:lineRule="auto"/>
        <w:ind w:firstLine="480" w:firstLineChars="200"/>
        <w:jc w:val="left"/>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rPr>
        <w:t>《上市公司监管指引第2号--上市公司募集资金管理和使用的监管要求》</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rPr>
        <w:t>二、</w:t>
      </w:r>
      <w:r>
        <w:rPr>
          <w:rFonts w:hint="eastAsia" w:asciiTheme="minorEastAsia" w:hAnsiTheme="minorEastAsia" w:eastAsiaTheme="minorEastAsia" w:cstheme="minorEastAsia"/>
          <w:b/>
          <w:bCs/>
          <w:color w:val="000000"/>
          <w:sz w:val="24"/>
          <w:szCs w:val="24"/>
        </w:rPr>
        <w:t>本次委托理财的具体情况</w:t>
      </w:r>
    </w:p>
    <w:p>
      <w:pPr>
        <w:widowControl/>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（一）委托理财合同主要条款</w:t>
      </w:r>
    </w:p>
    <w:p>
      <w:pPr>
        <w:widowControl/>
        <w:spacing w:line="360" w:lineRule="auto"/>
        <w:ind w:firstLine="420" w:firstLineChars="175"/>
        <w:jc w:val="left"/>
        <w:rPr>
          <w:rFonts w:eastAsiaTheme="minorEastAsia"/>
          <w:bCs/>
          <w:color w:val="000000"/>
          <w:sz w:val="24"/>
          <w:szCs w:val="24"/>
        </w:rPr>
      </w:pPr>
      <w:r>
        <w:rPr>
          <w:rFonts w:hint="eastAsia" w:eastAsiaTheme="minorEastAsia"/>
          <w:bCs/>
          <w:color w:val="000000"/>
          <w:sz w:val="24"/>
          <w:szCs w:val="24"/>
        </w:rPr>
        <w:t>1、融发32号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东北证券收益凭证-融发32号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SWT666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202</w:t>
            </w:r>
            <w:r>
              <w:rPr>
                <w:rFonts w:hint="eastAsia" w:eastAsiaTheme="minorEastAsia"/>
                <w:bCs/>
                <w:color w:val="000000"/>
                <w:kern w:val="0"/>
                <w:szCs w:val="21"/>
              </w:rPr>
              <w:t>2</w:t>
            </w:r>
            <w:r>
              <w:rPr>
                <w:rFonts w:eastAsiaTheme="minorEastAsia"/>
                <w:bCs/>
                <w:color w:val="000000"/>
                <w:kern w:val="0"/>
                <w:szCs w:val="21"/>
              </w:rPr>
              <w:t>年</w:t>
            </w:r>
            <w:r>
              <w:rPr>
                <w:rFonts w:hint="eastAsia" w:eastAsiaTheme="minorEastAsia"/>
                <w:bCs/>
                <w:color w:val="000000"/>
                <w:kern w:val="0"/>
                <w:szCs w:val="21"/>
              </w:rPr>
              <w:t>9</w:t>
            </w:r>
            <w:r>
              <w:rPr>
                <w:rFonts w:eastAsiaTheme="minorEastAsia"/>
                <w:bCs/>
                <w:color w:val="000000"/>
                <w:kern w:val="0"/>
                <w:szCs w:val="21"/>
              </w:rPr>
              <w:t>月</w:t>
            </w:r>
            <w:r>
              <w:rPr>
                <w:rFonts w:hint="eastAsia" w:eastAsiaTheme="minorEastAsia"/>
                <w:bCs/>
                <w:color w:val="000000"/>
                <w:kern w:val="0"/>
                <w:szCs w:val="21"/>
              </w:rPr>
              <w:t>6</w:t>
            </w:r>
            <w:r>
              <w:rPr>
                <w:rFonts w:eastAsiaTheme="minorEastAsia"/>
                <w:bCs/>
                <w:color w:val="000000"/>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2022年12月4日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5530" w:type="dxa"/>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202</w:t>
            </w:r>
            <w:r>
              <w:rPr>
                <w:rFonts w:hint="eastAsia" w:eastAsiaTheme="minorEastAsia"/>
                <w:bCs/>
                <w:color w:val="000000"/>
                <w:kern w:val="0"/>
                <w:szCs w:val="21"/>
              </w:rPr>
              <w:t>2</w:t>
            </w:r>
            <w:r>
              <w:rPr>
                <w:rFonts w:eastAsiaTheme="minorEastAsia"/>
                <w:bCs/>
                <w:color w:val="000000"/>
                <w:kern w:val="0"/>
                <w:szCs w:val="21"/>
              </w:rPr>
              <w:t>年</w:t>
            </w:r>
            <w:r>
              <w:rPr>
                <w:rFonts w:hint="eastAsia" w:eastAsiaTheme="minorEastAsia"/>
                <w:bCs/>
                <w:color w:val="000000"/>
                <w:kern w:val="0"/>
                <w:szCs w:val="21"/>
              </w:rPr>
              <w:t>12</w:t>
            </w:r>
            <w:r>
              <w:rPr>
                <w:rFonts w:eastAsiaTheme="minorEastAsia"/>
                <w:bCs/>
                <w:color w:val="000000"/>
                <w:kern w:val="0"/>
                <w:szCs w:val="21"/>
              </w:rPr>
              <w:t>月</w:t>
            </w:r>
            <w:r>
              <w:rPr>
                <w:rFonts w:hint="eastAsia" w:eastAsiaTheme="minorEastAsia"/>
                <w:bCs/>
                <w:color w:val="000000"/>
                <w:kern w:val="0"/>
                <w:szCs w:val="21"/>
              </w:rPr>
              <w:t>5</w:t>
            </w:r>
            <w:r>
              <w:rPr>
                <w:rFonts w:eastAsiaTheme="minorEastAsia"/>
                <w:bCs/>
                <w:color w:val="000000"/>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autoSpaceDE w:val="0"/>
              <w:autoSpaceDN w:val="0"/>
              <w:adjustRightInd w:val="0"/>
              <w:jc w:val="left"/>
              <w:rPr>
                <w:bCs/>
                <w:color w:val="000000"/>
                <w:kern w:val="0"/>
                <w:szCs w:val="21"/>
              </w:rPr>
            </w:pPr>
            <w:r>
              <w:rPr>
                <w:rFonts w:hint="eastAsia"/>
                <w:bCs/>
                <w:color w:val="000000"/>
                <w:kern w:val="0"/>
                <w:szCs w:val="21"/>
              </w:rPr>
              <w:t>募集资金用于补充发行人营运资金，保证经营活动顺利进行。</w:t>
            </w:r>
          </w:p>
        </w:tc>
      </w:tr>
    </w:tbl>
    <w:p>
      <w:pPr>
        <w:widowControl/>
        <w:spacing w:line="360" w:lineRule="auto"/>
        <w:jc w:val="left"/>
        <w:rPr>
          <w:rFonts w:eastAsiaTheme="minorEastAsia"/>
          <w:b/>
          <w:color w:val="000000"/>
          <w:sz w:val="24"/>
          <w:szCs w:val="24"/>
        </w:rPr>
      </w:pPr>
    </w:p>
    <w:p>
      <w:pPr>
        <w:widowControl/>
        <w:spacing w:before="156" w:before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widowControl/>
        <w:spacing w:line="360" w:lineRule="auto"/>
        <w:ind w:firstLine="420" w:firstLineChars="175"/>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widowControl/>
        <w:spacing w:line="360" w:lineRule="auto"/>
        <w:ind w:firstLine="420" w:firstLineChars="175"/>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三、</w:t>
      </w:r>
      <w:r>
        <w:rPr>
          <w:rFonts w:hint="eastAsia" w:asciiTheme="minorEastAsia" w:hAnsiTheme="minorEastAsia" w:eastAsiaTheme="minorEastAsia" w:cstheme="minorEastAsia"/>
          <w:b/>
          <w:bCs/>
          <w:color w:val="000000"/>
          <w:sz w:val="24"/>
          <w:szCs w:val="24"/>
        </w:rPr>
        <w:t>委托理财受托方的情况</w:t>
      </w:r>
    </w:p>
    <w:p>
      <w:pPr>
        <w:widowControl/>
        <w:numPr>
          <w:ilvl w:val="0"/>
          <w:numId w:val="2"/>
        </w:numPr>
        <w:spacing w:line="360" w:lineRule="auto"/>
        <w:ind w:left="368" w:leftChars="175"/>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受托方的基本情况</w:t>
      </w:r>
    </w:p>
    <w:p>
      <w:pPr>
        <w:widowControl/>
        <w:spacing w:before="156" w:beforeLines="50" w:after="156" w:afterLines="50" w:line="360" w:lineRule="auto"/>
        <w:ind w:firstLine="420"/>
        <w:rPr>
          <w:rFonts w:eastAsiaTheme="minorEastAsia"/>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rPr>
        <w:t>方东北证券为深圳证券交易所上市公司（公司代码：000686）</w:t>
      </w:r>
      <w:r>
        <w:rPr>
          <w:rFonts w:eastAsiaTheme="minorEastAsia"/>
          <w:color w:val="000000"/>
          <w:sz w:val="24"/>
          <w:szCs w:val="24"/>
        </w:rPr>
        <w:t>与公司、公司控股股东及其一致行动人、实际控制人之间不存在产权、业务、资产、债权债务、人员等关联关系。</w:t>
      </w:r>
    </w:p>
    <w:p>
      <w:pPr>
        <w:widowControl/>
        <w:numPr>
          <w:ilvl w:val="0"/>
          <w:numId w:val="2"/>
        </w:numPr>
        <w:spacing w:line="360" w:lineRule="auto"/>
        <w:ind w:left="368" w:leftChars="175"/>
        <w:jc w:val="left"/>
        <w:rPr>
          <w:rFonts w:asciiTheme="minorEastAsia" w:hAnsiTheme="minorEastAsia" w:eastAsiaTheme="minorEastAsia" w:cstheme="minorEastAsia"/>
          <w:b/>
          <w:bCs/>
          <w:color w:val="000000"/>
          <w:sz w:val="24"/>
          <w:szCs w:val="24"/>
        </w:rPr>
      </w:pPr>
      <w:r>
        <w:rPr>
          <w:rFonts w:asciiTheme="minorEastAsia" w:hAnsiTheme="minorEastAsia" w:eastAsiaTheme="minorEastAsia" w:cstheme="minorEastAsia"/>
          <w:b/>
          <w:bCs/>
          <w:color w:val="000000"/>
          <w:sz w:val="24"/>
          <w:szCs w:val="24"/>
        </w:rPr>
        <w:t>公司董事会尽职调查情况</w:t>
      </w:r>
    </w:p>
    <w:p>
      <w:pPr>
        <w:widowControl/>
        <w:spacing w:line="360" w:lineRule="auto"/>
        <w:ind w:firstLine="420" w:firstLineChars="175"/>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公司董事会授权公司董事长在额度范围和时效内行使该项投资决策权并签署相关合同文件，并由公司管理层组织相关部门实施。公司</w:t>
      </w:r>
      <w:r>
        <w:rPr>
          <w:rFonts w:asciiTheme="minorEastAsia" w:hAnsiTheme="minorEastAsia" w:eastAsiaTheme="minorEastAsia" w:cstheme="minorEastAsia"/>
          <w:color w:val="000000"/>
          <w:sz w:val="24"/>
          <w:szCs w:val="24"/>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rPr>
        <w:t>现金管理</w:t>
      </w:r>
      <w:r>
        <w:rPr>
          <w:rFonts w:asciiTheme="minorEastAsia" w:hAnsiTheme="minorEastAsia" w:eastAsiaTheme="minorEastAsia" w:cstheme="minorEastAsia"/>
          <w:color w:val="000000"/>
          <w:sz w:val="24"/>
          <w:szCs w:val="24"/>
        </w:rPr>
        <w:t>业务开展的具体情况。</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rPr>
        <w:t>四、</w:t>
      </w:r>
      <w:r>
        <w:rPr>
          <w:rFonts w:hint="eastAsia" w:asciiTheme="minorEastAsia" w:hAnsiTheme="minorEastAsia" w:eastAsiaTheme="minorEastAsia" w:cstheme="minorEastAsia"/>
          <w:b/>
          <w:bCs/>
          <w:color w:val="000000"/>
          <w:sz w:val="24"/>
          <w:szCs w:val="24"/>
        </w:rPr>
        <w:t>对公司的影响</w:t>
      </w:r>
    </w:p>
    <w:p>
      <w:pPr>
        <w:widowControl/>
        <w:spacing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rPr>
              <w:t>21</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rPr>
              <w:t>2</w:t>
            </w:r>
            <w:r>
              <w:rPr>
                <w:rFonts w:eastAsiaTheme="minorEastAsia"/>
                <w:b/>
                <w:color w:val="000000"/>
                <w:kern w:val="0"/>
                <w:szCs w:val="21"/>
              </w:rPr>
              <w:t>年</w:t>
            </w:r>
            <w:r>
              <w:rPr>
                <w:rFonts w:hint="eastAsia" w:eastAsiaTheme="minorEastAsia"/>
                <w:b/>
                <w:color w:val="000000"/>
                <w:kern w:val="0"/>
                <w:szCs w:val="21"/>
              </w:rPr>
              <w:t>6</w:t>
            </w:r>
            <w:r>
              <w:rPr>
                <w:rFonts w:eastAsiaTheme="minorEastAsia"/>
                <w:b/>
                <w:color w:val="000000"/>
                <w:kern w:val="0"/>
                <w:szCs w:val="21"/>
              </w:rPr>
              <w:t>月</w:t>
            </w:r>
            <w:r>
              <w:rPr>
                <w:rFonts w:hint="eastAsia" w:eastAsiaTheme="minorEastAsia"/>
                <w:b/>
                <w:color w:val="000000"/>
                <w:kern w:val="0"/>
                <w:szCs w:val="21"/>
              </w:rPr>
              <w:t>30</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1,709,727,123.97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390,079,985.76</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bookmarkStart w:id="0" w:name="OLE_LINK1"/>
            <w:r>
              <w:t>1,319,647,138.21</w:t>
            </w:r>
            <w:bookmarkEnd w:id="0"/>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-146,924,746.89</w:t>
            </w:r>
          </w:p>
        </w:tc>
      </w:tr>
    </w:tbl>
    <w:p>
      <w:pPr>
        <w:widowControl/>
        <w:spacing w:line="360" w:lineRule="auto"/>
        <w:ind w:firstLine="420" w:firstLineChars="175"/>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6</w:t>
      </w:r>
      <w:r>
        <w:rPr>
          <w:rFonts w:eastAsiaTheme="minorEastAsia"/>
          <w:color w:val="000000"/>
          <w:sz w:val="24"/>
          <w:szCs w:val="24"/>
        </w:rPr>
        <w:t>月</w:t>
      </w:r>
      <w:r>
        <w:rPr>
          <w:rFonts w:hint="eastAsia" w:eastAsiaTheme="minorEastAsia"/>
          <w:color w:val="000000"/>
          <w:sz w:val="24"/>
          <w:szCs w:val="24"/>
        </w:rPr>
        <w:t>30</w:t>
      </w:r>
      <w:r>
        <w:rPr>
          <w:rFonts w:eastAsiaTheme="minorEastAsia"/>
          <w:color w:val="000000"/>
          <w:sz w:val="24"/>
          <w:szCs w:val="24"/>
        </w:rPr>
        <w:t>日，公司资产负债率为</w:t>
      </w:r>
      <w:r>
        <w:rPr>
          <w:rFonts w:hint="eastAsia" w:eastAsiaTheme="minorEastAsia"/>
          <w:color w:val="000000"/>
          <w:sz w:val="24"/>
          <w:szCs w:val="24"/>
        </w:rPr>
        <w:t>22.82</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widowControl/>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rPr>
        <w:t>五、风险提示</w:t>
      </w:r>
    </w:p>
    <w:p>
      <w:pPr>
        <w:widowControl/>
        <w:spacing w:line="360" w:lineRule="auto"/>
        <w:ind w:firstLine="420" w:firstLineChars="175"/>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rPr>
        <w:t>六、</w:t>
      </w:r>
      <w:r>
        <w:rPr>
          <w:rFonts w:asciiTheme="minorEastAsia" w:hAnsiTheme="minorEastAsia" w:eastAsiaTheme="minorEastAsia" w:cstheme="minorEastAsia"/>
          <w:b/>
          <w:bCs/>
          <w:color w:val="000000"/>
          <w:sz w:val="24"/>
          <w:szCs w:val="24"/>
        </w:rPr>
        <w:t>决策程序的履行及监事会、独立董事、保荐机构意见</w:t>
      </w:r>
    </w:p>
    <w:p>
      <w:pPr>
        <w:widowControl/>
        <w:spacing w:line="360" w:lineRule="auto"/>
        <w:ind w:firstLine="420" w:firstLineChars="175"/>
        <w:rPr>
          <w:rFonts w:eastAsiaTheme="minorEastAsia"/>
          <w:color w:val="000000"/>
          <w:sz w:val="24"/>
          <w:szCs w:val="24"/>
        </w:rPr>
      </w:pPr>
      <w:r>
        <w:rPr>
          <w:rFonts w:eastAsiaTheme="minorEastAsia"/>
          <w:color w:val="000000"/>
          <w:kern w:val="0"/>
          <w:sz w:val="24"/>
          <w:szCs w:val="24"/>
          <w:lang w:bidi="ar"/>
        </w:rPr>
        <w:t>公司于202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widowControl/>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七、</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ind w:left="368" w:leftChars="175"/>
        <w:jc w:val="right"/>
        <w:rPr>
          <w:rFonts w:ascii="宋体" w:hAnsi="宋体"/>
          <w:bCs/>
          <w:szCs w:val="21"/>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实际收益</w:t>
            </w:r>
          </w:p>
        </w:tc>
        <w:tc>
          <w:tcPr>
            <w:tcW w:w="1449" w:type="dxa"/>
          </w:tcPr>
          <w:p>
            <w:pPr>
              <w:widowControl/>
              <w:jc w:val="center"/>
              <w:textAlignment w:val="center"/>
              <w:rPr>
                <w:color w:val="000000"/>
                <w:kern w:val="0"/>
                <w:szCs w:val="21"/>
                <w:lang w:bidi="ar"/>
              </w:rPr>
            </w:pPr>
            <w:r>
              <w:rPr>
                <w:color w:val="000000"/>
                <w:kern w:val="0"/>
                <w:szCs w:val="21"/>
                <w:lang w:bidi="ar"/>
              </w:rPr>
              <w:t>尚未收回</w:t>
            </w:r>
          </w:p>
          <w:p>
            <w:pPr>
              <w:widowControl/>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1</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color w:val="000000"/>
                <w:kern w:val="0"/>
                <w:szCs w:val="21"/>
                <w:lang w:bidi="ar"/>
              </w:rPr>
              <w:t>20,000</w:t>
            </w:r>
            <w:r>
              <w:rPr>
                <w:rFonts w:hint="eastAsia"/>
                <w:color w:val="000000"/>
                <w:kern w:val="0"/>
                <w:szCs w:val="21"/>
                <w:lang w:bidi="ar"/>
              </w:rPr>
              <w:t>.00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20,000.00</w:t>
            </w:r>
          </w:p>
        </w:tc>
        <w:tc>
          <w:tcPr>
            <w:tcW w:w="1378"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892.63</w:t>
            </w:r>
          </w:p>
        </w:tc>
        <w:tc>
          <w:tcPr>
            <w:tcW w:w="1449" w:type="dxa"/>
            <w:vAlign w:val="center"/>
          </w:tcPr>
          <w:p>
            <w:pPr>
              <w:widowControl/>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widowControl/>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3</w:t>
            </w:r>
          </w:p>
        </w:tc>
        <w:tc>
          <w:tcPr>
            <w:tcW w:w="1559"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3,000.00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3,000.00</w:t>
            </w:r>
          </w:p>
        </w:tc>
        <w:tc>
          <w:tcPr>
            <w:tcW w:w="1378"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21.80</w:t>
            </w:r>
          </w:p>
        </w:tc>
        <w:tc>
          <w:tcPr>
            <w:tcW w:w="1449" w:type="dxa"/>
            <w:vAlign w:val="center"/>
          </w:tcPr>
          <w:p>
            <w:pPr>
              <w:widowControl/>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4</w:t>
            </w:r>
          </w:p>
        </w:tc>
        <w:tc>
          <w:tcPr>
            <w:tcW w:w="1559"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银行理财产品</w:t>
            </w:r>
          </w:p>
        </w:tc>
        <w:tc>
          <w:tcPr>
            <w:tcW w:w="1560"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4,000.00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4,000.00</w:t>
            </w:r>
          </w:p>
        </w:tc>
        <w:tc>
          <w:tcPr>
            <w:tcW w:w="1378"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32.79</w:t>
            </w:r>
          </w:p>
        </w:tc>
        <w:tc>
          <w:tcPr>
            <w:tcW w:w="1449" w:type="dxa"/>
            <w:vAlign w:val="center"/>
          </w:tcPr>
          <w:p>
            <w:pPr>
              <w:widowControl/>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5</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7,000.00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7,000.00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118.13</w:t>
            </w:r>
          </w:p>
        </w:tc>
        <w:tc>
          <w:tcPr>
            <w:tcW w:w="1449" w:type="dxa"/>
            <w:vAlign w:val="center"/>
          </w:tcPr>
          <w:p>
            <w:pPr>
              <w:widowControl/>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6</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20,000.00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449" w:type="dxa"/>
            <w:vAlign w:val="center"/>
          </w:tcPr>
          <w:p>
            <w:pPr>
              <w:widowControl/>
              <w:jc w:val="right"/>
              <w:textAlignment w:val="center"/>
              <w:rPr>
                <w:kern w:val="0"/>
                <w:szCs w:val="21"/>
                <w:lang w:bidi="ar"/>
              </w:rPr>
            </w:pPr>
            <w:r>
              <w:rPr>
                <w:rFonts w:hint="eastAsia"/>
                <w:kern w:val="0"/>
                <w:szCs w:val="21"/>
                <w:lang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7</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7,000.00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7,000.00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76.52</w:t>
            </w:r>
          </w:p>
        </w:tc>
        <w:tc>
          <w:tcPr>
            <w:tcW w:w="1449" w:type="dxa"/>
            <w:vAlign w:val="center"/>
          </w:tcPr>
          <w:p>
            <w:pPr>
              <w:widowControl/>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8</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6,500.00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6,500.00</w:t>
            </w:r>
          </w:p>
        </w:tc>
        <w:tc>
          <w:tcPr>
            <w:tcW w:w="1378" w:type="dxa"/>
            <w:shd w:val="clear" w:color="auto" w:fill="auto"/>
            <w:vAlign w:val="center"/>
          </w:tcPr>
          <w:p>
            <w:pPr>
              <w:widowControl/>
              <w:jc w:val="right"/>
              <w:textAlignment w:val="center"/>
              <w:rPr>
                <w:kern w:val="0"/>
                <w:szCs w:val="21"/>
                <w:highlight w:val="yellow"/>
                <w:lang w:bidi="ar"/>
              </w:rPr>
            </w:pPr>
            <w:r>
              <w:rPr>
                <w:rFonts w:hint="eastAsia"/>
                <w:kern w:val="0"/>
                <w:szCs w:val="21"/>
                <w:lang w:bidi="ar"/>
              </w:rPr>
              <w:t>96.16</w:t>
            </w:r>
          </w:p>
        </w:tc>
        <w:tc>
          <w:tcPr>
            <w:tcW w:w="1449" w:type="dxa"/>
            <w:vAlign w:val="center"/>
          </w:tcPr>
          <w:p>
            <w:pPr>
              <w:widowControl/>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9</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92.05</w:t>
            </w:r>
          </w:p>
        </w:tc>
        <w:tc>
          <w:tcPr>
            <w:tcW w:w="1449" w:type="dxa"/>
            <w:vAlign w:val="center"/>
          </w:tcPr>
          <w:p>
            <w:pPr>
              <w:widowControl/>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10</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7,500.00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449" w:type="dxa"/>
            <w:vAlign w:val="center"/>
          </w:tcPr>
          <w:p>
            <w:pPr>
              <w:widowControl/>
              <w:jc w:val="right"/>
              <w:textAlignment w:val="center"/>
              <w:rPr>
                <w:kern w:val="0"/>
                <w:szCs w:val="21"/>
                <w:lang w:bidi="ar"/>
              </w:rPr>
            </w:pPr>
            <w:r>
              <w:rPr>
                <w:rFonts w:hint="eastAsia"/>
                <w:kern w:val="0"/>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11</w:t>
            </w:r>
          </w:p>
        </w:tc>
        <w:tc>
          <w:tcPr>
            <w:tcW w:w="1559" w:type="dxa"/>
            <w:shd w:val="clear" w:color="auto" w:fill="auto"/>
            <w:vAlign w:val="center"/>
          </w:tcPr>
          <w:p>
            <w:pPr>
              <w:widowControl/>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jc w:val="right"/>
              <w:textAlignment w:val="center"/>
              <w:rPr>
                <w:kern w:val="0"/>
                <w:szCs w:val="21"/>
                <w:highlight w:val="yellow"/>
                <w:lang w:bidi="ar"/>
              </w:rPr>
            </w:pPr>
            <w:r>
              <w:rPr>
                <w:rFonts w:hint="eastAsia"/>
                <w:kern w:val="0"/>
                <w:szCs w:val="21"/>
                <w:lang w:bidi="ar"/>
              </w:rPr>
              <w:t>2,500.00</w:t>
            </w:r>
          </w:p>
        </w:tc>
        <w:tc>
          <w:tcPr>
            <w:tcW w:w="1701" w:type="dxa"/>
            <w:shd w:val="clear" w:color="auto" w:fill="auto"/>
            <w:vAlign w:val="center"/>
          </w:tcPr>
          <w:p>
            <w:pPr>
              <w:widowControl/>
              <w:jc w:val="right"/>
              <w:textAlignment w:val="center"/>
              <w:rPr>
                <w:kern w:val="0"/>
                <w:szCs w:val="21"/>
                <w:highlight w:val="yellow"/>
                <w:lang w:bidi="ar"/>
              </w:rPr>
            </w:pPr>
            <w:r>
              <w:rPr>
                <w:rFonts w:hint="eastAsia"/>
                <w:kern w:val="0"/>
                <w:szCs w:val="21"/>
                <w:lang w:bidi="ar"/>
              </w:rPr>
              <w:t>2,500.00</w:t>
            </w:r>
          </w:p>
        </w:tc>
        <w:tc>
          <w:tcPr>
            <w:tcW w:w="1378" w:type="dxa"/>
            <w:shd w:val="clear" w:color="auto" w:fill="auto"/>
            <w:vAlign w:val="center"/>
          </w:tcPr>
          <w:p>
            <w:pPr>
              <w:widowControl/>
              <w:jc w:val="right"/>
              <w:textAlignment w:val="center"/>
              <w:rPr>
                <w:kern w:val="0"/>
                <w:szCs w:val="21"/>
                <w:highlight w:val="yellow"/>
                <w:lang w:bidi="ar"/>
              </w:rPr>
            </w:pPr>
            <w:r>
              <w:rPr>
                <w:rFonts w:hint="eastAsia" w:eastAsiaTheme="minorEastAsia"/>
                <w:color w:val="000000"/>
                <w:szCs w:val="21"/>
              </w:rPr>
              <w:t>18.67</w:t>
            </w:r>
          </w:p>
        </w:tc>
        <w:tc>
          <w:tcPr>
            <w:tcW w:w="1449" w:type="dxa"/>
            <w:vAlign w:val="center"/>
          </w:tcPr>
          <w:p>
            <w:pPr>
              <w:widowControl/>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12</w:t>
            </w:r>
          </w:p>
        </w:tc>
        <w:tc>
          <w:tcPr>
            <w:tcW w:w="1559" w:type="dxa"/>
            <w:shd w:val="clear" w:color="auto" w:fill="auto"/>
            <w:vAlign w:val="center"/>
          </w:tcPr>
          <w:p>
            <w:pPr>
              <w:widowControl/>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jc w:val="right"/>
              <w:textAlignment w:val="center"/>
              <w:rPr>
                <w:kern w:val="0"/>
                <w:szCs w:val="21"/>
                <w:highlight w:val="yellow"/>
                <w:lang w:bidi="ar"/>
              </w:rPr>
            </w:pPr>
            <w:r>
              <w:rPr>
                <w:rFonts w:hint="eastAsia"/>
                <w:kern w:val="0"/>
                <w:szCs w:val="21"/>
                <w:lang w:bidi="ar"/>
              </w:rPr>
              <w:t>3,500.00</w:t>
            </w:r>
          </w:p>
        </w:tc>
        <w:tc>
          <w:tcPr>
            <w:tcW w:w="1701" w:type="dxa"/>
            <w:shd w:val="clear" w:color="auto" w:fill="auto"/>
            <w:vAlign w:val="center"/>
          </w:tcPr>
          <w:p>
            <w:pPr>
              <w:widowControl/>
              <w:jc w:val="right"/>
              <w:textAlignment w:val="center"/>
              <w:rPr>
                <w:kern w:val="0"/>
                <w:szCs w:val="21"/>
                <w:highlight w:val="yellow"/>
                <w:lang w:bidi="ar"/>
              </w:rPr>
            </w:pPr>
            <w:r>
              <w:rPr>
                <w:rFonts w:hint="eastAsia"/>
                <w:kern w:val="0"/>
                <w:szCs w:val="21"/>
                <w:lang w:bidi="ar"/>
              </w:rPr>
              <w:t>3,500.00</w:t>
            </w:r>
          </w:p>
        </w:tc>
        <w:tc>
          <w:tcPr>
            <w:tcW w:w="1378" w:type="dxa"/>
            <w:shd w:val="clear" w:color="auto" w:fill="auto"/>
            <w:vAlign w:val="center"/>
          </w:tcPr>
          <w:p>
            <w:pPr>
              <w:widowControl/>
              <w:jc w:val="right"/>
              <w:textAlignment w:val="center"/>
              <w:rPr>
                <w:kern w:val="0"/>
                <w:szCs w:val="21"/>
                <w:highlight w:val="yellow"/>
                <w:lang w:bidi="ar"/>
              </w:rPr>
            </w:pPr>
            <w:r>
              <w:rPr>
                <w:rFonts w:hint="eastAsia" w:eastAsiaTheme="minorEastAsia"/>
                <w:color w:val="000000"/>
                <w:szCs w:val="21"/>
              </w:rPr>
              <w:t>26.61</w:t>
            </w:r>
          </w:p>
        </w:tc>
        <w:tc>
          <w:tcPr>
            <w:tcW w:w="1449" w:type="dxa"/>
            <w:vAlign w:val="center"/>
          </w:tcPr>
          <w:p>
            <w:pPr>
              <w:widowControl/>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13</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449" w:type="dxa"/>
            <w:vAlign w:val="center"/>
          </w:tcPr>
          <w:p>
            <w:pPr>
              <w:widowControl/>
              <w:jc w:val="right"/>
              <w:textAlignment w:val="center"/>
              <w:rPr>
                <w:kern w:val="0"/>
                <w:szCs w:val="21"/>
                <w:lang w:bidi="ar"/>
              </w:rPr>
            </w:pPr>
            <w:r>
              <w:rPr>
                <w:rFonts w:hint="eastAsia"/>
                <w:kern w:val="0"/>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14</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银行理财产品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449" w:type="dxa"/>
            <w:vAlign w:val="center"/>
          </w:tcPr>
          <w:p>
            <w:pPr>
              <w:widowControl/>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kern w:val="0"/>
                <w:szCs w:val="21"/>
                <w:lang w:bidi="ar"/>
              </w:rPr>
            </w:pPr>
            <w:r>
              <w:rPr>
                <w:rFonts w:hint="eastAsia"/>
                <w:kern w:val="0"/>
                <w:szCs w:val="21"/>
                <w:lang w:bidi="ar"/>
              </w:rPr>
              <w:t>15</w:t>
            </w:r>
          </w:p>
        </w:tc>
        <w:tc>
          <w:tcPr>
            <w:tcW w:w="1559" w:type="dxa"/>
            <w:shd w:val="clear" w:color="auto" w:fill="auto"/>
            <w:vAlign w:val="center"/>
          </w:tcPr>
          <w:p>
            <w:pPr>
              <w:widowControl/>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jc w:val="right"/>
              <w:textAlignment w:val="center"/>
              <w:rPr>
                <w:kern w:val="0"/>
                <w:szCs w:val="21"/>
                <w:lang w:bidi="ar"/>
              </w:rPr>
            </w:pPr>
            <w:r>
              <w:rPr>
                <w:rFonts w:hint="eastAsia"/>
                <w:kern w:val="0"/>
                <w:szCs w:val="21"/>
                <w:lang w:bidi="ar"/>
              </w:rPr>
              <w:t>4,000.00</w:t>
            </w:r>
          </w:p>
        </w:tc>
        <w:tc>
          <w:tcPr>
            <w:tcW w:w="1701"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jc w:val="right"/>
              <w:textAlignment w:val="center"/>
              <w:rPr>
                <w:kern w:val="0"/>
                <w:szCs w:val="21"/>
                <w:lang w:bidi="ar"/>
              </w:rPr>
            </w:pPr>
            <w:r>
              <w:rPr>
                <w:rFonts w:hint="eastAsia"/>
                <w:kern w:val="0"/>
                <w:szCs w:val="21"/>
                <w:lang w:bidi="ar"/>
              </w:rPr>
              <w:t>0.00</w:t>
            </w:r>
          </w:p>
        </w:tc>
        <w:tc>
          <w:tcPr>
            <w:tcW w:w="1449" w:type="dxa"/>
            <w:vAlign w:val="center"/>
          </w:tcPr>
          <w:p>
            <w:pPr>
              <w:widowControl/>
              <w:jc w:val="right"/>
              <w:textAlignment w:val="center"/>
              <w:rPr>
                <w:kern w:val="0"/>
                <w:szCs w:val="21"/>
                <w:lang w:bidi="ar"/>
              </w:rPr>
            </w:pPr>
            <w:r>
              <w:rPr>
                <w:rFonts w:hint="eastAsia"/>
                <w:kern w:val="0"/>
                <w:szCs w:val="21"/>
                <w:lang w:bidi="ar"/>
              </w:rPr>
              <w:t>4,000.00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b/>
                <w:bCs/>
                <w:color w:val="000000"/>
                <w:kern w:val="0"/>
                <w:szCs w:val="21"/>
                <w:lang w:bidi="ar"/>
              </w:rPr>
            </w:pPr>
            <w:r>
              <w:rPr>
                <w:rFonts w:hint="eastAsia"/>
                <w:b/>
                <w:bCs/>
                <w:color w:val="000000"/>
                <w:kern w:val="0"/>
                <w:szCs w:val="21"/>
                <w:lang w:bidi="ar"/>
              </w:rPr>
              <w:t>106,000.00</w:t>
            </w:r>
          </w:p>
        </w:tc>
        <w:tc>
          <w:tcPr>
            <w:tcW w:w="1701" w:type="dxa"/>
            <w:tcBorders>
              <w:bottom w:val="thinThickSmallGap" w:color="auto" w:sz="24" w:space="0"/>
            </w:tcBorders>
            <w:shd w:val="clear" w:color="auto" w:fill="auto"/>
            <w:vAlign w:val="center"/>
          </w:tcPr>
          <w:p>
            <w:pPr>
              <w:widowControl/>
              <w:jc w:val="right"/>
              <w:textAlignment w:val="center"/>
              <w:rPr>
                <w:b/>
                <w:bCs/>
                <w:color w:val="000000"/>
                <w:kern w:val="0"/>
                <w:szCs w:val="21"/>
                <w:lang w:bidi="ar"/>
              </w:rPr>
            </w:pPr>
            <w:r>
              <w:rPr>
                <w:rFonts w:hint="eastAsia"/>
                <w:b/>
                <w:bCs/>
                <w:color w:val="000000"/>
                <w:kern w:val="0"/>
                <w:szCs w:val="21"/>
                <w:lang w:bidi="ar"/>
              </w:rPr>
              <w:t>67,500.00</w:t>
            </w:r>
          </w:p>
        </w:tc>
        <w:tc>
          <w:tcPr>
            <w:tcW w:w="1378" w:type="dxa"/>
            <w:tcBorders>
              <w:bottom w:val="thinThickSmallGap" w:color="auto" w:sz="24" w:space="0"/>
            </w:tcBorders>
            <w:shd w:val="clear" w:color="auto" w:fill="auto"/>
            <w:vAlign w:val="center"/>
          </w:tcPr>
          <w:p>
            <w:pPr>
              <w:widowControl/>
              <w:jc w:val="right"/>
              <w:textAlignment w:val="center"/>
              <w:rPr>
                <w:rFonts w:ascii="宋体" w:hAnsi="宋体" w:cs="宋体"/>
                <w:color w:val="000000"/>
                <w:sz w:val="22"/>
                <w:szCs w:val="22"/>
              </w:rPr>
            </w:pPr>
            <w:r>
              <w:rPr>
                <w:rFonts w:hint="eastAsia"/>
                <w:b/>
                <w:bCs/>
                <w:color w:val="000000"/>
                <w:kern w:val="0"/>
                <w:szCs w:val="21"/>
                <w:lang w:bidi="ar"/>
              </w:rPr>
              <w:t>1,730.71</w:t>
            </w:r>
          </w:p>
        </w:tc>
        <w:tc>
          <w:tcPr>
            <w:tcW w:w="1449" w:type="dxa"/>
            <w:tcBorders>
              <w:bottom w:val="thinThickSmallGap" w:color="auto" w:sz="24" w:space="0"/>
            </w:tcBorders>
            <w:vAlign w:val="center"/>
          </w:tcPr>
          <w:p>
            <w:pPr>
              <w:widowControl/>
              <w:jc w:val="right"/>
              <w:textAlignment w:val="center"/>
              <w:rPr>
                <w:b/>
                <w:bCs/>
                <w:color w:val="000000"/>
                <w:kern w:val="0"/>
                <w:szCs w:val="21"/>
                <w:highlight w:val="yellow"/>
                <w:lang w:bidi="ar"/>
              </w:rPr>
            </w:pPr>
            <w:r>
              <w:rPr>
                <w:rFonts w:hint="eastAsia"/>
                <w:b/>
                <w:bCs/>
                <w:color w:val="000000"/>
                <w:kern w:val="0"/>
                <w:szCs w:val="21"/>
                <w:lang w:bidi="ar"/>
              </w:rPr>
              <w:t>38,500.00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lang w:bidi="ar"/>
              </w:rPr>
              <w:t>42</w:t>
            </w:r>
            <w:r>
              <w:rPr>
                <w:color w:val="000000"/>
                <w:kern w:val="0"/>
                <w:szCs w:val="21"/>
                <w:lang w:bidi="ar"/>
              </w:rPr>
              <w:t>,</w:t>
            </w:r>
            <w:r>
              <w:rPr>
                <w:rFonts w:hint="eastAsia"/>
                <w:color w:val="000000"/>
                <w:kern w:val="0"/>
                <w:szCs w:val="21"/>
                <w:lang w:bidi="ar"/>
              </w:rPr>
              <w:t>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lang w:bidi="ar"/>
              </w:rPr>
              <w:t>最近12个月委托理财累计收益/最近一年净利润（%）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21.68%</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38,5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11,500.00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5</w:t>
            </w:r>
            <w:r>
              <w:rPr>
                <w:color w:val="000000"/>
                <w:kern w:val="0"/>
                <w:szCs w:val="21"/>
                <w:lang w:bidi="ar"/>
              </w:rPr>
              <w:t>0,000</w:t>
            </w:r>
            <w:r>
              <w:rPr>
                <w:rFonts w:hint="eastAsia"/>
                <w:color w:val="000000"/>
                <w:kern w:val="0"/>
                <w:szCs w:val="21"/>
                <w:lang w:bidi="ar"/>
              </w:rPr>
              <w:t>.00</w:t>
            </w:r>
          </w:p>
        </w:tc>
      </w:tr>
    </w:tbl>
    <w:p>
      <w:pPr>
        <w:widowControl/>
        <w:jc w:val="left"/>
        <w:rPr>
          <w:rFonts w:ascii="宋体" w:hAnsi="宋体"/>
          <w:bCs/>
          <w:szCs w:val="21"/>
        </w:rPr>
      </w:pPr>
    </w:p>
    <w:p>
      <w:pPr>
        <w:widowControl/>
        <w:spacing w:before="156" w:before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9</w:t>
      </w:r>
      <w:r>
        <w:rPr>
          <w:rFonts w:eastAsiaTheme="minorEastAsia"/>
          <w:color w:val="000000"/>
          <w:sz w:val="24"/>
          <w:szCs w:val="24"/>
        </w:rPr>
        <w:t>月</w:t>
      </w:r>
      <w:r>
        <w:rPr>
          <w:rFonts w:hint="eastAsia" w:eastAsiaTheme="minorEastAsia"/>
          <w:color w:val="000000"/>
          <w:sz w:val="24"/>
          <w:szCs w:val="24"/>
        </w:rPr>
        <w:t>7</w:t>
      </w:r>
      <w:r>
        <w:rPr>
          <w:rFonts w:eastAsiaTheme="minorEastAsia"/>
          <w:color w:val="000000"/>
          <w:sz w:val="24"/>
          <w:szCs w:val="24"/>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31FF68AF"/>
    <w:multiLevelType w:val="singleLevel"/>
    <w:tmpl w:val="31FF68A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7AEB2C08"/>
    <w:rsid w:val="001412EF"/>
    <w:rsid w:val="001F1F79"/>
    <w:rsid w:val="00264ADB"/>
    <w:rsid w:val="002E1FA7"/>
    <w:rsid w:val="00491A48"/>
    <w:rsid w:val="005B2BB8"/>
    <w:rsid w:val="007B5F91"/>
    <w:rsid w:val="007F256C"/>
    <w:rsid w:val="00961EC7"/>
    <w:rsid w:val="009E3DFE"/>
    <w:rsid w:val="00A44917"/>
    <w:rsid w:val="00D11DCD"/>
    <w:rsid w:val="00D43C9F"/>
    <w:rsid w:val="00E20E55"/>
    <w:rsid w:val="00FA025A"/>
    <w:rsid w:val="01046B36"/>
    <w:rsid w:val="012004B8"/>
    <w:rsid w:val="014943C9"/>
    <w:rsid w:val="01514253"/>
    <w:rsid w:val="018E4822"/>
    <w:rsid w:val="019B553E"/>
    <w:rsid w:val="01B05B0D"/>
    <w:rsid w:val="01B752FA"/>
    <w:rsid w:val="01CD2B2B"/>
    <w:rsid w:val="01D428E1"/>
    <w:rsid w:val="01E55C12"/>
    <w:rsid w:val="02325B21"/>
    <w:rsid w:val="0248443E"/>
    <w:rsid w:val="025D6557"/>
    <w:rsid w:val="027576DF"/>
    <w:rsid w:val="02982C02"/>
    <w:rsid w:val="02A57477"/>
    <w:rsid w:val="02AF4FED"/>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836B35"/>
    <w:rsid w:val="12A65EB9"/>
    <w:rsid w:val="12F32D06"/>
    <w:rsid w:val="1331129B"/>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6010EE8"/>
    <w:rsid w:val="26023801"/>
    <w:rsid w:val="26114A34"/>
    <w:rsid w:val="26290859"/>
    <w:rsid w:val="265B05A2"/>
    <w:rsid w:val="267C3F47"/>
    <w:rsid w:val="268E7807"/>
    <w:rsid w:val="271E19F2"/>
    <w:rsid w:val="27756961"/>
    <w:rsid w:val="27D55CFC"/>
    <w:rsid w:val="27F07DF2"/>
    <w:rsid w:val="28B54147"/>
    <w:rsid w:val="28BB4B6F"/>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D77017"/>
    <w:rsid w:val="31DD57E6"/>
    <w:rsid w:val="320A3645"/>
    <w:rsid w:val="325451C1"/>
    <w:rsid w:val="332A7D95"/>
    <w:rsid w:val="3340749F"/>
    <w:rsid w:val="33562357"/>
    <w:rsid w:val="33743374"/>
    <w:rsid w:val="33BA574B"/>
    <w:rsid w:val="33BD7F41"/>
    <w:rsid w:val="33C35E37"/>
    <w:rsid w:val="341214D4"/>
    <w:rsid w:val="34182627"/>
    <w:rsid w:val="344F1E96"/>
    <w:rsid w:val="347C40F8"/>
    <w:rsid w:val="34E7249A"/>
    <w:rsid w:val="350C3A9F"/>
    <w:rsid w:val="351C2BF1"/>
    <w:rsid w:val="35BF55DC"/>
    <w:rsid w:val="362B7AD3"/>
    <w:rsid w:val="369C4690"/>
    <w:rsid w:val="36E92B9A"/>
    <w:rsid w:val="37307DD1"/>
    <w:rsid w:val="37381173"/>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295A99"/>
    <w:rsid w:val="3C491031"/>
    <w:rsid w:val="3C565CC7"/>
    <w:rsid w:val="3CAF7A61"/>
    <w:rsid w:val="3CF52986"/>
    <w:rsid w:val="3D2C5A80"/>
    <w:rsid w:val="3D417F43"/>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D4008B"/>
    <w:rsid w:val="40FD0905"/>
    <w:rsid w:val="410B04D9"/>
    <w:rsid w:val="412521E4"/>
    <w:rsid w:val="41551B3B"/>
    <w:rsid w:val="416602B2"/>
    <w:rsid w:val="41665F67"/>
    <w:rsid w:val="41785691"/>
    <w:rsid w:val="418E3065"/>
    <w:rsid w:val="41C7544C"/>
    <w:rsid w:val="41DE0DCA"/>
    <w:rsid w:val="41E75418"/>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7D03B1"/>
    <w:rsid w:val="57BB0A78"/>
    <w:rsid w:val="580D0D18"/>
    <w:rsid w:val="58137B4D"/>
    <w:rsid w:val="58325CD2"/>
    <w:rsid w:val="58366984"/>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646231"/>
    <w:rsid w:val="5CE46FAA"/>
    <w:rsid w:val="5D2E4278"/>
    <w:rsid w:val="5D960828"/>
    <w:rsid w:val="5DAA51B9"/>
    <w:rsid w:val="5DC518B5"/>
    <w:rsid w:val="5DE66F6F"/>
    <w:rsid w:val="5E2E0ABF"/>
    <w:rsid w:val="5E3F5D12"/>
    <w:rsid w:val="5E472CA5"/>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EB7683"/>
    <w:rsid w:val="6A387C70"/>
    <w:rsid w:val="6A631E35"/>
    <w:rsid w:val="6A6F1C20"/>
    <w:rsid w:val="6A7C4E57"/>
    <w:rsid w:val="6A9A5FFD"/>
    <w:rsid w:val="6AA30D43"/>
    <w:rsid w:val="6AC97B14"/>
    <w:rsid w:val="6AE40685"/>
    <w:rsid w:val="6B144F27"/>
    <w:rsid w:val="6B797D08"/>
    <w:rsid w:val="6B7F203F"/>
    <w:rsid w:val="6B866E86"/>
    <w:rsid w:val="6B990794"/>
    <w:rsid w:val="6C360C93"/>
    <w:rsid w:val="6CE42579"/>
    <w:rsid w:val="6CE64DE7"/>
    <w:rsid w:val="6D1C3817"/>
    <w:rsid w:val="6D38704B"/>
    <w:rsid w:val="6D5307CF"/>
    <w:rsid w:val="6D98264B"/>
    <w:rsid w:val="6DAB6138"/>
    <w:rsid w:val="6DAE3B7D"/>
    <w:rsid w:val="6DBF37EC"/>
    <w:rsid w:val="6DEE2249"/>
    <w:rsid w:val="6DFC191F"/>
    <w:rsid w:val="6E12113E"/>
    <w:rsid w:val="6E471F02"/>
    <w:rsid w:val="6E5503E4"/>
    <w:rsid w:val="6E620C4B"/>
    <w:rsid w:val="6E870A36"/>
    <w:rsid w:val="6F16667F"/>
    <w:rsid w:val="6F3A45FB"/>
    <w:rsid w:val="6F461A44"/>
    <w:rsid w:val="6F5003AC"/>
    <w:rsid w:val="6F8017C9"/>
    <w:rsid w:val="6FAF3346"/>
    <w:rsid w:val="6FCB4A13"/>
    <w:rsid w:val="6FF86DDD"/>
    <w:rsid w:val="70187EC5"/>
    <w:rsid w:val="7034456F"/>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54A85"/>
    <w:rsid w:val="7B865DB0"/>
    <w:rsid w:val="7BE049A8"/>
    <w:rsid w:val="7BEB393A"/>
    <w:rsid w:val="7C03388E"/>
    <w:rsid w:val="7C7069A4"/>
    <w:rsid w:val="7C804E8D"/>
    <w:rsid w:val="7C8A1FDF"/>
    <w:rsid w:val="7C953875"/>
    <w:rsid w:val="7C9B7091"/>
    <w:rsid w:val="7CAF1F68"/>
    <w:rsid w:val="7CD05500"/>
    <w:rsid w:val="7D0B37FA"/>
    <w:rsid w:val="7D2908DD"/>
    <w:rsid w:val="7D5D5D78"/>
    <w:rsid w:val="7E071885"/>
    <w:rsid w:val="7E653164"/>
    <w:rsid w:val="7E8D1B3C"/>
    <w:rsid w:val="7EA618F0"/>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Revision"/>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uiPriority w:val="0"/>
    <w:rPr>
      <w:kern w:val="2"/>
      <w:sz w:val="18"/>
      <w:szCs w:val="18"/>
    </w:rPr>
  </w:style>
  <w:style w:type="character" w:customStyle="1" w:styleId="18">
    <w:name w:val="页脚 字符"/>
    <w:basedOn w:val="9"/>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670</Words>
  <Characters>3822</Characters>
  <Lines>31</Lines>
  <Paragraphs>8</Paragraphs>
  <TotalTime>15</TotalTime>
  <ScaleCrop>false</ScaleCrop>
  <LinksUpToDate>false</LinksUpToDate>
  <CharactersWithSpaces>4484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2022-09-05T08:28:00Z</dcterms:created>
  <dc:creator>suuuu</dc:creator>
  <cp:lastModifiedBy>suuuu</cp:lastModifiedBy>
  <dcterms:modified xsi:type="dcterms:W3CDTF">2022-09-06T01:56:39Z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3B79F42019B74749B8AAF0229DA3EC6D</vt:lpwstr>
  </property>
</Properties>
</file>