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12" w:lineRule="auto"/>
        <w:ind w:right="-82" w:rightChars="-39"/>
        <w:rPr>
          <w:rFonts w:hint="default" w:ascii="Times New Roman" w:hAnsi="Times New Roman" w:eastAsia="宋体" w:cs="Times New Roman"/>
          <w:sz w:val="21"/>
          <w:szCs w:val="21"/>
          <w:highlight w:val="yellow"/>
          <w:lang w:val="en-US" w:eastAsia="zh-CN"/>
        </w:rPr>
      </w:pPr>
      <w:r>
        <w:rPr>
          <w:rFonts w:ascii="Times New Roman" w:hAnsi="Times New Roman" w:eastAsia="宋体" w:cs="Times New Roman"/>
          <w:sz w:val="21"/>
          <w:szCs w:val="21"/>
        </w:rPr>
        <w:t xml:space="preserve">证券代码：603232  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 xml:space="preserve">   </w:t>
      </w:r>
      <w:r>
        <w:rPr>
          <w:rFonts w:ascii="Times New Roman" w:hAnsi="Times New Roman" w:eastAsia="宋体" w:cs="Times New Roman"/>
          <w:sz w:val="21"/>
          <w:szCs w:val="21"/>
        </w:rPr>
        <w:t xml:space="preserve">    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sz w:val="21"/>
          <w:szCs w:val="21"/>
        </w:rPr>
        <w:t xml:space="preserve">     证券简称：格尔软件     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 xml:space="preserve">    </w:t>
      </w:r>
      <w:r>
        <w:rPr>
          <w:rFonts w:ascii="Times New Roman" w:hAnsi="Times New Roman" w:eastAsia="宋体" w:cs="Times New Roman"/>
          <w:sz w:val="21"/>
          <w:szCs w:val="21"/>
        </w:rPr>
        <w:t xml:space="preserve">    公告编号：2021</w:t>
      </w:r>
      <w:r>
        <w:rPr>
          <w:rFonts w:ascii="Times New Roman" w:hAnsi="Times New Roman" w:eastAsia="宋体" w:cs="Times New Roman"/>
          <w:sz w:val="21"/>
          <w:szCs w:val="21"/>
          <w:highlight w:val="none"/>
        </w:rPr>
        <w:t>-0</w:t>
      </w:r>
      <w:r>
        <w:rPr>
          <w:rFonts w:hint="eastAsia" w:ascii="Times New Roman" w:hAnsi="Times New Roman" w:eastAsia="宋体" w:cs="Times New Roman"/>
          <w:sz w:val="21"/>
          <w:szCs w:val="21"/>
          <w:highlight w:val="none"/>
          <w:lang w:val="en-US" w:eastAsia="zh-CN"/>
        </w:rPr>
        <w:t>54</w:t>
      </w:r>
    </w:p>
    <w:p>
      <w:pPr>
        <w:autoSpaceDE w:val="0"/>
        <w:autoSpaceDN w:val="0"/>
        <w:adjustRightInd w:val="0"/>
        <w:spacing w:before="156" w:beforeLines="50" w:line="360" w:lineRule="auto"/>
        <w:ind w:right="-82" w:rightChars="-39"/>
        <w:jc w:val="center"/>
        <w:rPr>
          <w:rFonts w:ascii="黑体" w:hAnsi="黑体" w:eastAsia="黑体" w:cs="黑体"/>
          <w:b/>
          <w:color w:val="FF0000"/>
          <w:sz w:val="36"/>
          <w:szCs w:val="36"/>
        </w:rPr>
      </w:pPr>
      <w:r>
        <w:rPr>
          <w:rFonts w:hint="eastAsia" w:ascii="黑体" w:hAnsi="黑体" w:eastAsia="黑体" w:cs="黑体"/>
          <w:b/>
          <w:color w:val="FF0000"/>
          <w:sz w:val="36"/>
          <w:szCs w:val="36"/>
        </w:rPr>
        <w:t>格尔软件股份有限公司</w:t>
      </w:r>
    </w:p>
    <w:p>
      <w:pPr>
        <w:autoSpaceDE w:val="0"/>
        <w:autoSpaceDN w:val="0"/>
        <w:adjustRightInd w:val="0"/>
        <w:spacing w:after="156" w:afterLines="50" w:line="360" w:lineRule="auto"/>
        <w:ind w:right="-82" w:rightChars="-39"/>
        <w:jc w:val="center"/>
        <w:rPr>
          <w:rFonts w:ascii="黑体" w:hAnsi="黑体" w:eastAsia="黑体" w:cs="黑体"/>
          <w:b/>
          <w:color w:val="FF0000"/>
          <w:sz w:val="36"/>
          <w:szCs w:val="36"/>
        </w:rPr>
      </w:pPr>
      <w:r>
        <w:rPr>
          <w:rFonts w:hint="eastAsia" w:ascii="黑体" w:hAnsi="黑体" w:eastAsia="黑体" w:cs="黑体"/>
          <w:b/>
          <w:color w:val="FF0000"/>
          <w:sz w:val="36"/>
          <w:szCs w:val="36"/>
          <w:lang w:val="en-US" w:eastAsia="zh-CN"/>
        </w:rPr>
        <w:t>关于</w:t>
      </w:r>
      <w:r>
        <w:rPr>
          <w:rFonts w:hint="eastAsia" w:eastAsia="黑体" w:cs="Times New Roman"/>
          <w:b/>
          <w:bCs/>
          <w:color w:val="FF0000"/>
          <w:kern w:val="0"/>
          <w:sz w:val="36"/>
          <w:szCs w:val="36"/>
          <w:lang w:eastAsia="zh-CN"/>
        </w:rPr>
        <w:t>公司</w:t>
      </w:r>
      <w:r>
        <w:rPr>
          <w:rFonts w:hint="eastAsia" w:eastAsia="黑体" w:cs="Times New Roman"/>
          <w:b/>
          <w:bCs/>
          <w:color w:val="FF0000"/>
          <w:kern w:val="0"/>
          <w:sz w:val="36"/>
          <w:szCs w:val="36"/>
          <w:highlight w:val="none"/>
          <w:lang w:val="en-US" w:eastAsia="zh-CN"/>
        </w:rPr>
        <w:t>及全资子公司</w:t>
      </w:r>
      <w:r>
        <w:rPr>
          <w:rFonts w:hint="eastAsia" w:eastAsia="黑体" w:cs="Times New Roman"/>
          <w:b/>
          <w:bCs/>
          <w:color w:val="FF0000"/>
          <w:kern w:val="0"/>
          <w:sz w:val="36"/>
          <w:szCs w:val="36"/>
          <w:lang w:eastAsia="zh-CN"/>
        </w:rPr>
        <w:t>申请银行授信额度</w:t>
      </w:r>
      <w:r>
        <w:rPr>
          <w:rFonts w:hint="eastAsia" w:eastAsia="黑体" w:cs="Times New Roman"/>
          <w:b/>
          <w:bCs/>
          <w:color w:val="FF0000"/>
          <w:kern w:val="0"/>
          <w:sz w:val="36"/>
          <w:szCs w:val="36"/>
          <w:lang w:val="en-US" w:eastAsia="zh-CN"/>
        </w:rPr>
        <w:t>并</w:t>
      </w:r>
      <w:r>
        <w:rPr>
          <w:rFonts w:hint="eastAsia" w:ascii="黑体" w:hAnsi="黑体" w:eastAsia="黑体" w:cs="黑体"/>
          <w:b/>
          <w:color w:val="FF0000"/>
          <w:sz w:val="36"/>
          <w:szCs w:val="36"/>
        </w:rPr>
        <w:t>为全资子公司提供担保</w:t>
      </w:r>
      <w:r>
        <w:rPr>
          <w:rFonts w:hint="eastAsia" w:ascii="黑体" w:hAnsi="黑体" w:eastAsia="黑体" w:cs="黑体"/>
          <w:b/>
          <w:color w:val="FF0000"/>
          <w:sz w:val="36"/>
          <w:szCs w:val="36"/>
          <w:lang w:val="en-US" w:eastAsia="zh-CN"/>
        </w:rPr>
        <w:t>的</w:t>
      </w:r>
      <w:r>
        <w:rPr>
          <w:rFonts w:hint="eastAsia" w:ascii="黑体" w:hAnsi="黑体" w:eastAsia="黑体" w:cs="黑体"/>
          <w:b/>
          <w:color w:val="FF0000"/>
          <w:sz w:val="36"/>
          <w:szCs w:val="36"/>
        </w:rPr>
        <w:t>公告</w:t>
      </w:r>
    </w:p>
    <w:p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adjustRightInd w:val="0"/>
        <w:snapToGrid w:val="0"/>
        <w:spacing w:line="360" w:lineRule="auto"/>
        <w:rPr>
          <w:rFonts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  <w:lang w:bidi="ar"/>
        </w:rPr>
        <w:t xml:space="preserve"> </w:t>
      </w:r>
      <w:r>
        <w:rPr>
          <w:rFonts w:hint="eastAsia" w:ascii="宋体" w:hAnsi="宋体" w:eastAsia="宋体" w:cs="宋体"/>
          <w:color w:val="000000"/>
          <w:sz w:val="24"/>
          <w:lang w:bidi="ar"/>
        </w:rPr>
        <w:tab/>
      </w:r>
      <w:r>
        <w:rPr>
          <w:rFonts w:hint="eastAsia" w:ascii="宋体" w:hAnsi="宋体" w:eastAsia="宋体" w:cs="宋体"/>
          <w:color w:val="000000"/>
          <w:sz w:val="24"/>
          <w:lang w:bidi="ar"/>
        </w:rPr>
        <w:t>本公司董事会及全体董事保证本公告内容不存在任何虚假记载、误导性陈述或者重大遗漏，并对其内容的真实性、准确性和完整性承担个别及连带责任。</w:t>
      </w:r>
    </w:p>
    <w:p>
      <w:pPr>
        <w:spacing w:before="156" w:beforeLines="50" w:line="360" w:lineRule="auto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重要内容提示：</w:t>
      </w:r>
    </w:p>
    <w:p>
      <w:pPr>
        <w:numPr>
          <w:ilvl w:val="0"/>
          <w:numId w:val="1"/>
        </w:numPr>
        <w:spacing w:line="360" w:lineRule="auto"/>
        <w:rPr>
          <w:b/>
          <w:bCs/>
        </w:rPr>
      </w:pPr>
      <w:r>
        <w:rPr>
          <w:rFonts w:hint="eastAsia" w:ascii="Times New Roman" w:hAnsi="Times New Roman" w:eastAsia="宋体" w:cs="Times New Roman"/>
          <w:sz w:val="24"/>
        </w:rPr>
        <w:t>被担保人名称</w:t>
      </w:r>
      <w:r>
        <w:rPr>
          <w:rFonts w:ascii="Times New Roman" w:hAnsi="Times New Roman" w:eastAsia="宋体" w:cs="Times New Roman"/>
          <w:sz w:val="24"/>
        </w:rPr>
        <w:t>：</w:t>
      </w:r>
      <w:r>
        <w:rPr>
          <w:rFonts w:hint="eastAsia" w:ascii="Times New Roman" w:hAnsi="Times New Roman" w:eastAsia="宋体" w:cs="Times New Roman"/>
          <w:sz w:val="24"/>
        </w:rPr>
        <w:t>格尔软件股份有限公司（以下简称“公司”）的全资子公司上海格尔安全科技有限公司（以下简称“格尔安全”）、上海格尔安信科技有限公司（以下简称“格尔安信”）。</w:t>
      </w:r>
    </w:p>
    <w:p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hint="eastAsia" w:ascii="宋体" w:hAnsi="宋体" w:eastAsia="宋体" w:cs="宋体"/>
          <w:sz w:val="24"/>
        </w:rPr>
        <w:t>本次担保金额及已实际为</w:t>
      </w:r>
      <w:r>
        <w:rPr>
          <w:rFonts w:hint="default" w:ascii="Times New Roman" w:hAnsi="Times New Roman" w:eastAsia="宋体" w:cs="Times New Roman"/>
          <w:sz w:val="24"/>
        </w:rPr>
        <w:t>其提供担保的余额：</w:t>
      </w:r>
      <w:r>
        <w:rPr>
          <w:rFonts w:hint="default" w:ascii="Times New Roman" w:hAnsi="Times New Roman" w:eastAsia="宋体" w:cs="Times New Roman"/>
          <w:sz w:val="24"/>
          <w:lang w:val="en-US" w:eastAsia="zh-CN"/>
        </w:rPr>
        <w:t>公司</w:t>
      </w:r>
      <w:r>
        <w:rPr>
          <w:rFonts w:hint="default" w:ascii="Times New Roman" w:hAnsi="Times New Roman" w:cs="Times New Roman"/>
          <w:bCs/>
          <w:snapToGrid w:val="0"/>
          <w:color w:val="000000"/>
          <w:kern w:val="0"/>
          <w:sz w:val="24"/>
          <w:szCs w:val="24"/>
          <w:lang w:val="en-US" w:eastAsia="zh-CN" w:bidi="ar-SA"/>
        </w:rPr>
        <w:t>预计</w:t>
      </w:r>
      <w:r>
        <w:rPr>
          <w:rFonts w:hint="default" w:ascii="Times New Roman" w:hAnsi="Times New Roman" w:cs="Times New Roman"/>
          <w:bCs/>
          <w:snapToGrid w:val="0"/>
          <w:color w:val="000000"/>
          <w:kern w:val="0"/>
          <w:sz w:val="24"/>
          <w:szCs w:val="24"/>
          <w:highlight w:val="none"/>
          <w:lang w:val="en-US" w:eastAsia="zh-CN" w:bidi="ar-SA"/>
        </w:rPr>
        <w:t>2021年度</w:t>
      </w:r>
      <w:r>
        <w:rPr>
          <w:rFonts w:hint="default" w:ascii="Times New Roman" w:hAnsi="Times New Roman" w:cs="Times New Roman"/>
          <w:bCs/>
          <w:snapToGrid w:val="0"/>
          <w:color w:val="000000"/>
          <w:kern w:val="0"/>
          <w:sz w:val="24"/>
          <w:szCs w:val="24"/>
          <w:lang w:val="en-US" w:eastAsia="zh-CN" w:bidi="ar-SA"/>
        </w:rPr>
        <w:t>向银行申请综合授信额度不超过人民币1.2亿元（含本数），</w:t>
      </w:r>
      <w:r>
        <w:rPr>
          <w:rFonts w:hint="default" w:ascii="Times New Roman" w:hAnsi="Times New Roman" w:eastAsia="宋体" w:cs="Times New Roman"/>
          <w:sz w:val="24"/>
        </w:rPr>
        <w:t>格尔安全及格尔安信共享该授信额度</w:t>
      </w:r>
      <w:r>
        <w:rPr>
          <w:rFonts w:hint="default" w:ascii="Times New Roman" w:hAnsi="Times New Roman" w:eastAsia="宋体" w:cs="Times New Roman"/>
          <w:sz w:val="24"/>
          <w:lang w:eastAsia="zh-CN"/>
        </w:rPr>
        <w:t>，</w:t>
      </w:r>
      <w:r>
        <w:rPr>
          <w:rFonts w:hint="default" w:ascii="Times New Roman" w:hAnsi="Times New Roman" w:eastAsia="宋体" w:cs="Times New Roman"/>
          <w:sz w:val="24"/>
          <w:highlight w:val="none"/>
        </w:rPr>
        <w:t>并由公司为其提供连带责任担保</w:t>
      </w:r>
      <w:r>
        <w:rPr>
          <w:rFonts w:hint="default" w:ascii="Times New Roman" w:hAnsi="Times New Roman" w:eastAsia="宋体" w:cs="Times New Roman"/>
          <w:sz w:val="24"/>
        </w:rPr>
        <w:t>。截</w:t>
      </w:r>
      <w:r>
        <w:rPr>
          <w:rFonts w:ascii="Times New Roman" w:hAnsi="Times New Roman" w:eastAsia="宋体" w:cs="Times New Roman"/>
          <w:sz w:val="24"/>
        </w:rPr>
        <w:t>至本公告披露日，不包含本次担保，公司为全资子公司提供担保的余额为0</w:t>
      </w:r>
      <w:r>
        <w:rPr>
          <w:rFonts w:hint="eastAsia" w:ascii="宋体" w:hAnsi="宋体" w:eastAsia="宋体" w:cs="宋体"/>
          <w:sz w:val="24"/>
        </w:rPr>
        <w:t>元。</w:t>
      </w:r>
    </w:p>
    <w:p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hint="eastAsia" w:ascii="宋体" w:hAnsi="宋体" w:eastAsia="宋体" w:cs="宋体"/>
          <w:sz w:val="24"/>
        </w:rPr>
        <w:t>本次担保是否有反担保：无</w:t>
      </w:r>
    </w:p>
    <w:p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eastAsia="宋体" w:cs="Times New Roman"/>
          <w:sz w:val="24"/>
        </w:rPr>
        <w:t>对外担保逾期的累计数量：公司</w:t>
      </w:r>
      <w:r>
        <w:rPr>
          <w:rFonts w:hint="eastAsia" w:ascii="Times New Roman" w:hAnsi="Times New Roman" w:eastAsia="宋体" w:cs="Times New Roman"/>
          <w:sz w:val="24"/>
        </w:rPr>
        <w:t>不存在</w:t>
      </w:r>
      <w:r>
        <w:rPr>
          <w:rFonts w:ascii="Times New Roman" w:hAnsi="Times New Roman" w:eastAsia="宋体" w:cs="Times New Roman"/>
          <w:sz w:val="24"/>
        </w:rPr>
        <w:t>对外担保</w:t>
      </w:r>
      <w:r>
        <w:rPr>
          <w:rFonts w:hint="eastAsia" w:ascii="Times New Roman" w:hAnsi="Times New Roman" w:eastAsia="宋体" w:cs="Times New Roman"/>
          <w:sz w:val="24"/>
        </w:rPr>
        <w:t>逾期的情况。</w:t>
      </w:r>
    </w:p>
    <w:p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hint="eastAsia" w:ascii="Times New Roman" w:hAnsi="Times New Roman" w:eastAsia="宋体" w:cs="Times New Roman"/>
          <w:sz w:val="24"/>
        </w:rPr>
        <w:t>本事项无需提交股东大会审议。</w:t>
      </w:r>
    </w:p>
    <w:p>
      <w:pPr>
        <w:numPr>
          <w:ilvl w:val="0"/>
          <w:numId w:val="2"/>
        </w:numPr>
        <w:spacing w:line="360" w:lineRule="auto"/>
        <w:rPr>
          <w:rFonts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担保情况概述</w:t>
      </w:r>
    </w:p>
    <w:p>
      <w:pPr>
        <w:spacing w:line="360" w:lineRule="auto"/>
        <w:ind w:firstLine="420" w:firstLineChars="175"/>
        <w:rPr>
          <w:rFonts w:ascii="Times New Roman" w:hAnsi="Times New Roman" w:eastAsia="宋体" w:cs="Times New Roman"/>
          <w:sz w:val="24"/>
        </w:rPr>
      </w:pPr>
      <w:r>
        <w:rPr>
          <w:rFonts w:hint="eastAsia" w:ascii="宋体" w:hAnsi="宋体" w:eastAsia="宋体" w:cs="宋体"/>
          <w:bCs/>
          <w:snapToGrid w:val="0"/>
          <w:color w:val="000000"/>
          <w:kern w:val="0"/>
          <w:sz w:val="24"/>
          <w:szCs w:val="24"/>
          <w:lang w:val="en-US" w:eastAsia="zh-CN" w:bidi="ar-SA"/>
        </w:rPr>
        <w:t>公司</w:t>
      </w:r>
      <w:r>
        <w:rPr>
          <w:rFonts w:hint="default" w:ascii="Times New Roman" w:hAnsi="Times New Roman" w:cs="Times New Roman"/>
          <w:bCs/>
          <w:snapToGrid w:val="0"/>
          <w:color w:val="000000"/>
          <w:kern w:val="0"/>
          <w:sz w:val="24"/>
          <w:szCs w:val="24"/>
          <w:lang w:val="en-US" w:eastAsia="zh-CN" w:bidi="ar-SA"/>
        </w:rPr>
        <w:t>于20</w:t>
      </w:r>
      <w:r>
        <w:rPr>
          <w:rFonts w:hint="default" w:ascii="Times New Roman" w:hAnsi="Times New Roman" w:cs="Times New Roman"/>
          <w:bCs/>
          <w:snapToGrid w:val="0"/>
          <w:color w:val="000000"/>
          <w:kern w:val="0"/>
          <w:sz w:val="24"/>
          <w:szCs w:val="24"/>
          <w:highlight w:val="none"/>
          <w:lang w:val="en-US" w:eastAsia="zh-CN" w:bidi="ar-SA"/>
        </w:rPr>
        <w:t>21年8月</w:t>
      </w:r>
      <w:r>
        <w:rPr>
          <w:rFonts w:hint="eastAsia" w:ascii="Times New Roman" w:hAnsi="Times New Roman" w:cs="Times New Roman"/>
          <w:bCs/>
          <w:snapToGrid w:val="0"/>
          <w:color w:val="000000"/>
          <w:kern w:val="0"/>
          <w:sz w:val="24"/>
          <w:szCs w:val="24"/>
          <w:highlight w:val="none"/>
          <w:lang w:val="en-US" w:eastAsia="zh-CN" w:bidi="ar-SA"/>
        </w:rPr>
        <w:t>10</w:t>
      </w:r>
      <w:r>
        <w:rPr>
          <w:rFonts w:hint="default" w:ascii="Times New Roman" w:hAnsi="Times New Roman" w:cs="Times New Roman"/>
          <w:bCs/>
          <w:snapToGrid w:val="0"/>
          <w:color w:val="000000"/>
          <w:kern w:val="0"/>
          <w:sz w:val="24"/>
          <w:szCs w:val="24"/>
          <w:highlight w:val="none"/>
          <w:lang w:val="en-US" w:eastAsia="zh-CN" w:bidi="ar-SA"/>
        </w:rPr>
        <w:t>日召开第</w:t>
      </w:r>
      <w:r>
        <w:rPr>
          <w:rFonts w:hint="default" w:ascii="Times New Roman" w:hAnsi="Times New Roman" w:cs="Times New Roman"/>
          <w:bCs/>
          <w:snapToGrid w:val="0"/>
          <w:color w:val="000000"/>
          <w:kern w:val="0"/>
          <w:sz w:val="24"/>
          <w:szCs w:val="24"/>
          <w:lang w:val="en-US" w:eastAsia="zh-CN" w:bidi="ar-SA"/>
        </w:rPr>
        <w:t>七届董事会第十九次会议</w:t>
      </w:r>
      <w:r>
        <w:rPr>
          <w:rFonts w:hint="eastAsia" w:ascii="Times New Roman" w:hAnsi="Times New Roman" w:cs="Times New Roman"/>
          <w:bCs/>
          <w:snapToGrid w:val="0"/>
          <w:color w:val="000000"/>
          <w:kern w:val="0"/>
          <w:sz w:val="24"/>
          <w:szCs w:val="24"/>
          <w:lang w:val="en-US" w:eastAsia="zh-CN" w:bidi="ar-SA"/>
        </w:rPr>
        <w:t>、第七届监事会第十六次会议</w:t>
      </w:r>
      <w:r>
        <w:rPr>
          <w:rFonts w:hint="default" w:ascii="Times New Roman" w:hAnsi="Times New Roman" w:cs="Times New Roman"/>
          <w:bCs/>
          <w:snapToGrid w:val="0"/>
          <w:color w:val="000000"/>
          <w:kern w:val="0"/>
          <w:sz w:val="24"/>
          <w:szCs w:val="24"/>
          <w:lang w:val="en-US" w:eastAsia="zh-CN" w:bidi="ar-SA"/>
        </w:rPr>
        <w:t>，审议通过了《关于公司及</w:t>
      </w:r>
      <w:r>
        <w:rPr>
          <w:rFonts w:hint="default" w:ascii="Times New Roman" w:hAnsi="Times New Roman" w:cs="Times New Roman"/>
          <w:bCs/>
          <w:snapToGrid w:val="0"/>
          <w:color w:val="000000"/>
          <w:kern w:val="0"/>
          <w:sz w:val="24"/>
          <w:szCs w:val="24"/>
          <w:highlight w:val="none"/>
          <w:lang w:val="en-US" w:eastAsia="zh-CN" w:bidi="ar-SA"/>
        </w:rPr>
        <w:t>全资子公司申请银行授信额</w:t>
      </w:r>
      <w:r>
        <w:rPr>
          <w:rFonts w:hint="default" w:ascii="Times New Roman" w:hAnsi="Times New Roman" w:cs="Times New Roman"/>
          <w:bCs/>
          <w:snapToGrid w:val="0"/>
          <w:color w:val="000000"/>
          <w:kern w:val="0"/>
          <w:sz w:val="24"/>
          <w:szCs w:val="24"/>
          <w:lang w:val="en-US" w:eastAsia="zh-CN" w:bidi="ar-SA"/>
        </w:rPr>
        <w:t>度</w:t>
      </w:r>
      <w:r>
        <w:rPr>
          <w:rFonts w:hint="eastAsia" w:ascii="Times New Roman" w:hAnsi="Times New Roman" w:cs="Times New Roman"/>
          <w:bCs/>
          <w:snapToGrid w:val="0"/>
          <w:color w:val="000000"/>
          <w:kern w:val="0"/>
          <w:sz w:val="24"/>
          <w:szCs w:val="24"/>
          <w:lang w:val="en-US" w:eastAsia="zh-CN" w:bidi="ar-SA"/>
        </w:rPr>
        <w:t>并为全资子公司提供担保</w:t>
      </w:r>
      <w:r>
        <w:rPr>
          <w:rFonts w:hint="default" w:ascii="Times New Roman" w:hAnsi="Times New Roman" w:cs="Times New Roman"/>
          <w:bCs/>
          <w:snapToGrid w:val="0"/>
          <w:color w:val="000000"/>
          <w:kern w:val="0"/>
          <w:sz w:val="24"/>
          <w:szCs w:val="24"/>
          <w:lang w:val="en-US" w:eastAsia="zh-CN" w:bidi="ar-SA"/>
        </w:rPr>
        <w:t>的议案》。根据公司正常生产经营资金需求，促进公司及全资子公司可持续发展，公司预计</w:t>
      </w:r>
      <w:r>
        <w:rPr>
          <w:rFonts w:hint="default" w:ascii="Times New Roman" w:hAnsi="Times New Roman" w:cs="Times New Roman"/>
          <w:bCs/>
          <w:snapToGrid w:val="0"/>
          <w:color w:val="000000"/>
          <w:kern w:val="0"/>
          <w:sz w:val="24"/>
          <w:szCs w:val="24"/>
          <w:highlight w:val="none"/>
          <w:lang w:val="en-US" w:eastAsia="zh-CN" w:bidi="ar-SA"/>
        </w:rPr>
        <w:t>2021年度</w:t>
      </w:r>
      <w:r>
        <w:rPr>
          <w:rFonts w:hint="default" w:ascii="Times New Roman" w:hAnsi="Times New Roman" w:cs="Times New Roman"/>
          <w:bCs/>
          <w:snapToGrid w:val="0"/>
          <w:color w:val="000000"/>
          <w:kern w:val="0"/>
          <w:sz w:val="24"/>
          <w:szCs w:val="24"/>
          <w:lang w:val="en-US" w:eastAsia="zh-CN" w:bidi="ar-SA"/>
        </w:rPr>
        <w:t>向招商银行股份有限公司上海分行申请综合授信额度不超过人民币1.2亿元（含</w:t>
      </w:r>
      <w:r>
        <w:rPr>
          <w:rFonts w:hint="default" w:cs="Times New Roman"/>
          <w:bCs/>
          <w:snapToGrid w:val="0"/>
          <w:color w:val="000000"/>
          <w:kern w:val="0"/>
          <w:sz w:val="24"/>
          <w:szCs w:val="24"/>
          <w:lang w:val="en-US" w:eastAsia="zh-CN" w:bidi="ar-SA"/>
        </w:rPr>
        <w:t>本数），</w:t>
      </w:r>
      <w:r>
        <w:rPr>
          <w:rFonts w:hint="default" w:cs="Times New Roman"/>
          <w:bCs/>
          <w:snapToGrid w:val="0"/>
          <w:color w:val="000000"/>
          <w:kern w:val="0"/>
          <w:sz w:val="24"/>
          <w:szCs w:val="24"/>
          <w:highlight w:val="none"/>
          <w:lang w:val="en-US" w:eastAsia="zh-CN" w:bidi="ar-SA"/>
        </w:rPr>
        <w:t>包括但不限于贷款/订单贷、贸易融资、票据贴现、商业汇票承兑、商业承兑汇票保兑/保贴、国际/国内保函、海关税费支付担保、法人账户透支、衍生交易、黄金租赁等一种或多种授信业务。</w:t>
      </w:r>
      <w:r>
        <w:rPr>
          <w:rFonts w:hint="eastAsia" w:ascii="Times New Roman" w:hAnsi="Times New Roman" w:eastAsia="宋体" w:cs="Times New Roman"/>
          <w:sz w:val="24"/>
        </w:rPr>
        <w:t>公司全资子公司格尔安全及格尔安信共享该授信额度</w:t>
      </w:r>
      <w:r>
        <w:rPr>
          <w:rFonts w:hint="eastAsia" w:ascii="Times New Roman" w:hAnsi="Times New Roman" w:eastAsia="宋体" w:cs="Times New Roman"/>
          <w:sz w:val="24"/>
          <w:highlight w:val="none"/>
        </w:rPr>
        <w:t>，并由公司为其提供连带责任担保</w:t>
      </w:r>
      <w:r>
        <w:rPr>
          <w:rFonts w:hint="eastAsia" w:ascii="Times New Roman" w:hAnsi="Times New Roman" w:eastAsia="宋体" w:cs="Times New Roman"/>
          <w:sz w:val="24"/>
        </w:rPr>
        <w:t>，具体情况如下：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8"/>
        <w:gridCol w:w="1223"/>
        <w:gridCol w:w="2160"/>
        <w:gridCol w:w="2473"/>
        <w:gridCol w:w="19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</w:rPr>
              <w:t>序号</w:t>
            </w:r>
          </w:p>
        </w:tc>
        <w:tc>
          <w:tcPr>
            <w:tcW w:w="1223" w:type="dxa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</w:rPr>
              <w:t>名称</w:t>
            </w:r>
          </w:p>
        </w:tc>
        <w:tc>
          <w:tcPr>
            <w:tcW w:w="2160" w:type="dxa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</w:rPr>
              <w:t>与公司的关系</w:t>
            </w:r>
          </w:p>
        </w:tc>
        <w:tc>
          <w:tcPr>
            <w:tcW w:w="2473" w:type="dxa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</w:rPr>
              <w:t>共享授信额度（万元）</w:t>
            </w:r>
          </w:p>
        </w:tc>
        <w:tc>
          <w:tcPr>
            <w:tcW w:w="1938" w:type="dxa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</w:rPr>
              <w:t>担保额度（万元）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1</w:t>
            </w:r>
          </w:p>
        </w:tc>
        <w:tc>
          <w:tcPr>
            <w:tcW w:w="1223" w:type="dxa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格尔安全</w:t>
            </w:r>
          </w:p>
        </w:tc>
        <w:tc>
          <w:tcPr>
            <w:tcW w:w="2160" w:type="dxa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公司</w:t>
            </w: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的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全资子公司</w:t>
            </w:r>
          </w:p>
        </w:tc>
        <w:tc>
          <w:tcPr>
            <w:tcW w:w="2473" w:type="dxa"/>
          </w:tcPr>
          <w:p>
            <w:pPr>
              <w:spacing w:line="360" w:lineRule="auto"/>
              <w:jc w:val="righ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10,000.00</w:t>
            </w:r>
          </w:p>
        </w:tc>
        <w:tc>
          <w:tcPr>
            <w:tcW w:w="1938" w:type="dxa"/>
          </w:tcPr>
          <w:p>
            <w:pPr>
              <w:spacing w:line="360" w:lineRule="auto"/>
              <w:jc w:val="righ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10,000.00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2</w:t>
            </w:r>
          </w:p>
        </w:tc>
        <w:tc>
          <w:tcPr>
            <w:tcW w:w="1223" w:type="dxa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格尔安信</w:t>
            </w:r>
          </w:p>
        </w:tc>
        <w:tc>
          <w:tcPr>
            <w:tcW w:w="2160" w:type="dxa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公司</w:t>
            </w: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的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全资子公司</w:t>
            </w:r>
          </w:p>
        </w:tc>
        <w:tc>
          <w:tcPr>
            <w:tcW w:w="2473" w:type="dxa"/>
          </w:tcPr>
          <w:p>
            <w:pPr>
              <w:spacing w:line="360" w:lineRule="auto"/>
              <w:jc w:val="righ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2,000.00</w:t>
            </w:r>
          </w:p>
        </w:tc>
        <w:tc>
          <w:tcPr>
            <w:tcW w:w="1938" w:type="dxa"/>
          </w:tcPr>
          <w:p>
            <w:pPr>
              <w:spacing w:line="360" w:lineRule="auto"/>
              <w:jc w:val="righ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2,000.00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11" w:type="dxa"/>
            <w:gridSpan w:val="3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</w:rPr>
              <w:t>总计</w:t>
            </w:r>
          </w:p>
        </w:tc>
        <w:tc>
          <w:tcPr>
            <w:tcW w:w="2473" w:type="dxa"/>
          </w:tcPr>
          <w:p>
            <w:pPr>
              <w:spacing w:line="360" w:lineRule="auto"/>
              <w:jc w:val="righ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12,000.00</w:t>
            </w:r>
          </w:p>
        </w:tc>
        <w:tc>
          <w:tcPr>
            <w:tcW w:w="1938" w:type="dxa"/>
          </w:tcPr>
          <w:p>
            <w:pPr>
              <w:spacing w:line="360" w:lineRule="auto"/>
              <w:jc w:val="righ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12,000.00</w:t>
            </w:r>
          </w:p>
        </w:tc>
      </w:tr>
    </w:tbl>
    <w:p>
      <w:pPr>
        <w:spacing w:line="360" w:lineRule="auto"/>
        <w:ind w:firstLine="42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>根据《中华人民共和国公司法》、上海证券交易所《股票上市规则》及《公司章程》的相关规定，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上述</w:t>
      </w:r>
      <w:r>
        <w:rPr>
          <w:rFonts w:hint="eastAsia" w:ascii="Times New Roman" w:hAnsi="Times New Roman" w:eastAsia="宋体" w:cs="Times New Roman"/>
          <w:sz w:val="24"/>
        </w:rPr>
        <w:t>事项无需提交股东大会审议。</w:t>
      </w:r>
    </w:p>
    <w:p>
      <w:pPr>
        <w:spacing w:line="360" w:lineRule="auto"/>
        <w:ind w:firstLine="42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>上述授信额度不等于公司实际融资金额，实际授信额度以最终金融机构审批的授信额度为准，具体融资金额将视公司运营资金的实际需求来确定，融资期限以实际签署的合同为准。在授信期限内，授信额度可循环使用。</w:t>
      </w:r>
    </w:p>
    <w:p>
      <w:pPr>
        <w:numPr>
          <w:ilvl w:val="0"/>
          <w:numId w:val="2"/>
        </w:numPr>
        <w:spacing w:line="360" w:lineRule="auto"/>
        <w:rPr>
          <w:rFonts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被担保公司基本情况</w:t>
      </w:r>
    </w:p>
    <w:p>
      <w:pPr>
        <w:numPr>
          <w:ilvl w:val="0"/>
          <w:numId w:val="3"/>
        </w:numPr>
        <w:spacing w:line="360" w:lineRule="auto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格尔安全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8"/>
        <w:gridCol w:w="70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78" w:hRule="atLeast"/>
        </w:trPr>
        <w:tc>
          <w:tcPr>
            <w:tcW w:w="1508" w:type="dxa"/>
          </w:tcPr>
          <w:p>
            <w:pPr>
              <w:pStyle w:val="6"/>
              <w:spacing w:line="360" w:lineRule="auto"/>
              <w:jc w:val="both"/>
              <w:rPr>
                <w:rFonts w:ascii="Times New Roman" w:hAnsi="Times New Roman" w:eastAsiaTheme="minorEastAsia"/>
              </w:rPr>
            </w:pPr>
            <w:r>
              <w:rPr>
                <w:rFonts w:hint="eastAsia" w:ascii="Times New Roman" w:hAnsi="Times New Roman" w:eastAsiaTheme="minorEastAsia"/>
              </w:rPr>
              <w:t>公司名称</w:t>
            </w:r>
          </w:p>
        </w:tc>
        <w:tc>
          <w:tcPr>
            <w:tcW w:w="7014" w:type="dxa"/>
          </w:tcPr>
          <w:p>
            <w:pPr>
              <w:pStyle w:val="6"/>
              <w:spacing w:line="360" w:lineRule="auto"/>
              <w:jc w:val="both"/>
              <w:rPr>
                <w:rFonts w:ascii="Times New Roman" w:hAnsi="Times New Roman" w:eastAsiaTheme="minorEastAsia"/>
              </w:rPr>
            </w:pPr>
            <w:r>
              <w:rPr>
                <w:rFonts w:hint="eastAsia" w:ascii="Times New Roman" w:hAnsi="Times New Roman" w:eastAsiaTheme="minorEastAsia"/>
              </w:rPr>
              <w:t>上海格尔安全科技有限公司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8" w:type="dxa"/>
          </w:tcPr>
          <w:p>
            <w:pPr>
              <w:pStyle w:val="6"/>
              <w:spacing w:line="360" w:lineRule="auto"/>
              <w:jc w:val="both"/>
              <w:rPr>
                <w:rFonts w:ascii="Times New Roman" w:hAnsi="Times New Roman" w:eastAsiaTheme="minorEastAsia"/>
              </w:rPr>
            </w:pPr>
            <w:r>
              <w:rPr>
                <w:rFonts w:hint="eastAsia" w:ascii="Times New Roman" w:hAnsi="Times New Roman" w:eastAsiaTheme="minorEastAsia"/>
              </w:rPr>
              <w:t>公司类型</w:t>
            </w:r>
          </w:p>
        </w:tc>
        <w:tc>
          <w:tcPr>
            <w:tcW w:w="7014" w:type="dxa"/>
          </w:tcPr>
          <w:p>
            <w:pPr>
              <w:pStyle w:val="6"/>
              <w:spacing w:line="360" w:lineRule="auto"/>
              <w:jc w:val="both"/>
              <w:rPr>
                <w:rFonts w:ascii="Times New Roman" w:hAnsi="Times New Roman" w:eastAsiaTheme="minorEastAsia"/>
              </w:rPr>
            </w:pPr>
            <w:r>
              <w:rPr>
                <w:rFonts w:ascii="Times New Roman" w:hAnsi="Times New Roman" w:eastAsiaTheme="minorEastAsia"/>
              </w:rPr>
              <w:t>有限责任公司（自然人投资或控股的法人独资）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8" w:type="dxa"/>
          </w:tcPr>
          <w:p>
            <w:pPr>
              <w:pStyle w:val="6"/>
              <w:spacing w:line="360" w:lineRule="auto"/>
              <w:jc w:val="both"/>
              <w:rPr>
                <w:rFonts w:ascii="Times New Roman" w:hAnsi="Times New Roman" w:eastAsiaTheme="minorEastAsia"/>
              </w:rPr>
            </w:pPr>
            <w:r>
              <w:rPr>
                <w:rFonts w:hint="eastAsia" w:ascii="Times New Roman" w:hAnsi="Times New Roman" w:eastAsiaTheme="minorEastAsia"/>
              </w:rPr>
              <w:t>法定代表人</w:t>
            </w:r>
          </w:p>
        </w:tc>
        <w:tc>
          <w:tcPr>
            <w:tcW w:w="7014" w:type="dxa"/>
          </w:tcPr>
          <w:p>
            <w:pPr>
              <w:pStyle w:val="6"/>
              <w:spacing w:line="360" w:lineRule="auto"/>
              <w:jc w:val="both"/>
              <w:rPr>
                <w:rFonts w:ascii="Times New Roman" w:hAnsi="Times New Roman" w:eastAsiaTheme="minorEastAsia"/>
              </w:rPr>
            </w:pPr>
            <w:r>
              <w:rPr>
                <w:rFonts w:hint="eastAsia" w:ascii="Times New Roman" w:hAnsi="Times New Roman" w:eastAsiaTheme="minorEastAsia"/>
              </w:rPr>
              <w:t>孔令钢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8" w:type="dxa"/>
          </w:tcPr>
          <w:p>
            <w:pPr>
              <w:pStyle w:val="6"/>
              <w:spacing w:line="360" w:lineRule="auto"/>
              <w:jc w:val="both"/>
              <w:rPr>
                <w:rFonts w:ascii="Times New Roman" w:hAnsi="Times New Roman" w:eastAsiaTheme="minorEastAsia"/>
              </w:rPr>
            </w:pPr>
            <w:r>
              <w:rPr>
                <w:rFonts w:hint="eastAsia" w:ascii="Times New Roman" w:hAnsi="Times New Roman" w:eastAsiaTheme="minorEastAsia"/>
              </w:rPr>
              <w:t>注册资本</w:t>
            </w:r>
          </w:p>
        </w:tc>
        <w:tc>
          <w:tcPr>
            <w:tcW w:w="7014" w:type="dxa"/>
          </w:tcPr>
          <w:p>
            <w:pPr>
              <w:pStyle w:val="6"/>
              <w:spacing w:line="360" w:lineRule="auto"/>
              <w:jc w:val="both"/>
              <w:rPr>
                <w:rFonts w:ascii="Times New Roman" w:hAnsi="Times New Roman" w:eastAsiaTheme="minorEastAsia"/>
              </w:rPr>
            </w:pPr>
            <w:r>
              <w:rPr>
                <w:rFonts w:ascii="Times New Roman" w:hAnsi="Times New Roman" w:eastAsiaTheme="minorEastAsia"/>
              </w:rPr>
              <w:t>人民币5</w:t>
            </w:r>
            <w:r>
              <w:rPr>
                <w:rFonts w:hint="eastAsia" w:ascii="Times New Roman" w:hAnsi="Times New Roman" w:eastAsiaTheme="minorEastAsia"/>
              </w:rPr>
              <w:t>,5</w:t>
            </w:r>
            <w:r>
              <w:rPr>
                <w:rFonts w:ascii="Times New Roman" w:hAnsi="Times New Roman" w:eastAsiaTheme="minorEastAsia"/>
              </w:rPr>
              <w:t>00.0000万元整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8" w:type="dxa"/>
          </w:tcPr>
          <w:p>
            <w:pPr>
              <w:pStyle w:val="6"/>
              <w:spacing w:line="360" w:lineRule="auto"/>
              <w:jc w:val="both"/>
              <w:rPr>
                <w:rFonts w:ascii="Times New Roman" w:hAnsi="Times New Roman" w:eastAsiaTheme="minorEastAsia"/>
              </w:rPr>
            </w:pPr>
            <w:r>
              <w:rPr>
                <w:rFonts w:hint="eastAsia" w:ascii="Times New Roman" w:hAnsi="Times New Roman" w:eastAsiaTheme="minorEastAsia"/>
              </w:rPr>
              <w:t>成立日期</w:t>
            </w:r>
          </w:p>
        </w:tc>
        <w:tc>
          <w:tcPr>
            <w:tcW w:w="7014" w:type="dxa"/>
          </w:tcPr>
          <w:p>
            <w:pPr>
              <w:pStyle w:val="6"/>
              <w:spacing w:line="360" w:lineRule="auto"/>
              <w:jc w:val="both"/>
              <w:rPr>
                <w:rFonts w:ascii="Times New Roman" w:hAnsi="Times New Roman" w:eastAsiaTheme="minorEastAsia"/>
              </w:rPr>
            </w:pPr>
            <w:r>
              <w:rPr>
                <w:rFonts w:ascii="Times New Roman" w:hAnsi="Times New Roman" w:eastAsiaTheme="minorEastAsia"/>
              </w:rPr>
              <w:t>2014年07月28日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8" w:type="dxa"/>
          </w:tcPr>
          <w:p>
            <w:pPr>
              <w:pStyle w:val="6"/>
              <w:spacing w:line="360" w:lineRule="auto"/>
              <w:jc w:val="both"/>
              <w:rPr>
                <w:rFonts w:ascii="Times New Roman" w:hAnsi="Times New Roman" w:eastAsiaTheme="minorEastAsia"/>
              </w:rPr>
            </w:pPr>
            <w:r>
              <w:rPr>
                <w:rFonts w:hint="eastAsia" w:ascii="Times New Roman" w:hAnsi="Times New Roman" w:eastAsiaTheme="minorEastAsia"/>
              </w:rPr>
              <w:t>营业期限</w:t>
            </w:r>
          </w:p>
        </w:tc>
        <w:tc>
          <w:tcPr>
            <w:tcW w:w="7014" w:type="dxa"/>
          </w:tcPr>
          <w:p>
            <w:pPr>
              <w:pStyle w:val="6"/>
              <w:spacing w:line="360" w:lineRule="auto"/>
              <w:jc w:val="both"/>
              <w:rPr>
                <w:rFonts w:ascii="Times New Roman" w:hAnsi="Times New Roman" w:eastAsiaTheme="minorEastAsia"/>
              </w:rPr>
            </w:pPr>
            <w:r>
              <w:rPr>
                <w:rFonts w:ascii="Times New Roman" w:hAnsi="Times New Roman" w:eastAsiaTheme="minorEastAsia"/>
              </w:rPr>
              <w:t>2014年07月28日至2034年07月27日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8" w:type="dxa"/>
          </w:tcPr>
          <w:p>
            <w:pPr>
              <w:pStyle w:val="6"/>
              <w:spacing w:line="360" w:lineRule="auto"/>
              <w:jc w:val="both"/>
              <w:rPr>
                <w:rFonts w:ascii="Times New Roman" w:hAnsi="Times New Roman" w:eastAsiaTheme="minorEastAsia"/>
              </w:rPr>
            </w:pPr>
            <w:r>
              <w:rPr>
                <w:rFonts w:hint="eastAsia" w:ascii="Times New Roman" w:hAnsi="Times New Roman" w:eastAsiaTheme="minorEastAsia"/>
              </w:rPr>
              <w:t>住所</w:t>
            </w:r>
          </w:p>
        </w:tc>
        <w:tc>
          <w:tcPr>
            <w:tcW w:w="7014" w:type="dxa"/>
          </w:tcPr>
          <w:p>
            <w:pPr>
              <w:pStyle w:val="6"/>
              <w:spacing w:line="360" w:lineRule="auto"/>
              <w:jc w:val="both"/>
              <w:rPr>
                <w:rFonts w:ascii="Times New Roman" w:hAnsi="Times New Roman" w:eastAsiaTheme="minorEastAsia"/>
              </w:rPr>
            </w:pPr>
            <w:r>
              <w:rPr>
                <w:rFonts w:ascii="Times New Roman" w:hAnsi="Times New Roman" w:eastAsiaTheme="minorEastAsia"/>
              </w:rPr>
              <w:t>上海市崇明区陈家镇层海路888号3号楼1088室（上海智慧岛数据产业园）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8" w:type="dxa"/>
          </w:tcPr>
          <w:p>
            <w:pPr>
              <w:pStyle w:val="6"/>
              <w:spacing w:line="360" w:lineRule="auto"/>
              <w:jc w:val="both"/>
              <w:rPr>
                <w:rFonts w:ascii="Times New Roman" w:hAnsi="Times New Roman" w:eastAsiaTheme="minorEastAsia"/>
              </w:rPr>
            </w:pPr>
            <w:r>
              <w:rPr>
                <w:rFonts w:hint="eastAsia" w:ascii="Times New Roman" w:hAnsi="Times New Roman" w:eastAsiaTheme="minorEastAsia"/>
              </w:rPr>
              <w:t>经营范围</w:t>
            </w:r>
          </w:p>
        </w:tc>
        <w:tc>
          <w:tcPr>
            <w:tcW w:w="7014" w:type="dxa"/>
          </w:tcPr>
          <w:p>
            <w:pPr>
              <w:pStyle w:val="6"/>
              <w:spacing w:line="360" w:lineRule="auto"/>
              <w:jc w:val="both"/>
              <w:rPr>
                <w:rFonts w:ascii="Times New Roman" w:hAnsi="Times New Roman" w:eastAsiaTheme="minorEastAsia"/>
              </w:rPr>
            </w:pPr>
            <w:r>
              <w:rPr>
                <w:rFonts w:ascii="Times New Roman" w:hAnsi="Times New Roman" w:eastAsiaTheme="minorEastAsia"/>
              </w:rPr>
              <w:t>安全科技领域内的技术开发、技术转让、技术咨询和技术服务，计算机软硬件的开发、销售，计算机系统集成。</w:t>
            </w:r>
            <w:r>
              <w:rPr>
                <w:rFonts w:hint="eastAsia" w:eastAsiaTheme="minorEastAsia"/>
              </w:rPr>
              <w:t>【</w:t>
            </w:r>
            <w:r>
              <w:rPr>
                <w:rFonts w:ascii="Times New Roman" w:hAnsi="Times New Roman" w:eastAsiaTheme="minorEastAsia"/>
              </w:rPr>
              <w:t>依法须经批准的项目，经相关部门批准后方可开展经营活动</w:t>
            </w:r>
            <w:r>
              <w:rPr>
                <w:rFonts w:hint="eastAsia" w:eastAsiaTheme="minorEastAsia"/>
              </w:rPr>
              <w:t>】</w:t>
            </w:r>
          </w:p>
        </w:tc>
      </w:tr>
    </w:tbl>
    <w:p>
      <w:pPr>
        <w:spacing w:line="360" w:lineRule="auto"/>
        <w:ind w:firstLine="42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>被担保人最近一年又一期的财务数据：</w:t>
      </w:r>
    </w:p>
    <w:p>
      <w:pPr>
        <w:spacing w:line="360" w:lineRule="auto"/>
        <w:ind w:firstLine="420"/>
        <w:jc w:val="right"/>
        <w:rPr>
          <w:rFonts w:hint="default" w:ascii="Times New Roman" w:hAnsi="Times New Roman" w:eastAsia="宋体" w:cs="Times New Roman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lang w:val="en-US" w:eastAsia="zh-CN"/>
        </w:rPr>
        <w:t>单位：元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7"/>
        <w:gridCol w:w="3213"/>
        <w:gridCol w:w="28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7" w:type="dxa"/>
          </w:tcPr>
          <w:p>
            <w:pPr>
              <w:pStyle w:val="6"/>
              <w:spacing w:line="360" w:lineRule="auto"/>
              <w:jc w:val="both"/>
              <w:rPr>
                <w:rFonts w:ascii="Times New Roman" w:hAnsi="Times New Roman" w:eastAsiaTheme="minorEastAsia"/>
                <w:b/>
                <w:bCs/>
              </w:rPr>
            </w:pPr>
            <w:r>
              <w:rPr>
                <w:rFonts w:hint="eastAsia" w:ascii="Times New Roman" w:hAnsi="Times New Roman" w:eastAsiaTheme="minorEastAsia"/>
                <w:b/>
                <w:bCs/>
              </w:rPr>
              <w:t>科目</w:t>
            </w:r>
          </w:p>
        </w:tc>
        <w:tc>
          <w:tcPr>
            <w:tcW w:w="3213" w:type="dxa"/>
          </w:tcPr>
          <w:p>
            <w:pPr>
              <w:pStyle w:val="6"/>
              <w:spacing w:line="360" w:lineRule="auto"/>
              <w:jc w:val="center"/>
              <w:rPr>
                <w:rFonts w:ascii="Times New Roman" w:hAnsi="Times New Roman" w:eastAsiaTheme="minorEastAsia"/>
                <w:b/>
                <w:bCs/>
              </w:rPr>
            </w:pPr>
            <w:r>
              <w:rPr>
                <w:rFonts w:hint="eastAsia" w:ascii="Times New Roman" w:hAnsi="Times New Roman" w:eastAsiaTheme="minorEastAsia"/>
                <w:b/>
                <w:bCs/>
              </w:rPr>
              <w:t>2020年12月31日（经审计）</w:t>
            </w:r>
          </w:p>
        </w:tc>
        <w:tc>
          <w:tcPr>
            <w:tcW w:w="2842" w:type="dxa"/>
          </w:tcPr>
          <w:p>
            <w:pPr>
              <w:pStyle w:val="6"/>
              <w:spacing w:line="360" w:lineRule="auto"/>
              <w:jc w:val="center"/>
              <w:rPr>
                <w:rFonts w:ascii="Times New Roman" w:hAnsi="Times New Roman" w:eastAsiaTheme="minorEastAsia"/>
                <w:b/>
                <w:bCs/>
              </w:rPr>
            </w:pPr>
            <w:r>
              <w:rPr>
                <w:rFonts w:hint="eastAsia" w:ascii="Times New Roman" w:hAnsi="Times New Roman" w:eastAsiaTheme="minorEastAsia"/>
                <w:b/>
                <w:bCs/>
              </w:rPr>
              <w:t>2021年3月31日（未审计）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7" w:type="dxa"/>
          </w:tcPr>
          <w:p>
            <w:pPr>
              <w:pStyle w:val="6"/>
              <w:spacing w:line="360" w:lineRule="auto"/>
              <w:jc w:val="both"/>
              <w:rPr>
                <w:rFonts w:ascii="Times New Roman" w:hAnsi="Times New Roman" w:eastAsiaTheme="minorEastAsia"/>
              </w:rPr>
            </w:pPr>
            <w:r>
              <w:rPr>
                <w:rFonts w:hint="eastAsia" w:ascii="Times New Roman" w:hAnsi="Times New Roman" w:eastAsiaTheme="minorEastAsia"/>
              </w:rPr>
              <w:t>资产总额</w:t>
            </w:r>
          </w:p>
        </w:tc>
        <w:tc>
          <w:tcPr>
            <w:tcW w:w="3213" w:type="dxa"/>
            <w:vAlign w:val="center"/>
          </w:tcPr>
          <w:p>
            <w:pPr>
              <w:widowControl/>
              <w:jc w:val="righ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936,453,478.01</w:t>
            </w:r>
          </w:p>
        </w:tc>
        <w:tc>
          <w:tcPr>
            <w:tcW w:w="2842" w:type="dxa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971,098,294.87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7" w:type="dxa"/>
          </w:tcPr>
          <w:p>
            <w:pPr>
              <w:pStyle w:val="6"/>
              <w:spacing w:line="360" w:lineRule="auto"/>
              <w:jc w:val="both"/>
              <w:rPr>
                <w:rFonts w:ascii="Times New Roman" w:hAnsi="Times New Roman" w:eastAsiaTheme="minorEastAsia"/>
              </w:rPr>
            </w:pPr>
            <w:r>
              <w:rPr>
                <w:rFonts w:hint="eastAsia" w:ascii="Times New Roman" w:hAnsi="Times New Roman" w:eastAsiaTheme="minorEastAsia"/>
              </w:rPr>
              <w:t>负债总额</w:t>
            </w:r>
          </w:p>
        </w:tc>
        <w:tc>
          <w:tcPr>
            <w:tcW w:w="3213" w:type="dxa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225,960,140.62</w:t>
            </w:r>
          </w:p>
        </w:tc>
        <w:tc>
          <w:tcPr>
            <w:tcW w:w="2842" w:type="dxa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279,021,730.67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7" w:type="dxa"/>
          </w:tcPr>
          <w:p>
            <w:pPr>
              <w:pStyle w:val="6"/>
              <w:spacing w:line="360" w:lineRule="auto"/>
              <w:jc w:val="both"/>
              <w:rPr>
                <w:rFonts w:ascii="Times New Roman" w:hAnsi="Times New Roman" w:eastAsiaTheme="minorEastAsia"/>
              </w:rPr>
            </w:pPr>
            <w:r>
              <w:rPr>
                <w:rFonts w:hint="eastAsia" w:ascii="Times New Roman" w:hAnsi="Times New Roman" w:eastAsiaTheme="minorEastAsia"/>
              </w:rPr>
              <w:t>其中：银行贷款总额</w:t>
            </w:r>
          </w:p>
        </w:tc>
        <w:tc>
          <w:tcPr>
            <w:tcW w:w="3213" w:type="dxa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42" w:type="dxa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7" w:type="dxa"/>
          </w:tcPr>
          <w:p>
            <w:pPr>
              <w:pStyle w:val="6"/>
              <w:spacing w:line="360" w:lineRule="auto"/>
              <w:jc w:val="both"/>
              <w:rPr>
                <w:rFonts w:ascii="Times New Roman" w:hAnsi="Times New Roman" w:eastAsiaTheme="minorEastAsia"/>
              </w:rPr>
            </w:pPr>
            <w:r>
              <w:rPr>
                <w:rFonts w:hint="eastAsia" w:ascii="Times New Roman" w:hAnsi="Times New Roman" w:eastAsiaTheme="minorEastAsia"/>
              </w:rPr>
              <w:t>流动负债</w:t>
            </w:r>
          </w:p>
        </w:tc>
        <w:tc>
          <w:tcPr>
            <w:tcW w:w="3213" w:type="dxa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220,705,796.57</w:t>
            </w:r>
          </w:p>
        </w:tc>
        <w:tc>
          <w:tcPr>
            <w:tcW w:w="2842" w:type="dxa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273,727,996.21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7" w:type="dxa"/>
          </w:tcPr>
          <w:p>
            <w:pPr>
              <w:pStyle w:val="6"/>
              <w:spacing w:line="360" w:lineRule="auto"/>
              <w:jc w:val="both"/>
              <w:rPr>
                <w:rFonts w:ascii="Times New Roman" w:hAnsi="Times New Roman" w:eastAsiaTheme="minorEastAsia"/>
              </w:rPr>
            </w:pPr>
            <w:r>
              <w:rPr>
                <w:rFonts w:hint="eastAsia" w:ascii="Times New Roman" w:hAnsi="Times New Roman" w:eastAsiaTheme="minorEastAsia"/>
              </w:rPr>
              <w:t>净资产</w:t>
            </w:r>
          </w:p>
        </w:tc>
        <w:tc>
          <w:tcPr>
            <w:tcW w:w="3213" w:type="dxa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710,493,337.39</w:t>
            </w:r>
          </w:p>
        </w:tc>
        <w:tc>
          <w:tcPr>
            <w:tcW w:w="2842" w:type="dxa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692,076,564.20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7" w:type="dxa"/>
          </w:tcPr>
          <w:p>
            <w:pPr>
              <w:pStyle w:val="6"/>
              <w:spacing w:line="360" w:lineRule="auto"/>
              <w:jc w:val="both"/>
              <w:rPr>
                <w:rFonts w:ascii="Times New Roman" w:hAnsi="Times New Roman" w:eastAsiaTheme="minorEastAsia"/>
                <w:b/>
                <w:bCs/>
              </w:rPr>
            </w:pPr>
            <w:r>
              <w:rPr>
                <w:rFonts w:hint="eastAsia" w:ascii="Times New Roman" w:hAnsi="Times New Roman" w:eastAsiaTheme="minorEastAsia"/>
                <w:b/>
                <w:bCs/>
              </w:rPr>
              <w:t>科目</w:t>
            </w:r>
          </w:p>
        </w:tc>
        <w:tc>
          <w:tcPr>
            <w:tcW w:w="3213" w:type="dxa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2020年度（经审计）</w:t>
            </w:r>
          </w:p>
        </w:tc>
        <w:tc>
          <w:tcPr>
            <w:tcW w:w="2842" w:type="dxa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2021年1-3月（未审计）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7" w:type="dxa"/>
          </w:tcPr>
          <w:p>
            <w:pPr>
              <w:pStyle w:val="6"/>
              <w:spacing w:line="360" w:lineRule="auto"/>
              <w:jc w:val="both"/>
              <w:rPr>
                <w:rFonts w:ascii="Times New Roman" w:hAnsi="Times New Roman" w:eastAsiaTheme="minorEastAsia"/>
              </w:rPr>
            </w:pPr>
            <w:r>
              <w:rPr>
                <w:rFonts w:hint="eastAsia" w:ascii="Times New Roman" w:hAnsi="Times New Roman" w:eastAsiaTheme="minorEastAsia"/>
              </w:rPr>
              <w:t>营业收入</w:t>
            </w:r>
          </w:p>
        </w:tc>
        <w:tc>
          <w:tcPr>
            <w:tcW w:w="3213" w:type="dxa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255,997,770.12</w:t>
            </w:r>
          </w:p>
        </w:tc>
        <w:tc>
          <w:tcPr>
            <w:tcW w:w="2842" w:type="dxa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25,404,144.55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7" w:type="dxa"/>
          </w:tcPr>
          <w:p>
            <w:pPr>
              <w:pStyle w:val="6"/>
              <w:spacing w:line="360" w:lineRule="auto"/>
              <w:jc w:val="both"/>
              <w:rPr>
                <w:rFonts w:ascii="Times New Roman" w:hAnsi="Times New Roman" w:eastAsiaTheme="minorEastAsia"/>
              </w:rPr>
            </w:pPr>
            <w:r>
              <w:rPr>
                <w:rFonts w:hint="eastAsia" w:ascii="Times New Roman" w:hAnsi="Times New Roman" w:eastAsiaTheme="minorEastAsia"/>
              </w:rPr>
              <w:t>净利润</w:t>
            </w:r>
          </w:p>
        </w:tc>
        <w:tc>
          <w:tcPr>
            <w:tcW w:w="3213" w:type="dxa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41,168,014.37</w:t>
            </w:r>
          </w:p>
        </w:tc>
        <w:tc>
          <w:tcPr>
            <w:tcW w:w="2842" w:type="dxa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-18,416,773.19</w:t>
            </w:r>
          </w:p>
        </w:tc>
      </w:tr>
    </w:tbl>
    <w:p>
      <w:pPr>
        <w:numPr>
          <w:ilvl w:val="0"/>
          <w:numId w:val="3"/>
        </w:numPr>
        <w:spacing w:line="360" w:lineRule="auto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格尔安信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8"/>
        <w:gridCol w:w="70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1508" w:type="dxa"/>
          </w:tcPr>
          <w:p>
            <w:pPr>
              <w:pStyle w:val="6"/>
              <w:spacing w:line="360" w:lineRule="auto"/>
              <w:jc w:val="both"/>
              <w:rPr>
                <w:rFonts w:ascii="Times New Roman" w:hAnsi="Times New Roman" w:eastAsiaTheme="minorEastAsia"/>
              </w:rPr>
            </w:pPr>
            <w:r>
              <w:rPr>
                <w:rFonts w:hint="eastAsia" w:ascii="Times New Roman" w:hAnsi="Times New Roman" w:eastAsiaTheme="minorEastAsia"/>
              </w:rPr>
              <w:t>公司名称</w:t>
            </w:r>
          </w:p>
        </w:tc>
        <w:tc>
          <w:tcPr>
            <w:tcW w:w="7014" w:type="dxa"/>
          </w:tcPr>
          <w:p>
            <w:pPr>
              <w:pStyle w:val="6"/>
              <w:spacing w:line="360" w:lineRule="auto"/>
              <w:jc w:val="both"/>
              <w:rPr>
                <w:rFonts w:ascii="Times New Roman" w:hAnsi="Times New Roman" w:eastAsiaTheme="minorEastAsia"/>
              </w:rPr>
            </w:pPr>
            <w:r>
              <w:rPr>
                <w:rFonts w:ascii="Times New Roman" w:hAnsi="Times New Roman" w:eastAsiaTheme="minorEastAsia"/>
              </w:rPr>
              <w:t>上海格尔安信科技有限公司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8" w:type="dxa"/>
          </w:tcPr>
          <w:p>
            <w:pPr>
              <w:pStyle w:val="6"/>
              <w:spacing w:line="360" w:lineRule="auto"/>
              <w:jc w:val="both"/>
              <w:rPr>
                <w:rFonts w:ascii="Times New Roman" w:hAnsi="Times New Roman" w:eastAsiaTheme="minorEastAsia"/>
              </w:rPr>
            </w:pPr>
            <w:r>
              <w:rPr>
                <w:rFonts w:hint="eastAsia" w:ascii="Times New Roman" w:hAnsi="Times New Roman" w:eastAsiaTheme="minorEastAsia"/>
              </w:rPr>
              <w:t>公司类型</w:t>
            </w:r>
          </w:p>
        </w:tc>
        <w:tc>
          <w:tcPr>
            <w:tcW w:w="7014" w:type="dxa"/>
          </w:tcPr>
          <w:p>
            <w:pPr>
              <w:pStyle w:val="6"/>
              <w:spacing w:line="360" w:lineRule="auto"/>
              <w:jc w:val="both"/>
              <w:rPr>
                <w:rFonts w:ascii="Times New Roman" w:hAnsi="Times New Roman" w:eastAsiaTheme="minorEastAsia"/>
              </w:rPr>
            </w:pPr>
            <w:r>
              <w:rPr>
                <w:rFonts w:ascii="Times New Roman" w:hAnsi="Times New Roman" w:eastAsiaTheme="minorEastAsia"/>
              </w:rPr>
              <w:t>有限责任公司（自然人投资或控股的法人独资）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8" w:type="dxa"/>
          </w:tcPr>
          <w:p>
            <w:pPr>
              <w:pStyle w:val="6"/>
              <w:spacing w:line="360" w:lineRule="auto"/>
              <w:jc w:val="both"/>
              <w:rPr>
                <w:rFonts w:ascii="Times New Roman" w:hAnsi="Times New Roman" w:eastAsiaTheme="minorEastAsia"/>
              </w:rPr>
            </w:pPr>
            <w:r>
              <w:rPr>
                <w:rFonts w:hint="eastAsia" w:ascii="Times New Roman" w:hAnsi="Times New Roman" w:eastAsiaTheme="minorEastAsia"/>
              </w:rPr>
              <w:t>法定代表人</w:t>
            </w:r>
          </w:p>
        </w:tc>
        <w:tc>
          <w:tcPr>
            <w:tcW w:w="7014" w:type="dxa"/>
          </w:tcPr>
          <w:p>
            <w:pPr>
              <w:pStyle w:val="6"/>
              <w:spacing w:line="360" w:lineRule="auto"/>
              <w:jc w:val="both"/>
              <w:rPr>
                <w:rFonts w:ascii="Times New Roman" w:hAnsi="Times New Roman" w:eastAsiaTheme="minorEastAsia"/>
              </w:rPr>
            </w:pPr>
            <w:r>
              <w:rPr>
                <w:rFonts w:ascii="Times New Roman" w:hAnsi="Times New Roman" w:eastAsiaTheme="minorEastAsia"/>
              </w:rPr>
              <w:t>朱斌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8" w:type="dxa"/>
          </w:tcPr>
          <w:p>
            <w:pPr>
              <w:pStyle w:val="6"/>
              <w:spacing w:line="360" w:lineRule="auto"/>
              <w:jc w:val="both"/>
              <w:rPr>
                <w:rFonts w:ascii="Times New Roman" w:hAnsi="Times New Roman" w:eastAsiaTheme="minorEastAsia"/>
              </w:rPr>
            </w:pPr>
            <w:r>
              <w:rPr>
                <w:rFonts w:hint="eastAsia" w:ascii="Times New Roman" w:hAnsi="Times New Roman" w:eastAsiaTheme="minorEastAsia"/>
              </w:rPr>
              <w:t>注册资本</w:t>
            </w:r>
          </w:p>
        </w:tc>
        <w:tc>
          <w:tcPr>
            <w:tcW w:w="7014" w:type="dxa"/>
          </w:tcPr>
          <w:p>
            <w:pPr>
              <w:pStyle w:val="6"/>
              <w:spacing w:line="360" w:lineRule="auto"/>
              <w:jc w:val="both"/>
              <w:rPr>
                <w:rFonts w:ascii="Times New Roman" w:hAnsi="Times New Roman" w:eastAsiaTheme="minorEastAsia"/>
              </w:rPr>
            </w:pPr>
            <w:r>
              <w:rPr>
                <w:rFonts w:ascii="Times New Roman" w:hAnsi="Times New Roman" w:eastAsiaTheme="minorEastAsia"/>
              </w:rPr>
              <w:t>人民币5</w:t>
            </w:r>
            <w:r>
              <w:rPr>
                <w:rFonts w:hint="eastAsia" w:ascii="Times New Roman" w:hAnsi="Times New Roman" w:eastAsiaTheme="minorEastAsia"/>
              </w:rPr>
              <w:t>,</w:t>
            </w:r>
            <w:r>
              <w:rPr>
                <w:rFonts w:ascii="Times New Roman" w:hAnsi="Times New Roman" w:eastAsiaTheme="minorEastAsia"/>
              </w:rPr>
              <w:t>000.0000万元整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8" w:type="dxa"/>
          </w:tcPr>
          <w:p>
            <w:pPr>
              <w:pStyle w:val="6"/>
              <w:spacing w:line="360" w:lineRule="auto"/>
              <w:jc w:val="both"/>
              <w:rPr>
                <w:rFonts w:ascii="Times New Roman" w:hAnsi="Times New Roman" w:eastAsiaTheme="minorEastAsia"/>
              </w:rPr>
            </w:pPr>
            <w:r>
              <w:rPr>
                <w:rFonts w:hint="eastAsia" w:ascii="Times New Roman" w:hAnsi="Times New Roman" w:eastAsiaTheme="minorEastAsia"/>
              </w:rPr>
              <w:t>成立日期</w:t>
            </w:r>
          </w:p>
        </w:tc>
        <w:tc>
          <w:tcPr>
            <w:tcW w:w="7014" w:type="dxa"/>
          </w:tcPr>
          <w:p>
            <w:pPr>
              <w:pStyle w:val="6"/>
              <w:spacing w:line="360" w:lineRule="auto"/>
              <w:jc w:val="both"/>
              <w:rPr>
                <w:rFonts w:ascii="Times New Roman" w:hAnsi="Times New Roman" w:eastAsiaTheme="minorEastAsia"/>
              </w:rPr>
            </w:pPr>
            <w:r>
              <w:rPr>
                <w:rFonts w:ascii="Times New Roman" w:hAnsi="Times New Roman" w:eastAsiaTheme="minorEastAsia"/>
              </w:rPr>
              <w:t>2019年05月28日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8" w:type="dxa"/>
          </w:tcPr>
          <w:p>
            <w:pPr>
              <w:pStyle w:val="6"/>
              <w:spacing w:line="360" w:lineRule="auto"/>
              <w:jc w:val="both"/>
              <w:rPr>
                <w:rFonts w:ascii="Times New Roman" w:hAnsi="Times New Roman" w:eastAsiaTheme="minorEastAsia"/>
              </w:rPr>
            </w:pPr>
            <w:r>
              <w:rPr>
                <w:rFonts w:hint="eastAsia" w:ascii="Times New Roman" w:hAnsi="Times New Roman" w:eastAsiaTheme="minorEastAsia"/>
              </w:rPr>
              <w:t>营业期限</w:t>
            </w:r>
          </w:p>
        </w:tc>
        <w:tc>
          <w:tcPr>
            <w:tcW w:w="7014" w:type="dxa"/>
          </w:tcPr>
          <w:p>
            <w:pPr>
              <w:pStyle w:val="6"/>
              <w:spacing w:line="360" w:lineRule="auto"/>
              <w:jc w:val="both"/>
              <w:rPr>
                <w:rFonts w:ascii="Times New Roman" w:hAnsi="Times New Roman" w:eastAsiaTheme="minorEastAsia"/>
              </w:rPr>
            </w:pPr>
            <w:r>
              <w:rPr>
                <w:rFonts w:ascii="Times New Roman" w:hAnsi="Times New Roman" w:eastAsiaTheme="minorEastAsia"/>
              </w:rPr>
              <w:t>2019年05月28日至2039年05月27日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8" w:type="dxa"/>
          </w:tcPr>
          <w:p>
            <w:pPr>
              <w:pStyle w:val="6"/>
              <w:spacing w:line="360" w:lineRule="auto"/>
              <w:jc w:val="both"/>
              <w:rPr>
                <w:rFonts w:ascii="Times New Roman" w:hAnsi="Times New Roman" w:eastAsiaTheme="minorEastAsia"/>
              </w:rPr>
            </w:pPr>
            <w:r>
              <w:rPr>
                <w:rFonts w:hint="eastAsia" w:ascii="Times New Roman" w:hAnsi="Times New Roman" w:eastAsiaTheme="minorEastAsia"/>
              </w:rPr>
              <w:t>住所</w:t>
            </w:r>
          </w:p>
        </w:tc>
        <w:tc>
          <w:tcPr>
            <w:tcW w:w="7014" w:type="dxa"/>
          </w:tcPr>
          <w:p>
            <w:pPr>
              <w:pStyle w:val="6"/>
              <w:spacing w:line="360" w:lineRule="auto"/>
              <w:jc w:val="both"/>
              <w:rPr>
                <w:rFonts w:ascii="Times New Roman" w:hAnsi="Times New Roman" w:eastAsiaTheme="minorEastAsia"/>
              </w:rPr>
            </w:pPr>
            <w:r>
              <w:rPr>
                <w:rFonts w:ascii="Times New Roman" w:hAnsi="Times New Roman" w:eastAsiaTheme="minorEastAsia"/>
              </w:rPr>
              <w:t>上海市松江区泗泾镇赵非公路51号18幢5层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8" w:type="dxa"/>
          </w:tcPr>
          <w:p>
            <w:pPr>
              <w:pStyle w:val="6"/>
              <w:spacing w:line="360" w:lineRule="auto"/>
              <w:jc w:val="both"/>
              <w:rPr>
                <w:rFonts w:ascii="Times New Roman" w:hAnsi="Times New Roman" w:eastAsiaTheme="minorEastAsia"/>
              </w:rPr>
            </w:pPr>
            <w:r>
              <w:rPr>
                <w:rFonts w:hint="eastAsia" w:ascii="Times New Roman" w:hAnsi="Times New Roman" w:eastAsiaTheme="minorEastAsia"/>
              </w:rPr>
              <w:t>经营范围</w:t>
            </w:r>
          </w:p>
        </w:tc>
        <w:tc>
          <w:tcPr>
            <w:tcW w:w="7014" w:type="dxa"/>
          </w:tcPr>
          <w:p>
            <w:pPr>
              <w:pStyle w:val="6"/>
              <w:spacing w:line="360" w:lineRule="auto"/>
              <w:jc w:val="both"/>
              <w:rPr>
                <w:rFonts w:ascii="Times New Roman" w:hAnsi="Times New Roman" w:eastAsiaTheme="minorEastAsia"/>
              </w:rPr>
            </w:pPr>
            <w:r>
              <w:rPr>
                <w:rFonts w:hint="eastAsia" w:ascii="Times New Roman" w:hAnsi="Times New Roman" w:eastAsiaTheme="minorEastAsia"/>
              </w:rPr>
              <w:t>信息科技、计算机科技、网络科技领域内的技术开发、技术咨询、技术转让、技术服务；计算机软件开发；计算机系统集成；计算机软硬件及辅助设备销售。【依法须经批准的项目，经相关部门批准后方可开展经营活动】</w:t>
            </w:r>
          </w:p>
        </w:tc>
      </w:tr>
    </w:tbl>
    <w:p>
      <w:pPr>
        <w:spacing w:line="360" w:lineRule="auto"/>
        <w:ind w:firstLine="42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>被担保人最近一年又一期的财务数据：</w:t>
      </w:r>
    </w:p>
    <w:p>
      <w:pPr>
        <w:spacing w:line="360" w:lineRule="auto"/>
        <w:ind w:firstLine="420"/>
        <w:jc w:val="right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  <w:lang w:val="en-US" w:eastAsia="zh-CN"/>
        </w:rPr>
        <w:t>单位：元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7"/>
        <w:gridCol w:w="3213"/>
        <w:gridCol w:w="28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7" w:type="dxa"/>
          </w:tcPr>
          <w:p>
            <w:pPr>
              <w:pStyle w:val="6"/>
              <w:spacing w:line="360" w:lineRule="auto"/>
              <w:jc w:val="both"/>
              <w:rPr>
                <w:rFonts w:ascii="Times New Roman" w:hAnsi="Times New Roman" w:eastAsiaTheme="minorEastAsia"/>
                <w:b/>
                <w:bCs/>
              </w:rPr>
            </w:pPr>
            <w:r>
              <w:rPr>
                <w:rFonts w:hint="eastAsia" w:ascii="Times New Roman" w:hAnsi="Times New Roman" w:eastAsiaTheme="minorEastAsia"/>
                <w:b/>
                <w:bCs/>
              </w:rPr>
              <w:t>科目</w:t>
            </w:r>
          </w:p>
        </w:tc>
        <w:tc>
          <w:tcPr>
            <w:tcW w:w="3213" w:type="dxa"/>
          </w:tcPr>
          <w:p>
            <w:pPr>
              <w:pStyle w:val="6"/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</w:rPr>
              <w:t>2020年12月31日（经审计）</w:t>
            </w:r>
          </w:p>
        </w:tc>
        <w:tc>
          <w:tcPr>
            <w:tcW w:w="2842" w:type="dxa"/>
          </w:tcPr>
          <w:p>
            <w:pPr>
              <w:pStyle w:val="6"/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</w:rPr>
              <w:t>2021年3月31日（未审计）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7" w:type="dxa"/>
          </w:tcPr>
          <w:p>
            <w:pPr>
              <w:pStyle w:val="6"/>
              <w:spacing w:line="360" w:lineRule="auto"/>
              <w:jc w:val="both"/>
              <w:rPr>
                <w:rFonts w:ascii="Times New Roman" w:hAnsi="Times New Roman" w:eastAsiaTheme="minorEastAsia"/>
              </w:rPr>
            </w:pPr>
            <w:r>
              <w:rPr>
                <w:rFonts w:hint="eastAsia" w:ascii="Times New Roman" w:hAnsi="Times New Roman" w:eastAsiaTheme="minorEastAsia"/>
              </w:rPr>
              <w:t>资产总额</w:t>
            </w:r>
          </w:p>
        </w:tc>
        <w:tc>
          <w:tcPr>
            <w:tcW w:w="3213" w:type="dxa"/>
            <w:vAlign w:val="center"/>
          </w:tcPr>
          <w:p>
            <w:pPr>
              <w:widowControl/>
              <w:jc w:val="righ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31,480,277.83</w:t>
            </w:r>
          </w:p>
        </w:tc>
        <w:tc>
          <w:tcPr>
            <w:tcW w:w="2842" w:type="dxa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20,155,893.52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7" w:type="dxa"/>
          </w:tcPr>
          <w:p>
            <w:pPr>
              <w:pStyle w:val="6"/>
              <w:spacing w:line="360" w:lineRule="auto"/>
              <w:jc w:val="both"/>
              <w:rPr>
                <w:rFonts w:ascii="Times New Roman" w:hAnsi="Times New Roman" w:eastAsiaTheme="minorEastAsia"/>
              </w:rPr>
            </w:pPr>
            <w:r>
              <w:rPr>
                <w:rFonts w:hint="eastAsia" w:ascii="Times New Roman" w:hAnsi="Times New Roman" w:eastAsiaTheme="minorEastAsia"/>
              </w:rPr>
              <w:t>负债总额</w:t>
            </w:r>
          </w:p>
        </w:tc>
        <w:tc>
          <w:tcPr>
            <w:tcW w:w="3213" w:type="dxa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9,605,829.68</w:t>
            </w:r>
          </w:p>
        </w:tc>
        <w:tc>
          <w:tcPr>
            <w:tcW w:w="2842" w:type="dxa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2,363,125.86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7" w:type="dxa"/>
          </w:tcPr>
          <w:p>
            <w:pPr>
              <w:pStyle w:val="6"/>
              <w:spacing w:line="360" w:lineRule="auto"/>
              <w:jc w:val="both"/>
              <w:rPr>
                <w:rFonts w:ascii="Times New Roman" w:hAnsi="Times New Roman" w:eastAsiaTheme="minorEastAsia"/>
              </w:rPr>
            </w:pPr>
            <w:r>
              <w:rPr>
                <w:rFonts w:hint="eastAsia" w:ascii="Times New Roman" w:hAnsi="Times New Roman" w:eastAsiaTheme="minorEastAsia"/>
              </w:rPr>
              <w:t>其中：银行贷款总额</w:t>
            </w:r>
          </w:p>
        </w:tc>
        <w:tc>
          <w:tcPr>
            <w:tcW w:w="3213" w:type="dxa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42" w:type="dxa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7" w:type="dxa"/>
          </w:tcPr>
          <w:p>
            <w:pPr>
              <w:pStyle w:val="6"/>
              <w:spacing w:line="360" w:lineRule="auto"/>
              <w:jc w:val="both"/>
              <w:rPr>
                <w:rFonts w:ascii="Times New Roman" w:hAnsi="Times New Roman" w:eastAsiaTheme="minorEastAsia"/>
              </w:rPr>
            </w:pPr>
            <w:r>
              <w:rPr>
                <w:rFonts w:hint="eastAsia" w:ascii="Times New Roman" w:hAnsi="Times New Roman" w:eastAsiaTheme="minorEastAsia"/>
              </w:rPr>
              <w:t>流动负债</w:t>
            </w:r>
          </w:p>
        </w:tc>
        <w:tc>
          <w:tcPr>
            <w:tcW w:w="3213" w:type="dxa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8,605,829.68</w:t>
            </w:r>
          </w:p>
        </w:tc>
        <w:tc>
          <w:tcPr>
            <w:tcW w:w="2842" w:type="dxa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1,363,125.86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7" w:type="dxa"/>
          </w:tcPr>
          <w:p>
            <w:pPr>
              <w:pStyle w:val="6"/>
              <w:spacing w:line="360" w:lineRule="auto"/>
              <w:jc w:val="both"/>
              <w:rPr>
                <w:rFonts w:ascii="Times New Roman" w:hAnsi="Times New Roman" w:eastAsiaTheme="minorEastAsia"/>
              </w:rPr>
            </w:pPr>
            <w:r>
              <w:rPr>
                <w:rFonts w:hint="eastAsia" w:ascii="Times New Roman" w:hAnsi="Times New Roman" w:eastAsiaTheme="minorEastAsia"/>
              </w:rPr>
              <w:t>净资产</w:t>
            </w:r>
          </w:p>
        </w:tc>
        <w:tc>
          <w:tcPr>
            <w:tcW w:w="3213" w:type="dxa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21,874,448.15</w:t>
            </w:r>
          </w:p>
        </w:tc>
        <w:tc>
          <w:tcPr>
            <w:tcW w:w="2842" w:type="dxa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17,792,767.66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7" w:type="dxa"/>
          </w:tcPr>
          <w:p>
            <w:pPr>
              <w:pStyle w:val="6"/>
              <w:spacing w:line="360" w:lineRule="auto"/>
              <w:jc w:val="both"/>
              <w:rPr>
                <w:rFonts w:ascii="Times New Roman" w:hAnsi="Times New Roman" w:eastAsiaTheme="minorEastAsia"/>
                <w:b/>
                <w:bCs/>
              </w:rPr>
            </w:pPr>
            <w:r>
              <w:rPr>
                <w:rFonts w:hint="eastAsia" w:ascii="Times New Roman" w:hAnsi="Times New Roman" w:eastAsiaTheme="minorEastAsia"/>
                <w:b/>
                <w:bCs/>
              </w:rPr>
              <w:t>科目</w:t>
            </w:r>
          </w:p>
        </w:tc>
        <w:tc>
          <w:tcPr>
            <w:tcW w:w="3213" w:type="dxa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2020年度（经审计）</w:t>
            </w:r>
          </w:p>
        </w:tc>
        <w:tc>
          <w:tcPr>
            <w:tcW w:w="2842" w:type="dxa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2021年1-3月（未审计）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7" w:type="dxa"/>
          </w:tcPr>
          <w:p>
            <w:pPr>
              <w:pStyle w:val="6"/>
              <w:spacing w:line="360" w:lineRule="auto"/>
              <w:jc w:val="both"/>
              <w:rPr>
                <w:rFonts w:ascii="Times New Roman" w:hAnsi="Times New Roman" w:eastAsiaTheme="minorEastAsia"/>
              </w:rPr>
            </w:pPr>
            <w:r>
              <w:rPr>
                <w:rFonts w:hint="eastAsia" w:ascii="Times New Roman" w:hAnsi="Times New Roman" w:eastAsiaTheme="minorEastAsia"/>
              </w:rPr>
              <w:t>营业收入</w:t>
            </w:r>
          </w:p>
        </w:tc>
        <w:tc>
          <w:tcPr>
            <w:tcW w:w="3213" w:type="dxa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47,350,113.57</w:t>
            </w:r>
          </w:p>
        </w:tc>
        <w:tc>
          <w:tcPr>
            <w:tcW w:w="2842" w:type="dxa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23,150.43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7" w:type="dxa"/>
          </w:tcPr>
          <w:p>
            <w:pPr>
              <w:pStyle w:val="6"/>
              <w:spacing w:line="360" w:lineRule="auto"/>
              <w:jc w:val="both"/>
              <w:rPr>
                <w:rFonts w:ascii="Times New Roman" w:hAnsi="Times New Roman" w:eastAsiaTheme="minorEastAsia"/>
              </w:rPr>
            </w:pPr>
            <w:r>
              <w:rPr>
                <w:rFonts w:hint="eastAsia" w:ascii="Times New Roman" w:hAnsi="Times New Roman" w:eastAsiaTheme="minorEastAsia"/>
              </w:rPr>
              <w:t>净利润</w:t>
            </w:r>
          </w:p>
        </w:tc>
        <w:tc>
          <w:tcPr>
            <w:tcW w:w="3213" w:type="dxa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290,528.69</w:t>
            </w:r>
          </w:p>
        </w:tc>
        <w:tc>
          <w:tcPr>
            <w:tcW w:w="2842" w:type="dxa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-4,081,680.49</w:t>
            </w:r>
          </w:p>
        </w:tc>
      </w:tr>
    </w:tbl>
    <w:p>
      <w:pPr>
        <w:numPr>
          <w:ilvl w:val="0"/>
          <w:numId w:val="2"/>
        </w:numPr>
        <w:spacing w:line="360" w:lineRule="auto"/>
        <w:rPr>
          <w:rFonts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担保协议的主要内容</w:t>
      </w:r>
    </w:p>
    <w:p>
      <w:pPr>
        <w:spacing w:line="360" w:lineRule="auto"/>
        <w:ind w:firstLine="420" w:firstLineChars="175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公司及格尔安全、格尔安信目前尚未与银行等相关方签订</w:t>
      </w:r>
      <w:r>
        <w:rPr>
          <w:rFonts w:hint="eastAsia" w:ascii="宋体" w:hAnsi="宋体" w:eastAsia="宋体" w:cs="宋体"/>
          <w:sz w:val="24"/>
          <w:lang w:val="en-US" w:eastAsia="zh-CN"/>
        </w:rPr>
        <w:t>申请授信额度及</w:t>
      </w:r>
      <w:r>
        <w:rPr>
          <w:rFonts w:hint="eastAsia" w:ascii="宋体" w:hAnsi="宋体" w:eastAsia="宋体" w:cs="宋体"/>
          <w:sz w:val="24"/>
        </w:rPr>
        <w:t>担保相关的合同或协议，实际</w:t>
      </w:r>
      <w:r>
        <w:rPr>
          <w:rFonts w:hint="eastAsia" w:ascii="宋体" w:hAnsi="宋体" w:eastAsia="宋体" w:cs="宋体"/>
          <w:sz w:val="24"/>
          <w:lang w:val="en-US" w:eastAsia="zh-CN"/>
        </w:rPr>
        <w:t>授信额度、授信期限、</w:t>
      </w:r>
      <w:r>
        <w:rPr>
          <w:rFonts w:hint="eastAsia" w:ascii="宋体" w:hAnsi="宋体" w:eastAsia="宋体" w:cs="宋体"/>
          <w:sz w:val="24"/>
        </w:rPr>
        <w:t>担保金额、担保方式、担保期限等条款以正式签署担保相关的合同或协议为准。</w:t>
      </w:r>
    </w:p>
    <w:p>
      <w:pPr>
        <w:spacing w:line="360" w:lineRule="auto"/>
        <w:ind w:firstLine="420" w:firstLineChars="175"/>
        <w:rPr>
          <w:rFonts w:hint="eastAsia" w:ascii="宋体" w:hAnsi="宋体" w:eastAsia="宋体" w:cs="宋体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>为提高工作效率，及时办理融资业务，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董事会</w:t>
      </w:r>
      <w:r>
        <w:rPr>
          <w:rFonts w:hint="eastAsia" w:ascii="Times New Roman" w:hAnsi="Times New Roman" w:eastAsia="宋体" w:cs="Times New Roman"/>
          <w:sz w:val="24"/>
        </w:rPr>
        <w:t>授权公司董事长根据公司实际经营情况的需要签署与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本次申请银行</w:t>
      </w:r>
      <w:r>
        <w:rPr>
          <w:rFonts w:hint="eastAsia" w:ascii="Times New Roman" w:hAnsi="Times New Roman" w:eastAsia="宋体" w:cs="Times New Roman"/>
          <w:sz w:val="24"/>
        </w:rPr>
        <w:t>授信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额度</w:t>
      </w:r>
      <w:r>
        <w:rPr>
          <w:rFonts w:hint="eastAsia" w:ascii="Times New Roman" w:hAnsi="Times New Roman" w:eastAsia="宋体" w:cs="Times New Roman"/>
          <w:sz w:val="24"/>
        </w:rPr>
        <w:t>（包括但不限于授信、借款、担保、抵押、融资等）有关的合同、协议、凭证等各项法律文件，并办理相关手续。</w:t>
      </w:r>
    </w:p>
    <w:p>
      <w:pPr>
        <w:numPr>
          <w:ilvl w:val="0"/>
          <w:numId w:val="2"/>
        </w:numPr>
        <w:spacing w:line="360" w:lineRule="auto"/>
        <w:rPr>
          <w:rFonts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董事会意见</w:t>
      </w:r>
    </w:p>
    <w:p>
      <w:pPr>
        <w:spacing w:line="360" w:lineRule="auto"/>
        <w:ind w:firstLine="420" w:firstLineChars="175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公司董事会认为：</w:t>
      </w:r>
      <w:r>
        <w:rPr>
          <w:rFonts w:hint="eastAsia" w:ascii="宋体" w:hAnsi="宋体" w:eastAsia="宋体" w:cs="宋体"/>
          <w:sz w:val="24"/>
          <w:lang w:val="en-US" w:eastAsia="zh-CN"/>
        </w:rPr>
        <w:t>本次申请银行授信额度事项，是为了满足</w:t>
      </w:r>
      <w:r>
        <w:rPr>
          <w:rFonts w:hint="default" w:ascii="Times New Roman" w:hAnsi="Times New Roman" w:cs="Times New Roman"/>
          <w:bCs/>
          <w:snapToGrid w:val="0"/>
          <w:color w:val="000000"/>
          <w:kern w:val="0"/>
          <w:sz w:val="24"/>
          <w:szCs w:val="24"/>
          <w:lang w:val="en-US" w:eastAsia="zh-CN" w:bidi="ar-SA"/>
        </w:rPr>
        <w:t>公司正常经营</w:t>
      </w:r>
      <w:r>
        <w:rPr>
          <w:rFonts w:hint="eastAsia" w:ascii="Times New Roman" w:hAnsi="Times New Roman" w:cs="Times New Roman"/>
          <w:bCs/>
          <w:snapToGrid w:val="0"/>
          <w:color w:val="000000"/>
          <w:kern w:val="0"/>
          <w:sz w:val="24"/>
          <w:szCs w:val="24"/>
          <w:lang w:val="en-US" w:eastAsia="zh-CN" w:bidi="ar-SA"/>
        </w:rPr>
        <w:t>的</w:t>
      </w:r>
      <w:r>
        <w:rPr>
          <w:rFonts w:hint="default" w:ascii="Times New Roman" w:hAnsi="Times New Roman" w:cs="Times New Roman"/>
          <w:bCs/>
          <w:snapToGrid w:val="0"/>
          <w:color w:val="000000"/>
          <w:kern w:val="0"/>
          <w:sz w:val="24"/>
          <w:szCs w:val="24"/>
          <w:lang w:val="en-US" w:eastAsia="zh-CN" w:bidi="ar-SA"/>
        </w:rPr>
        <w:t>需</w:t>
      </w:r>
      <w:r>
        <w:rPr>
          <w:rFonts w:hint="eastAsia" w:ascii="Times New Roman" w:hAnsi="Times New Roman" w:cs="Times New Roman"/>
          <w:bCs/>
          <w:snapToGrid w:val="0"/>
          <w:color w:val="000000"/>
          <w:kern w:val="0"/>
          <w:sz w:val="24"/>
          <w:szCs w:val="24"/>
          <w:lang w:val="en-US" w:eastAsia="zh-CN" w:bidi="ar-SA"/>
        </w:rPr>
        <w:t>要</w:t>
      </w:r>
      <w:r>
        <w:rPr>
          <w:rFonts w:hint="default" w:ascii="Times New Roman" w:hAnsi="Times New Roman" w:cs="Times New Roman"/>
          <w:bCs/>
          <w:snapToGrid w:val="0"/>
          <w:color w:val="000000"/>
          <w:kern w:val="0"/>
          <w:sz w:val="24"/>
          <w:szCs w:val="24"/>
          <w:lang w:val="en-US" w:eastAsia="zh-CN" w:bidi="ar-SA"/>
        </w:rPr>
        <w:t>，</w:t>
      </w:r>
      <w:r>
        <w:rPr>
          <w:rFonts w:hint="eastAsia" w:ascii="Times New Roman" w:hAnsi="Times New Roman" w:cs="Times New Roman"/>
          <w:bCs/>
          <w:snapToGrid w:val="0"/>
          <w:color w:val="000000"/>
          <w:kern w:val="0"/>
          <w:sz w:val="24"/>
          <w:szCs w:val="24"/>
          <w:lang w:val="en-US" w:eastAsia="zh-CN" w:bidi="ar-SA"/>
        </w:rPr>
        <w:t>有利于提高</w:t>
      </w:r>
      <w:r>
        <w:rPr>
          <w:rFonts w:hint="default" w:ascii="Times New Roman" w:hAnsi="Times New Roman" w:cs="Times New Roman"/>
          <w:bCs/>
          <w:snapToGrid w:val="0"/>
          <w:color w:val="000000"/>
          <w:kern w:val="0"/>
          <w:sz w:val="24"/>
          <w:szCs w:val="24"/>
          <w:lang w:val="en-US" w:eastAsia="zh-CN" w:bidi="ar-SA"/>
        </w:rPr>
        <w:t>公司及全资子公司</w:t>
      </w:r>
      <w:r>
        <w:rPr>
          <w:rFonts w:hint="eastAsia" w:ascii="Times New Roman" w:hAnsi="Times New Roman" w:cs="Times New Roman"/>
          <w:bCs/>
          <w:snapToGrid w:val="0"/>
          <w:color w:val="000000"/>
          <w:kern w:val="0"/>
          <w:sz w:val="24"/>
          <w:szCs w:val="24"/>
          <w:lang w:val="en-US" w:eastAsia="zh-CN" w:bidi="ar-SA"/>
        </w:rPr>
        <w:t>业务开展效率。</w:t>
      </w:r>
      <w:r>
        <w:rPr>
          <w:rFonts w:hint="eastAsia" w:ascii="宋体" w:hAnsi="宋体" w:eastAsia="宋体" w:cs="宋体"/>
          <w:sz w:val="24"/>
        </w:rPr>
        <w:t>公司为全资子公司提供担保，能够支持全资子公司持续发展，符合公司整体发展的战略。本次担保对象皆为公司的全资子公司，公司对其经营具有实际控制和影响，可以及时掌控其资信状况。董事会同意公司上述</w:t>
      </w:r>
      <w:r>
        <w:rPr>
          <w:rFonts w:hint="eastAsia" w:ascii="宋体" w:hAnsi="宋体" w:eastAsia="宋体" w:cs="宋体"/>
          <w:sz w:val="24"/>
          <w:lang w:val="en-US" w:eastAsia="zh-CN"/>
        </w:rPr>
        <w:t>申请银行授信并提供</w:t>
      </w:r>
      <w:r>
        <w:rPr>
          <w:rFonts w:hint="eastAsia" w:ascii="宋体" w:hAnsi="宋体" w:eastAsia="宋体" w:cs="宋体"/>
          <w:sz w:val="24"/>
        </w:rPr>
        <w:t>担保事项。</w:t>
      </w:r>
    </w:p>
    <w:p>
      <w:pPr>
        <w:numPr>
          <w:ilvl w:val="0"/>
          <w:numId w:val="2"/>
        </w:numPr>
        <w:spacing w:line="360" w:lineRule="auto"/>
        <w:rPr>
          <w:rFonts w:ascii="Times New Roman" w:hAnsi="Times New Roman" w:eastAsia="宋体" w:cs="Times New Roman"/>
          <w:b/>
          <w:bCs/>
          <w:sz w:val="24"/>
        </w:rPr>
      </w:pPr>
      <w:r>
        <w:rPr>
          <w:rFonts w:hint="eastAsia" w:ascii="Times New Roman" w:hAnsi="Times New Roman" w:eastAsia="宋体" w:cs="Times New Roman"/>
          <w:b/>
          <w:bCs/>
          <w:sz w:val="24"/>
        </w:rPr>
        <w:t>独立董事意见</w:t>
      </w:r>
    </w:p>
    <w:p>
      <w:pPr>
        <w:spacing w:line="360" w:lineRule="auto"/>
        <w:ind w:firstLine="420"/>
        <w:rPr>
          <w:rStyle w:val="5"/>
          <w:rFonts w:ascii="Times New Roman" w:hAnsi="Times New Roman" w:eastAsia="宋体" w:cs="Times New Roman"/>
          <w:color w:val="auto"/>
          <w:sz w:val="24"/>
          <w:u w:val="none"/>
        </w:rPr>
      </w:pPr>
      <w:r>
        <w:rPr>
          <w:rStyle w:val="5"/>
          <w:rFonts w:ascii="Times New Roman" w:hAnsi="Times New Roman" w:eastAsia="宋体" w:cs="Times New Roman"/>
          <w:color w:val="auto"/>
          <w:sz w:val="24"/>
          <w:u w:val="none"/>
        </w:rPr>
        <w:t>公司独立董事</w:t>
      </w:r>
      <w:r>
        <w:rPr>
          <w:rStyle w:val="5"/>
          <w:rFonts w:hint="eastAsia" w:ascii="Times New Roman" w:hAnsi="Times New Roman" w:eastAsia="宋体" w:cs="Times New Roman"/>
          <w:color w:val="auto"/>
          <w:sz w:val="24"/>
          <w:u w:val="none"/>
        </w:rPr>
        <w:t>认为</w:t>
      </w:r>
      <w:r>
        <w:rPr>
          <w:rStyle w:val="5"/>
          <w:rFonts w:ascii="Times New Roman" w:hAnsi="Times New Roman" w:eastAsia="宋体" w:cs="Times New Roman"/>
          <w:color w:val="auto"/>
          <w:sz w:val="24"/>
          <w:u w:val="none"/>
        </w:rPr>
        <w:t>：</w:t>
      </w:r>
      <w:r>
        <w:rPr>
          <w:rStyle w:val="5"/>
          <w:rFonts w:hint="eastAsia" w:ascii="Times New Roman" w:hAnsi="Times New Roman" w:eastAsia="宋体" w:cs="Times New Roman"/>
          <w:color w:val="auto"/>
          <w:sz w:val="24"/>
          <w:u w:val="none"/>
        </w:rPr>
        <w:t>公司本次</w:t>
      </w:r>
      <w:r>
        <w:rPr>
          <w:rFonts w:hint="eastAsia" w:ascii="宋体" w:hAnsi="宋体" w:eastAsia="宋体" w:cs="宋体"/>
          <w:sz w:val="24"/>
          <w:lang w:val="en-US" w:eastAsia="zh-CN"/>
        </w:rPr>
        <w:t>申请银行授信额度并提供</w:t>
      </w:r>
      <w:r>
        <w:rPr>
          <w:rStyle w:val="5"/>
          <w:rFonts w:hint="eastAsia" w:ascii="Times New Roman" w:hAnsi="Times New Roman" w:eastAsia="宋体" w:cs="Times New Roman"/>
          <w:color w:val="auto"/>
          <w:sz w:val="24"/>
          <w:u w:val="none"/>
        </w:rPr>
        <w:t>担保事项的内容和决策程序符合相关法律法规和规范性文件的规定。公司为全资子公司格尔安全及格尔安信提供担保，目的是保证全资子公司的正常经营，助力全资子公司发展。公司对全资子公司的经营具有实际控制和影响，担保风险可控，不存在损害公司及股东利益的情形，不会对公司经营发展造成不利影响。同意公司执行本次</w:t>
      </w:r>
      <w:r>
        <w:rPr>
          <w:rStyle w:val="5"/>
          <w:rFonts w:hint="eastAsia" w:ascii="Times New Roman" w:hAnsi="Times New Roman" w:eastAsia="宋体" w:cs="Times New Roman"/>
          <w:color w:val="auto"/>
          <w:sz w:val="24"/>
          <w:u w:val="none"/>
          <w:lang w:val="en-US" w:eastAsia="zh-CN"/>
        </w:rPr>
        <w:t>申请</w:t>
      </w:r>
      <w:r>
        <w:rPr>
          <w:rFonts w:hint="eastAsia" w:ascii="宋体" w:hAnsi="宋体" w:eastAsia="宋体" w:cs="宋体"/>
          <w:sz w:val="24"/>
          <w:lang w:val="en-US" w:eastAsia="zh-CN"/>
        </w:rPr>
        <w:t>银行授信额度并为全资子公司提供</w:t>
      </w:r>
      <w:r>
        <w:rPr>
          <w:rStyle w:val="5"/>
          <w:rFonts w:hint="eastAsia" w:ascii="Times New Roman" w:hAnsi="Times New Roman" w:eastAsia="宋体" w:cs="Times New Roman"/>
          <w:color w:val="auto"/>
          <w:sz w:val="24"/>
          <w:u w:val="none"/>
        </w:rPr>
        <w:t>担保。</w:t>
      </w:r>
    </w:p>
    <w:p>
      <w:pPr>
        <w:numPr>
          <w:ilvl w:val="0"/>
          <w:numId w:val="2"/>
        </w:numPr>
        <w:spacing w:line="360" w:lineRule="auto"/>
        <w:rPr>
          <w:rFonts w:ascii="Times New Roman" w:hAnsi="Times New Roman" w:eastAsia="宋体" w:cs="Times New Roman"/>
          <w:b/>
          <w:bCs/>
          <w:sz w:val="24"/>
        </w:rPr>
      </w:pPr>
      <w:r>
        <w:rPr>
          <w:rFonts w:hint="eastAsia" w:ascii="Times New Roman" w:hAnsi="Times New Roman" w:eastAsia="宋体" w:cs="Times New Roman"/>
          <w:b/>
          <w:bCs/>
          <w:sz w:val="24"/>
        </w:rPr>
        <w:t>累计对外担保数量及逾期担保的数量</w:t>
      </w:r>
    </w:p>
    <w:p>
      <w:pPr>
        <w:spacing w:line="360" w:lineRule="auto"/>
        <w:ind w:firstLine="420"/>
        <w:rPr>
          <w:rFonts w:ascii="Times New Roman" w:hAnsi="Times New Roman" w:eastAsia="宋体" w:cs="Times New Roman"/>
          <w:b/>
          <w:bCs/>
          <w:sz w:val="24"/>
        </w:rPr>
      </w:pPr>
      <w:r>
        <w:rPr>
          <w:rStyle w:val="5"/>
          <w:rFonts w:ascii="Times New Roman" w:hAnsi="Times New Roman" w:eastAsia="宋体" w:cs="Times New Roman"/>
          <w:color w:val="auto"/>
          <w:sz w:val="24"/>
          <w:u w:val="none"/>
        </w:rPr>
        <w:t>截至</w:t>
      </w:r>
      <w:r>
        <w:rPr>
          <w:rStyle w:val="5"/>
          <w:rFonts w:hint="eastAsia" w:ascii="Times New Roman" w:hAnsi="Times New Roman" w:eastAsia="宋体" w:cs="Times New Roman"/>
          <w:color w:val="auto"/>
          <w:sz w:val="24"/>
          <w:u w:val="none"/>
        </w:rPr>
        <w:t>本次公告披露日</w:t>
      </w:r>
      <w:r>
        <w:rPr>
          <w:rStyle w:val="5"/>
          <w:rFonts w:ascii="Times New Roman" w:hAnsi="Times New Roman" w:eastAsia="宋体" w:cs="Times New Roman"/>
          <w:color w:val="auto"/>
          <w:sz w:val="24"/>
          <w:u w:val="none"/>
        </w:rPr>
        <w:t>，</w:t>
      </w:r>
      <w:r>
        <w:rPr>
          <w:rStyle w:val="5"/>
          <w:rFonts w:hint="eastAsia" w:ascii="Times New Roman" w:hAnsi="Times New Roman" w:eastAsia="宋体" w:cs="Times New Roman"/>
          <w:color w:val="auto"/>
          <w:sz w:val="24"/>
          <w:u w:val="none"/>
        </w:rPr>
        <w:t>除本次新增担保外，公司无其他对外担保的情形。本次新增担保1.2亿元人民币，</w:t>
      </w:r>
      <w:r>
        <w:rPr>
          <w:rStyle w:val="5"/>
          <w:rFonts w:ascii="Times New Roman" w:hAnsi="Times New Roman" w:eastAsia="宋体" w:cs="Times New Roman"/>
          <w:color w:val="auto"/>
          <w:sz w:val="24"/>
          <w:u w:val="none"/>
        </w:rPr>
        <w:t>占公司最近一期经审计净资产的</w:t>
      </w:r>
      <w:r>
        <w:rPr>
          <w:rStyle w:val="5"/>
          <w:rFonts w:hint="eastAsia" w:ascii="Times New Roman" w:hAnsi="Times New Roman" w:eastAsia="宋体" w:cs="Times New Roman"/>
          <w:color w:val="auto"/>
          <w:sz w:val="24"/>
          <w:u w:val="none"/>
        </w:rPr>
        <w:t>9.02%</w:t>
      </w:r>
      <w:r>
        <w:rPr>
          <w:rStyle w:val="5"/>
          <w:rFonts w:ascii="Times New Roman" w:hAnsi="Times New Roman" w:eastAsia="宋体" w:cs="Times New Roman"/>
          <w:color w:val="auto"/>
          <w:sz w:val="24"/>
          <w:u w:val="none"/>
        </w:rPr>
        <w:t>。无逾期担保的情况。</w:t>
      </w:r>
    </w:p>
    <w:p>
      <w:pPr>
        <w:spacing w:line="360" w:lineRule="auto"/>
        <w:ind w:firstLine="420"/>
        <w:rPr>
          <w:rStyle w:val="5"/>
          <w:rFonts w:ascii="Times New Roman" w:hAnsi="Times New Roman" w:eastAsia="宋体" w:cs="Times New Roman"/>
          <w:color w:val="auto"/>
          <w:sz w:val="24"/>
          <w:u w:val="none"/>
        </w:rPr>
      </w:pPr>
      <w:bookmarkStart w:id="0" w:name="_GoBack"/>
      <w:bookmarkEnd w:id="0"/>
    </w:p>
    <w:p>
      <w:pPr>
        <w:spacing w:line="360" w:lineRule="auto"/>
        <w:ind w:firstLine="420"/>
        <w:rPr>
          <w:rStyle w:val="5"/>
          <w:rFonts w:ascii="Times New Roman" w:hAnsi="Times New Roman" w:eastAsia="宋体" w:cs="Times New Roman"/>
          <w:color w:val="auto"/>
          <w:sz w:val="24"/>
          <w:u w:val="none"/>
        </w:rPr>
      </w:pPr>
      <w:r>
        <w:rPr>
          <w:rStyle w:val="5"/>
          <w:rFonts w:ascii="Times New Roman" w:hAnsi="Times New Roman" w:eastAsia="宋体" w:cs="Times New Roman"/>
          <w:color w:val="auto"/>
          <w:sz w:val="24"/>
          <w:u w:val="none"/>
        </w:rPr>
        <w:t>特此公告。</w:t>
      </w:r>
    </w:p>
    <w:p>
      <w:pPr>
        <w:spacing w:line="360" w:lineRule="auto"/>
        <w:jc w:val="right"/>
        <w:rPr>
          <w:rStyle w:val="5"/>
          <w:rFonts w:ascii="Times New Roman" w:hAnsi="Times New Roman" w:eastAsia="宋体" w:cs="Times New Roman"/>
          <w:color w:val="auto"/>
          <w:sz w:val="24"/>
          <w:u w:val="none"/>
        </w:rPr>
      </w:pPr>
      <w:r>
        <w:rPr>
          <w:rStyle w:val="5"/>
          <w:rFonts w:ascii="Times New Roman" w:hAnsi="Times New Roman" w:eastAsia="宋体" w:cs="Times New Roman"/>
          <w:color w:val="auto"/>
          <w:sz w:val="24"/>
          <w:u w:val="none"/>
        </w:rPr>
        <w:t>格尔软件股份有限公司董事会</w:t>
      </w:r>
    </w:p>
    <w:p>
      <w:pPr>
        <w:spacing w:line="360" w:lineRule="auto"/>
        <w:jc w:val="right"/>
        <w:rPr>
          <w:rStyle w:val="5"/>
          <w:rFonts w:ascii="Times New Roman" w:hAnsi="Times New Roman" w:eastAsia="宋体" w:cs="Times New Roman"/>
          <w:color w:val="auto"/>
          <w:sz w:val="24"/>
          <w:u w:val="none"/>
        </w:rPr>
      </w:pPr>
      <w:r>
        <w:rPr>
          <w:rStyle w:val="5"/>
          <w:rFonts w:ascii="Times New Roman" w:hAnsi="Times New Roman" w:eastAsia="宋体" w:cs="Times New Roman"/>
          <w:color w:val="auto"/>
          <w:sz w:val="24"/>
          <w:u w:val="none"/>
        </w:rPr>
        <w:t>2021年</w:t>
      </w:r>
      <w:r>
        <w:rPr>
          <w:rStyle w:val="5"/>
          <w:rFonts w:hint="eastAsia" w:ascii="Times New Roman" w:hAnsi="Times New Roman" w:eastAsia="宋体" w:cs="Times New Roman"/>
          <w:color w:val="auto"/>
          <w:sz w:val="24"/>
          <w:u w:val="none"/>
        </w:rPr>
        <w:t>8</w:t>
      </w:r>
      <w:r>
        <w:rPr>
          <w:rStyle w:val="5"/>
          <w:rFonts w:ascii="Times New Roman" w:hAnsi="Times New Roman" w:eastAsia="宋体" w:cs="Times New Roman"/>
          <w:color w:val="auto"/>
          <w:sz w:val="24"/>
          <w:u w:val="none"/>
        </w:rPr>
        <w:t>月</w:t>
      </w:r>
      <w:r>
        <w:rPr>
          <w:rStyle w:val="5"/>
          <w:rFonts w:hint="eastAsia" w:ascii="Times New Roman" w:hAnsi="Times New Roman" w:eastAsia="宋体" w:cs="Times New Roman"/>
          <w:color w:val="auto"/>
          <w:sz w:val="24"/>
          <w:highlight w:val="none"/>
          <w:u w:val="none"/>
          <w:lang w:val="en-US" w:eastAsia="zh-CN"/>
        </w:rPr>
        <w:t>11</w:t>
      </w:r>
      <w:r>
        <w:rPr>
          <w:rStyle w:val="5"/>
          <w:rFonts w:ascii="Times New Roman" w:hAnsi="Times New Roman" w:eastAsia="宋体" w:cs="Times New Roman"/>
          <w:color w:val="auto"/>
          <w:sz w:val="24"/>
          <w:u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EDDA81E"/>
    <w:multiLevelType w:val="singleLevel"/>
    <w:tmpl w:val="EEDDA81E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45B29B1C"/>
    <w:multiLevelType w:val="singleLevel"/>
    <w:tmpl w:val="45B29B1C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2">
    <w:nsid w:val="60D8BCB3"/>
    <w:multiLevelType w:val="singleLevel"/>
    <w:tmpl w:val="60D8BCB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D92F1A"/>
    <w:rsid w:val="00107AF5"/>
    <w:rsid w:val="00491A48"/>
    <w:rsid w:val="00D403C4"/>
    <w:rsid w:val="018E4822"/>
    <w:rsid w:val="027576DF"/>
    <w:rsid w:val="02AF4FED"/>
    <w:rsid w:val="04BC2DF0"/>
    <w:rsid w:val="05202816"/>
    <w:rsid w:val="05B5678A"/>
    <w:rsid w:val="07832D9E"/>
    <w:rsid w:val="083E47F0"/>
    <w:rsid w:val="08C60F31"/>
    <w:rsid w:val="0A555D8C"/>
    <w:rsid w:val="0AC149D4"/>
    <w:rsid w:val="0BC4590D"/>
    <w:rsid w:val="0BE8347C"/>
    <w:rsid w:val="0F34760A"/>
    <w:rsid w:val="11535FD3"/>
    <w:rsid w:val="11E83C8E"/>
    <w:rsid w:val="15462F97"/>
    <w:rsid w:val="15C679D5"/>
    <w:rsid w:val="17E62CEF"/>
    <w:rsid w:val="1B2F445C"/>
    <w:rsid w:val="1D36117A"/>
    <w:rsid w:val="1DCB3388"/>
    <w:rsid w:val="1DE640C3"/>
    <w:rsid w:val="1E125A00"/>
    <w:rsid w:val="1F6C3676"/>
    <w:rsid w:val="1FB96C88"/>
    <w:rsid w:val="203D0DED"/>
    <w:rsid w:val="21063A45"/>
    <w:rsid w:val="222C4A54"/>
    <w:rsid w:val="228C4274"/>
    <w:rsid w:val="24B376F1"/>
    <w:rsid w:val="29A7485D"/>
    <w:rsid w:val="2DF44503"/>
    <w:rsid w:val="2E3F35E9"/>
    <w:rsid w:val="2E4E7A2B"/>
    <w:rsid w:val="2E80779D"/>
    <w:rsid w:val="32411661"/>
    <w:rsid w:val="34564FD8"/>
    <w:rsid w:val="38D05A6D"/>
    <w:rsid w:val="38E3159A"/>
    <w:rsid w:val="390212BA"/>
    <w:rsid w:val="397D10DC"/>
    <w:rsid w:val="39B02A11"/>
    <w:rsid w:val="3AF7441B"/>
    <w:rsid w:val="3DD9744E"/>
    <w:rsid w:val="3EE1443F"/>
    <w:rsid w:val="3EFB2631"/>
    <w:rsid w:val="3F280E35"/>
    <w:rsid w:val="40461D28"/>
    <w:rsid w:val="410745DE"/>
    <w:rsid w:val="42FD048C"/>
    <w:rsid w:val="433B62FA"/>
    <w:rsid w:val="43426F87"/>
    <w:rsid w:val="43791485"/>
    <w:rsid w:val="448403C5"/>
    <w:rsid w:val="48000720"/>
    <w:rsid w:val="4A0E310F"/>
    <w:rsid w:val="4BAD4BDC"/>
    <w:rsid w:val="4C565D83"/>
    <w:rsid w:val="50B471AF"/>
    <w:rsid w:val="565D3FFC"/>
    <w:rsid w:val="56FD7F32"/>
    <w:rsid w:val="59DB62D9"/>
    <w:rsid w:val="5B7F334B"/>
    <w:rsid w:val="5C646231"/>
    <w:rsid w:val="5E937D86"/>
    <w:rsid w:val="609A26F5"/>
    <w:rsid w:val="62D92F1A"/>
    <w:rsid w:val="650B1465"/>
    <w:rsid w:val="65585375"/>
    <w:rsid w:val="66066C4D"/>
    <w:rsid w:val="6736715E"/>
    <w:rsid w:val="67BF6746"/>
    <w:rsid w:val="683A721E"/>
    <w:rsid w:val="684D0448"/>
    <w:rsid w:val="688A543D"/>
    <w:rsid w:val="68BA5CE9"/>
    <w:rsid w:val="692A202C"/>
    <w:rsid w:val="6B797D08"/>
    <w:rsid w:val="6DBF37EC"/>
    <w:rsid w:val="6E471F02"/>
    <w:rsid w:val="70A644C2"/>
    <w:rsid w:val="70BD7855"/>
    <w:rsid w:val="73911D1F"/>
    <w:rsid w:val="73A671D6"/>
    <w:rsid w:val="75A620CB"/>
    <w:rsid w:val="76CC503A"/>
    <w:rsid w:val="78C7160D"/>
    <w:rsid w:val="7A656D7F"/>
    <w:rsid w:val="7B810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qFormat/>
    <w:uiPriority w:val="0"/>
    <w:rPr>
      <w:color w:val="0000FF"/>
      <w:u w:val="single"/>
    </w:rPr>
  </w:style>
  <w:style w:type="paragraph" w:customStyle="1" w:styleId="6">
    <w:name w:val="Default"/>
    <w:qFormat/>
    <w:uiPriority w:val="0"/>
    <w:pPr>
      <w:widowControl w:val="0"/>
      <w:autoSpaceDE w:val="0"/>
      <w:autoSpaceDN w:val="0"/>
      <w:adjustRightInd w:val="0"/>
    </w:pPr>
    <w:rPr>
      <w:rFonts w:ascii="楷体_GB2312" w:hAnsi="Calibri" w:eastAsia="楷体_GB2312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366</Words>
  <Characters>2090</Characters>
  <Lines>17</Lines>
  <Paragraphs>4</Paragraphs>
  <TotalTime>17</TotalTime>
  <ScaleCrop>false</ScaleCrop>
  <LinksUpToDate>false</LinksUpToDate>
  <CharactersWithSpaces>2452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2021-04-17T08:56:00Z</dcterms:created>
  <dc:creator>suuuu</dc:creator>
  <cp:lastModifiedBy>邹岩</cp:lastModifiedBy>
  <dcterms:modified xsi:type="dcterms:W3CDTF">2021-08-09T06:06:47Z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21E2B86F5ACC403795946CA1E3C0FA2F</vt:lpwstr>
  </property>
</Properties>
</file>