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sz w:val="21"/>
          <w:szCs w:val="21"/>
        </w:rPr>
      </w:pPr>
      <w:r>
        <w:rPr>
          <w:rFonts w:hint="eastAsia"/>
          <w:sz w:val="21"/>
          <w:szCs w:val="21"/>
        </w:rPr>
        <w:t>证券代码：</w:t>
      </w:r>
      <w:r>
        <w:rPr>
          <w:sz w:val="21"/>
          <w:szCs w:val="21"/>
        </w:rPr>
        <w:t xml:space="preserve">603232               </w:t>
      </w:r>
      <w:r>
        <w:rPr>
          <w:rFonts w:hint="eastAsia"/>
          <w:sz w:val="21"/>
          <w:szCs w:val="21"/>
        </w:rPr>
        <w:t>证券简称：格尔软件</w:t>
      </w:r>
      <w:r>
        <w:rPr>
          <w:sz w:val="21"/>
          <w:szCs w:val="21"/>
        </w:rPr>
        <w:t xml:space="preserve">            公告编号：2022</w:t>
      </w:r>
      <w:r>
        <w:rPr>
          <w:rFonts w:hint="eastAsia"/>
          <w:sz w:val="21"/>
          <w:szCs w:val="21"/>
        </w:rPr>
        <w:t>-037</w:t>
      </w:r>
    </w:p>
    <w:p>
      <w:pPr>
        <w:widowControl w:val="0"/>
        <w:autoSpaceDE w:val="0"/>
        <w:autoSpaceDN w:val="0"/>
        <w:adjustRightInd w:val="0"/>
        <w:spacing w:line="360" w:lineRule="auto"/>
        <w:rPr>
          <w:color w:val="000000"/>
          <w:sz w:val="21"/>
          <w:szCs w:val="21"/>
        </w:rPr>
      </w:pPr>
    </w:p>
    <w:p>
      <w:pPr>
        <w:widowControl w:val="0"/>
        <w:autoSpaceDE w:val="0"/>
        <w:autoSpaceDN w:val="0"/>
        <w:adjustRightInd w:val="0"/>
        <w:spacing w:line="360" w:lineRule="auto"/>
        <w:jc w:val="center"/>
        <w:rPr>
          <w:rFonts w:eastAsia="黑体"/>
          <w:b/>
          <w:color w:val="FF0000"/>
          <w:sz w:val="36"/>
          <w:szCs w:val="36"/>
        </w:rPr>
      </w:pPr>
      <w:r>
        <w:rPr>
          <w:rFonts w:hint="eastAsia" w:eastAsia="黑体"/>
          <w:b/>
          <w:color w:val="FF0000"/>
          <w:sz w:val="36"/>
          <w:szCs w:val="36"/>
        </w:rPr>
        <w:t>格尔软件股份有限公司</w:t>
      </w:r>
    </w:p>
    <w:p>
      <w:pPr>
        <w:widowControl w:val="0"/>
        <w:autoSpaceDE w:val="0"/>
        <w:autoSpaceDN w:val="0"/>
        <w:adjustRightInd w:val="0"/>
        <w:spacing w:line="360" w:lineRule="auto"/>
        <w:jc w:val="center"/>
        <w:rPr>
          <w:rFonts w:eastAsia="黑体"/>
          <w:b/>
          <w:color w:val="FF0000"/>
          <w:sz w:val="36"/>
          <w:szCs w:val="36"/>
        </w:rPr>
      </w:pPr>
      <w:r>
        <w:rPr>
          <w:rFonts w:hint="eastAsia" w:eastAsia="黑体"/>
          <w:b/>
          <w:color w:val="FF0000"/>
          <w:sz w:val="36"/>
          <w:szCs w:val="36"/>
        </w:rPr>
        <w:t>关于</w:t>
      </w:r>
      <w:r>
        <w:rPr>
          <w:rFonts w:eastAsia="黑体"/>
          <w:b/>
          <w:color w:val="FF0000"/>
          <w:sz w:val="36"/>
          <w:szCs w:val="36"/>
        </w:rPr>
        <w:t>2021年股票期权激励计划注销部分股票期权及调整首次授予股票期权行权价格的公告</w:t>
      </w:r>
    </w:p>
    <w:p>
      <w:pPr>
        <w:widowControl w:val="0"/>
        <w:autoSpaceDE w:val="0"/>
        <w:autoSpaceDN w:val="0"/>
        <w:adjustRightInd w:val="0"/>
        <w:spacing w:line="360" w:lineRule="auto"/>
        <w:jc w:val="center"/>
        <w:rPr>
          <w:color w:val="000000"/>
        </w:rPr>
      </w:pPr>
    </w:p>
    <w:p>
      <w:pPr>
        <w:pBdr>
          <w:top w:val="single" w:color="auto" w:sz="4" w:space="1"/>
          <w:left w:val="single" w:color="auto" w:sz="4" w:space="4"/>
          <w:bottom w:val="single" w:color="auto" w:sz="4" w:space="1"/>
          <w:right w:val="single" w:color="auto" w:sz="4" w:space="4"/>
        </w:pBdr>
        <w:adjustRightInd w:val="0"/>
        <w:snapToGrid w:val="0"/>
        <w:spacing w:line="360" w:lineRule="auto"/>
      </w:pPr>
      <w:r>
        <w:t xml:space="preserve">    本公司董事会及全体董事保证本公告内容不存在任何虚假记载、误导性陈述或者重大遗漏，并对其内容的真实性、准确性和完整性承担法律责任。  </w:t>
      </w:r>
    </w:p>
    <w:p>
      <w:pPr>
        <w:widowControl w:val="0"/>
        <w:autoSpaceDE w:val="0"/>
        <w:autoSpaceDN w:val="0"/>
        <w:adjustRightInd w:val="0"/>
        <w:spacing w:line="360" w:lineRule="auto"/>
        <w:rPr>
          <w:b/>
          <w:color w:val="000000"/>
        </w:rPr>
      </w:pPr>
      <w:r>
        <w:rPr>
          <w:rFonts w:hint="eastAsia"/>
          <w:b/>
          <w:color w:val="000000"/>
        </w:rPr>
        <w:t>重要内容提示：</w:t>
      </w:r>
    </w:p>
    <w:p>
      <w:pPr>
        <w:widowControl w:val="0"/>
        <w:numPr>
          <w:ilvl w:val="0"/>
          <w:numId w:val="1"/>
        </w:numPr>
        <w:autoSpaceDE w:val="0"/>
        <w:autoSpaceDN w:val="0"/>
        <w:adjustRightInd w:val="0"/>
        <w:spacing w:line="360" w:lineRule="auto"/>
        <w:rPr>
          <w:color w:val="000000"/>
        </w:rPr>
      </w:pPr>
      <w:r>
        <w:rPr>
          <w:rFonts w:hint="eastAsia"/>
          <w:color w:val="000000"/>
        </w:rPr>
        <w:t>激励对象人数</w:t>
      </w:r>
      <w:r>
        <w:rPr>
          <w:color w:val="000000"/>
        </w:rPr>
        <w:t>：</w:t>
      </w:r>
      <w:r>
        <w:rPr>
          <w:rFonts w:hint="eastAsia"/>
          <w:color w:val="000000"/>
        </w:rPr>
        <w:t>由160人调整为153人</w:t>
      </w:r>
      <w:bookmarkStart w:id="5" w:name="_GoBack"/>
      <w:bookmarkEnd w:id="5"/>
    </w:p>
    <w:p>
      <w:pPr>
        <w:widowControl w:val="0"/>
        <w:numPr>
          <w:ilvl w:val="0"/>
          <w:numId w:val="1"/>
        </w:numPr>
        <w:autoSpaceDE w:val="0"/>
        <w:autoSpaceDN w:val="0"/>
        <w:adjustRightInd w:val="0"/>
        <w:spacing w:line="360" w:lineRule="auto"/>
      </w:pPr>
      <w:r>
        <w:rPr>
          <w:color w:val="000000"/>
        </w:rPr>
        <w:t>股票期权数量：由</w:t>
      </w:r>
      <w:r>
        <w:rPr>
          <w:rFonts w:hint="eastAsia"/>
        </w:rPr>
        <w:t>696.40万份</w:t>
      </w:r>
      <w:r>
        <w:rPr>
          <w:color w:val="000000"/>
        </w:rPr>
        <w:t>调整为</w:t>
      </w:r>
      <w:r>
        <w:rPr>
          <w:rFonts w:hint="eastAsia"/>
          <w:color w:val="000000"/>
        </w:rPr>
        <w:t>654.90</w:t>
      </w:r>
      <w:r>
        <w:rPr>
          <w:color w:val="000000"/>
        </w:rPr>
        <w:t>万份</w:t>
      </w:r>
    </w:p>
    <w:p>
      <w:pPr>
        <w:widowControl w:val="0"/>
        <w:numPr>
          <w:ilvl w:val="0"/>
          <w:numId w:val="1"/>
        </w:numPr>
        <w:autoSpaceDE w:val="0"/>
        <w:autoSpaceDN w:val="0"/>
        <w:adjustRightInd w:val="0"/>
        <w:spacing w:line="360" w:lineRule="auto"/>
      </w:pPr>
      <w:r>
        <w:rPr>
          <w:rFonts w:hint="eastAsia"/>
          <w:color w:val="000000"/>
        </w:rPr>
        <w:t>股票期权的行权价格：由</w:t>
      </w:r>
      <w:r>
        <w:rPr>
          <w:rFonts w:hint="eastAsia"/>
        </w:rPr>
        <w:t>13.58元/股调整为</w:t>
      </w:r>
      <w:r>
        <w:rPr>
          <w:rFonts w:hint="eastAsia"/>
          <w:color w:val="000000"/>
        </w:rPr>
        <w:t>13.45</w:t>
      </w:r>
      <w:r>
        <w:rPr>
          <w:rFonts w:hint="eastAsia"/>
        </w:rPr>
        <w:t>元/股</w:t>
      </w:r>
    </w:p>
    <w:p>
      <w:pPr>
        <w:widowControl w:val="0"/>
        <w:autoSpaceDE w:val="0"/>
        <w:autoSpaceDN w:val="0"/>
        <w:adjustRightInd w:val="0"/>
        <w:spacing w:line="360" w:lineRule="auto"/>
        <w:rPr>
          <w:highlight w:val="yellow"/>
        </w:rPr>
      </w:pPr>
    </w:p>
    <w:p>
      <w:pPr>
        <w:snapToGrid w:val="0"/>
        <w:spacing w:line="360" w:lineRule="auto"/>
        <w:ind w:firstLine="460" w:firstLineChars="192"/>
        <w:jc w:val="both"/>
        <w:rPr>
          <w:rFonts w:eastAsiaTheme="minorEastAsia"/>
          <w:color w:val="000000"/>
        </w:rPr>
      </w:pPr>
      <w:r>
        <w:rPr>
          <w:rFonts w:hint="eastAsia" w:eastAsiaTheme="minorEastAsia"/>
          <w:color w:val="000000"/>
        </w:rPr>
        <w:t>格</w:t>
      </w:r>
      <w:r>
        <w:rPr>
          <w:rFonts w:eastAsiaTheme="minorEastAsia"/>
          <w:color w:val="000000"/>
        </w:rPr>
        <w:t>尔软件股份有限公司（以下简称</w:t>
      </w:r>
      <w:r>
        <w:rPr>
          <w:rFonts w:hint="eastAsia"/>
          <w:color w:val="000000"/>
        </w:rPr>
        <w:t>“公司”</w:t>
      </w:r>
      <w:r>
        <w:rPr>
          <w:rFonts w:eastAsiaTheme="minorEastAsia"/>
          <w:color w:val="000000"/>
        </w:rPr>
        <w:t>）于2022年</w:t>
      </w:r>
      <w:r>
        <w:rPr>
          <w:rFonts w:hint="eastAsia" w:eastAsiaTheme="minorEastAsia"/>
          <w:color w:val="000000"/>
        </w:rPr>
        <w:t>7</w:t>
      </w:r>
      <w:r>
        <w:rPr>
          <w:rFonts w:eastAsiaTheme="minorEastAsia"/>
          <w:color w:val="000000"/>
        </w:rPr>
        <w:t>月</w:t>
      </w:r>
      <w:r>
        <w:rPr>
          <w:rFonts w:hint="eastAsia" w:eastAsiaTheme="minorEastAsia"/>
          <w:color w:val="000000"/>
        </w:rPr>
        <w:t>15</w:t>
      </w:r>
      <w:r>
        <w:rPr>
          <w:rFonts w:eastAsiaTheme="minorEastAsia"/>
          <w:color w:val="000000"/>
        </w:rPr>
        <w:t>日</w:t>
      </w:r>
      <w:r>
        <w:rPr>
          <w:rFonts w:hint="eastAsia" w:eastAsiaTheme="minorEastAsia"/>
          <w:color w:val="000000"/>
        </w:rPr>
        <w:t>召开</w:t>
      </w:r>
      <w:r>
        <w:rPr>
          <w:rFonts w:eastAsiaTheme="minorEastAsia"/>
          <w:color w:val="000000"/>
        </w:rPr>
        <w:t>第</w:t>
      </w:r>
      <w:r>
        <w:rPr>
          <w:rFonts w:hint="eastAsia" w:eastAsiaTheme="minorEastAsia"/>
          <w:color w:val="000000"/>
        </w:rPr>
        <w:t>八</w:t>
      </w:r>
      <w:r>
        <w:rPr>
          <w:rFonts w:eastAsiaTheme="minorEastAsia"/>
          <w:color w:val="000000"/>
        </w:rPr>
        <w:t>届董事会第</w:t>
      </w:r>
      <w:r>
        <w:rPr>
          <w:rFonts w:hint="eastAsia" w:eastAsiaTheme="minorEastAsia"/>
          <w:color w:val="000000"/>
        </w:rPr>
        <w:t>二</w:t>
      </w:r>
      <w:r>
        <w:rPr>
          <w:rFonts w:eastAsiaTheme="minorEastAsia"/>
          <w:color w:val="000000"/>
        </w:rPr>
        <w:t>次会议</w:t>
      </w:r>
      <w:r>
        <w:rPr>
          <w:rFonts w:hint="eastAsia" w:eastAsiaTheme="minorEastAsia"/>
          <w:color w:val="000000"/>
        </w:rPr>
        <w:t>、第八届监事会第二次会议，会议</w:t>
      </w:r>
      <w:r>
        <w:rPr>
          <w:rFonts w:eastAsiaTheme="minorEastAsia"/>
          <w:color w:val="000000"/>
        </w:rPr>
        <w:t>审议通过了《关于</w:t>
      </w:r>
      <w:r>
        <w:rPr>
          <w:rFonts w:hint="eastAsia" w:eastAsiaTheme="minorEastAsia"/>
          <w:color w:val="000000"/>
        </w:rPr>
        <w:t>拟</w:t>
      </w:r>
      <w:r>
        <w:rPr>
          <w:rFonts w:eastAsiaTheme="minorEastAsia"/>
          <w:color w:val="000000"/>
        </w:rPr>
        <w:t>注销部分已</w:t>
      </w:r>
      <w:r>
        <w:rPr>
          <w:rFonts w:hint="eastAsia" w:eastAsiaTheme="minorEastAsia"/>
          <w:color w:val="000000"/>
        </w:rPr>
        <w:t>获授</w:t>
      </w:r>
      <w:r>
        <w:rPr>
          <w:rFonts w:eastAsiaTheme="minorEastAsia"/>
          <w:color w:val="000000"/>
        </w:rPr>
        <w:t>但尚未行权股票期权的议案》《关于调整公司2021年股票期权激励计划股票期权行权价格的议案》，现将有关事项说明如下：</w:t>
      </w:r>
    </w:p>
    <w:p>
      <w:pPr>
        <w:numPr>
          <w:ilvl w:val="0"/>
          <w:numId w:val="2"/>
        </w:numPr>
        <w:snapToGrid w:val="0"/>
        <w:spacing w:line="360" w:lineRule="auto"/>
        <w:ind w:firstLine="463" w:firstLineChars="192"/>
        <w:jc w:val="both"/>
        <w:rPr>
          <w:rFonts w:eastAsiaTheme="minorEastAsia"/>
          <w:b/>
          <w:bCs/>
          <w:color w:val="000000"/>
        </w:rPr>
      </w:pPr>
      <w:r>
        <w:rPr>
          <w:rFonts w:hint="eastAsia" w:eastAsiaTheme="minorEastAsia"/>
          <w:b/>
          <w:bCs/>
          <w:color w:val="000000"/>
        </w:rPr>
        <w:t>本次激励计划已履行的相关审批程序及实施情况</w:t>
      </w:r>
    </w:p>
    <w:p>
      <w:pPr>
        <w:widowControl w:val="0"/>
        <w:wordWrap w:val="0"/>
        <w:snapToGrid w:val="0"/>
        <w:spacing w:line="360" w:lineRule="auto"/>
        <w:ind w:firstLine="460" w:firstLineChars="192"/>
        <w:jc w:val="both"/>
      </w:pPr>
      <w:r>
        <w:t>1、公司于2021年7月9日召开第七届董事会第十七次会议、第七届监事会第十三次会议，审议通过了《关于&lt;格尔软件股份有限公司2021年股票期权激励计划（草案）&gt;及其摘要的议案》等本激励计划相关事项的议案，关联董事均回避表决，公司独立董事发表了同意意见。</w:t>
      </w:r>
      <w:r>
        <w:rPr>
          <w:rFonts w:hint="eastAsia"/>
        </w:rPr>
        <w:t>本激励计划涉及的激励对象共计</w:t>
      </w:r>
      <w:r>
        <w:t>163人，拟授予激励对象的股票期权数量为700万份，约占本激励计划草案公告日公司股本总额23,172.20万股的3.02%。</w:t>
      </w:r>
      <w:r>
        <w:rPr>
          <w:rFonts w:hint="eastAsia"/>
        </w:rPr>
        <w:t>具体内容请详见公司于</w:t>
      </w:r>
      <w:r>
        <w:t>2021年7月10日刊登于上海证券交易所网站（www.sse.com.cn）的《格尔软件股份有限公司2021年股票期权激励计划草案摘要公告》（</w:t>
      </w:r>
      <w:r>
        <w:rPr>
          <w:rFonts w:hint="eastAsia"/>
        </w:rPr>
        <w:t>公告编号：</w:t>
      </w:r>
      <w:r>
        <w:t>2021-03</w:t>
      </w:r>
      <w:r>
        <w:rPr>
          <w:rFonts w:hint="eastAsia"/>
        </w:rPr>
        <w:t>6）及《格尔软件股份有限公司</w:t>
      </w:r>
      <w:r>
        <w:t>2021年股票期权激励计划（草案）》</w:t>
      </w:r>
      <w:r>
        <w:rPr>
          <w:rFonts w:hint="eastAsia"/>
        </w:rPr>
        <w:t>（以下简称“《激励计划》”）。</w:t>
      </w:r>
    </w:p>
    <w:p>
      <w:pPr>
        <w:snapToGrid w:val="0"/>
        <w:spacing w:line="360" w:lineRule="auto"/>
        <w:ind w:firstLine="460" w:firstLineChars="192"/>
        <w:jc w:val="both"/>
      </w:pPr>
      <w:r>
        <w:t>2、2021年7月10日至2021年7月20日，公司通过公司官网将本次拟激励对象的名单及职务在公司内部予以公示，公示期满，公司监事会未收到任何对本次拟激励对象提出的异议。</w:t>
      </w:r>
    </w:p>
    <w:p>
      <w:pPr>
        <w:snapToGrid w:val="0"/>
        <w:spacing w:line="360" w:lineRule="auto"/>
        <w:ind w:firstLine="460" w:firstLineChars="192"/>
        <w:jc w:val="both"/>
      </w:pPr>
      <w:r>
        <w:t>3、公司于2021年7月20日召开公司第七届监事会第十四次会议，审议通过了《关于对格尔软件股份有限公司2021年股票期权激励计划激励对象名单的核查意见及公示情况说明的议案》。具体内容请详见公司于2021年7月21日刊登于上海证券交易所网站（www.sse.com.cn）的《格尔软件股份有限公司第七届监事会第十四次会议决议公告》（公告编号：2021-043）及《格尔软件股份有限公司监事会关于对公司2021年股票期权激励计划激励对象名单的核查意见及公示情况说明》。</w:t>
      </w:r>
    </w:p>
    <w:p>
      <w:pPr>
        <w:snapToGrid w:val="0"/>
        <w:spacing w:line="360" w:lineRule="auto"/>
        <w:ind w:firstLine="460" w:firstLineChars="192"/>
        <w:jc w:val="both"/>
      </w:pPr>
      <w:r>
        <w:t>4、公司于2021年7月26日召开公司2021年第一次临时股东大会，审议通过了《关于&lt;格尔软件股份有限公司2021年股票期权激励计划（草案）&gt;及其摘要的议案》、《关于&lt;格尔软件股份有限公司2021年股票期权激励计划实施考核管理办法&gt;的议案》</w:t>
      </w:r>
      <w:r>
        <w:rPr>
          <w:rFonts w:hint="eastAsia"/>
        </w:rPr>
        <w:t>等本激励计划相关事项的议案。具体内容请详见公司于</w:t>
      </w:r>
      <w:r>
        <w:t>2021年7月27日刊登于上海证券交易所网站（www.sse.com.cn）的《格尔软件股份有限公司2021年第一次临时股东大会决议公告》（公告编号：2021-046）。同时，公司就内幕信息知情人在本激励计划草案公开披露前6个月内买卖公司股票的情况进行了自查，未发现利用内幕信息进行股票交易的情形。</w:t>
      </w:r>
    </w:p>
    <w:p>
      <w:pPr>
        <w:snapToGrid w:val="0"/>
        <w:spacing w:line="360" w:lineRule="auto"/>
        <w:ind w:firstLine="460" w:firstLineChars="192"/>
        <w:jc w:val="both"/>
      </w:pPr>
      <w:r>
        <w:t>5、公司于2021年7月28日召开公司第七届董事会第十八次会议、第七届监事会第十五次会议，审议通过了《关于调整公司2021年股票期权激励计划激励对象名单的议案》、《关于向激励对象授予股票期权的议案》，公司独立董事发表了同意意见。</w:t>
      </w:r>
      <w:r>
        <w:rPr>
          <w:rFonts w:hint="eastAsia"/>
        </w:rPr>
        <w:t>本次激励计划的激励对象由</w:t>
      </w:r>
      <w:r>
        <w:t>163名调整为162名，激励对象放弃认购的股票期权由其他激励对象认购，本次激励计划授予的股票期权总数不变。</w:t>
      </w:r>
      <w:r>
        <w:rPr>
          <w:rFonts w:hint="eastAsia"/>
        </w:rPr>
        <w:t>具体内容请详见公司于</w:t>
      </w:r>
      <w:r>
        <w:t>2021年7月30日刊登于上海证券交易所网站（www.sse.com.cn）的《格尔软件股份有限公司第七届董事会第十八次会议决议公告》（公告编号：2021-048）。</w:t>
      </w:r>
    </w:p>
    <w:p>
      <w:pPr>
        <w:snapToGrid w:val="0"/>
        <w:spacing w:line="360" w:lineRule="auto"/>
        <w:ind w:firstLine="460" w:firstLineChars="192"/>
        <w:jc w:val="both"/>
      </w:pPr>
      <w:r>
        <w:t>6、公司于2021年9月2日在中国证券登记结算有限责任公司上海分公司完成了本次激励计划的授予登记工作，实际授予激励对象161人合计股票期权数量698.80万份</w:t>
      </w:r>
      <w:r>
        <w:rPr>
          <w:rFonts w:hint="eastAsia"/>
        </w:rPr>
        <w:t>，实际登记数量与授予数量存在差异系因在确定授予日后的股票期权登记过程中，有</w:t>
      </w:r>
      <w:r>
        <w:t>1名激励对象因个人原因自愿放弃授予其的全部权益，该部分股票期权为1.20万份，按激励计划的相关规定不予登记。</w:t>
      </w:r>
      <w:r>
        <w:rPr>
          <w:rFonts w:hint="eastAsia"/>
        </w:rPr>
        <w:t>具体内容请详见公司于</w:t>
      </w:r>
      <w:r>
        <w:t>2021年9月3日刊登于上海证券交易所网站（www.sse.com.cn）的《格尔软件股份有限公司关于2021年股票期权激励计划授予登记结果的公告》（公告编号：2021-061）。</w:t>
      </w:r>
    </w:p>
    <w:p>
      <w:pPr>
        <w:snapToGrid w:val="0"/>
        <w:spacing w:line="360" w:lineRule="auto"/>
        <w:ind w:firstLine="460" w:firstLineChars="192"/>
        <w:jc w:val="both"/>
      </w:pPr>
      <w:r>
        <w:t>7、公司于2021年12月3日召开第七届董事会第二十二次会议、第七届监事会第十九次会议，审议通过了《关于注销2021年股票期权激励计划授予的部分股票期权的议案》。</w:t>
      </w:r>
      <w:r>
        <w:rPr>
          <w:rFonts w:hint="eastAsia"/>
        </w:rPr>
        <w:t>关联董事均回避表决，公司独立董事发表了同意意见。本次注销完成后，公司激励计划已授予股票期权的激励对象由</w:t>
      </w:r>
      <w:r>
        <w:t>161人调整为160人，已授予但未行权的股票期权由698.80万份调整为696.40万份。</w:t>
      </w:r>
      <w:r>
        <w:rPr>
          <w:rFonts w:hint="eastAsia"/>
        </w:rPr>
        <w:t>具体内容请详见公司于2021年12月4日刊登于上海证券交易所网站（www.sse.com.cn）的《格尔软件股份有限公司关于注销2021年股票期权激励计划授予的部分股票期权的公告》（公告编号：2021-072）。经中国证券登记结算有限责任公司上海分公司审核确认，公司已于2021年12月10日完成了上述股票期权的注销业务，具体内容请详见公司于</w:t>
      </w:r>
      <w:r>
        <w:t>2021年12</w:t>
      </w:r>
      <w:r>
        <w:rPr>
          <w:rFonts w:hint="eastAsia"/>
        </w:rPr>
        <w:t>月</w:t>
      </w:r>
      <w:r>
        <w:t>11</w:t>
      </w:r>
      <w:r>
        <w:rPr>
          <w:rFonts w:hint="eastAsia"/>
        </w:rPr>
        <w:t>日刊登于上海证券交易所网站（</w:t>
      </w:r>
      <w:r>
        <w:t>www.sse.com.cn）的《格尔软件股份有限公司关于部分股票期权注销完成的公告》（公告编号：2021-074）。</w:t>
      </w:r>
    </w:p>
    <w:p>
      <w:pPr>
        <w:snapToGrid w:val="0"/>
        <w:spacing w:line="360" w:lineRule="auto"/>
        <w:ind w:firstLine="460" w:firstLineChars="192"/>
        <w:jc w:val="both"/>
        <w:rPr>
          <w:rFonts w:eastAsiaTheme="minorEastAsia"/>
          <w:color w:val="000000"/>
        </w:rPr>
      </w:pPr>
      <w:r>
        <w:t>8、公司于2022年7月15日召开第八届董事会第二次会议和第八届监事会第二会议</w:t>
      </w:r>
      <w:r>
        <w:rPr>
          <w:rFonts w:hint="eastAsia"/>
        </w:rPr>
        <w:t>，</w:t>
      </w:r>
      <w:r>
        <w:t>审议通过了《关于拟注销部分已获授但尚未行权股票期权的议案》《关于调整公司2021年股票期权激励计划股票期权行权价格的议案》《关于2021年股票期权激励计划</w:t>
      </w:r>
      <w:r>
        <w:rPr>
          <w:rFonts w:hint="eastAsia" w:eastAsiaTheme="minorEastAsia"/>
        </w:rPr>
        <w:t>首次授予股票期权</w:t>
      </w:r>
      <w:r>
        <w:rPr>
          <w:rFonts w:hint="eastAsia"/>
        </w:rPr>
        <w:t>第一个行权期行权条件达成的议案》，关联董事回避了相关议案的表决，独立董事对上述事项发表了独立意见。本次注销完成后，公司激励计划已授予股票期权的激励对象人数由</w:t>
      </w:r>
      <w:r>
        <w:t>160人调整为153</w:t>
      </w:r>
      <w:r>
        <w:rPr>
          <w:rFonts w:hint="eastAsia"/>
        </w:rPr>
        <w:t>人，已授予但尚未行权的股票期权数量由</w:t>
      </w:r>
      <w:r>
        <w:t>696.40</w:t>
      </w:r>
      <w:r>
        <w:rPr>
          <w:rFonts w:hint="eastAsia"/>
        </w:rPr>
        <w:t>万份调整为</w:t>
      </w:r>
      <w:r>
        <w:t>654.90</w:t>
      </w:r>
      <w:r>
        <w:rPr>
          <w:rFonts w:hint="eastAsia"/>
        </w:rPr>
        <w:t>万份。本次调整后，公司本次激励计划首次授予股票期权的行权价格由</w:t>
      </w:r>
      <w:r>
        <w:t>13.58元/股调整为13.45元/股。</w:t>
      </w:r>
      <w:r>
        <w:rPr>
          <w:rFonts w:hint="eastAsia"/>
        </w:rPr>
        <w:t>具体内容请详见公司同日刊登于上海证券交易所网站（</w:t>
      </w:r>
      <w:r>
        <w:t>www.sse.com.cn）的《格尔软件股份有限公司关于2021年股票期权激励计划首次授予股票期权第一个行权期行权条件达成的公告》（公告编号：2022-038</w:t>
      </w:r>
      <w:r>
        <w:rPr>
          <w:rFonts w:hint="eastAsia"/>
        </w:rPr>
        <w:t>）等公告。</w:t>
      </w:r>
    </w:p>
    <w:p>
      <w:pPr>
        <w:numPr>
          <w:ilvl w:val="0"/>
          <w:numId w:val="2"/>
        </w:numPr>
        <w:snapToGrid w:val="0"/>
        <w:spacing w:line="360" w:lineRule="auto"/>
        <w:ind w:firstLine="463" w:firstLineChars="192"/>
        <w:jc w:val="both"/>
        <w:rPr>
          <w:rFonts w:eastAsiaTheme="minorEastAsia"/>
          <w:b/>
          <w:bCs/>
          <w:color w:val="000000"/>
        </w:rPr>
      </w:pPr>
      <w:r>
        <w:rPr>
          <w:rFonts w:hint="eastAsia" w:eastAsiaTheme="minorEastAsia"/>
          <w:b/>
          <w:bCs/>
          <w:color w:val="000000"/>
        </w:rPr>
        <w:t>本次注销部分股票期权的情况</w:t>
      </w:r>
    </w:p>
    <w:p>
      <w:pPr>
        <w:autoSpaceDE w:val="0"/>
        <w:autoSpaceDN w:val="0"/>
        <w:adjustRightInd w:val="0"/>
        <w:snapToGrid w:val="0"/>
        <w:spacing w:line="360" w:lineRule="auto"/>
        <w:ind w:firstLine="504" w:firstLineChars="210"/>
        <w:jc w:val="both"/>
        <w:rPr>
          <w:rFonts w:eastAsiaTheme="minorEastAsia"/>
        </w:rPr>
      </w:pPr>
      <w:r>
        <w:rPr>
          <w:rFonts w:eastAsiaTheme="minorEastAsia"/>
        </w:rPr>
        <w:t>1、鉴于公司2021年股票期权激励计划激励对象中7</w:t>
      </w:r>
      <w:r>
        <w:rPr>
          <w:rFonts w:hint="eastAsia" w:eastAsiaTheme="minorEastAsia"/>
        </w:rPr>
        <w:t>人因离职</w:t>
      </w:r>
      <w:bookmarkStart w:id="0" w:name="_Hlk108224513"/>
      <w:r>
        <w:rPr>
          <w:rFonts w:hint="eastAsia" w:eastAsiaTheme="minorEastAsia"/>
        </w:rPr>
        <w:t>已不符合激励条件，不再具备激励对象资格，不符合行权条件，按照《激励计划》的相关规定，该部分激励对象已获授但尚未行权的股票期权数量共计</w:t>
      </w:r>
      <w:r>
        <w:rPr>
          <w:rFonts w:eastAsiaTheme="minorEastAsia"/>
        </w:rPr>
        <w:t>41.50</w:t>
      </w:r>
      <w:r>
        <w:rPr>
          <w:rFonts w:hint="eastAsia" w:eastAsiaTheme="minorEastAsia"/>
        </w:rPr>
        <w:t>万份将由公司统一注销。</w:t>
      </w:r>
    </w:p>
    <w:bookmarkEnd w:id="0"/>
    <w:p>
      <w:pPr>
        <w:autoSpaceDE w:val="0"/>
        <w:autoSpaceDN w:val="0"/>
        <w:adjustRightInd w:val="0"/>
        <w:snapToGrid w:val="0"/>
        <w:spacing w:line="360" w:lineRule="auto"/>
        <w:ind w:firstLine="504" w:firstLineChars="210"/>
        <w:jc w:val="both"/>
        <w:rPr>
          <w:rFonts w:eastAsiaTheme="minorEastAsia"/>
        </w:rPr>
      </w:pPr>
      <w:r>
        <w:rPr>
          <w:rFonts w:eastAsiaTheme="minorEastAsia"/>
        </w:rPr>
        <w:t>2、本次注销完成后，公司</w:t>
      </w:r>
      <w:r>
        <w:rPr>
          <w:rFonts w:hint="eastAsia" w:eastAsiaTheme="minorEastAsia"/>
        </w:rPr>
        <w:t>本次</w:t>
      </w:r>
      <w:r>
        <w:rPr>
          <w:rFonts w:eastAsiaTheme="minorEastAsia"/>
        </w:rPr>
        <w:t>激励计划已授予股票期权的激励对象人数由160</w:t>
      </w:r>
      <w:r>
        <w:rPr>
          <w:rFonts w:hint="eastAsia" w:eastAsiaTheme="minorEastAsia"/>
        </w:rPr>
        <w:t>人调整为</w:t>
      </w:r>
      <w:r>
        <w:rPr>
          <w:rFonts w:eastAsiaTheme="minorEastAsia"/>
        </w:rPr>
        <w:t>153</w:t>
      </w:r>
      <w:r>
        <w:rPr>
          <w:rFonts w:hint="eastAsia" w:eastAsiaTheme="minorEastAsia"/>
        </w:rPr>
        <w:t>人，已授予但尚未行权的股票期权数量由</w:t>
      </w:r>
      <w:bookmarkStart w:id="1" w:name="_Hlk108224146"/>
      <w:r>
        <w:rPr>
          <w:rFonts w:hint="eastAsia"/>
        </w:rPr>
        <w:t>69</w:t>
      </w:r>
      <w:r>
        <w:t>6</w:t>
      </w:r>
      <w:r>
        <w:rPr>
          <w:rFonts w:hint="eastAsia"/>
        </w:rPr>
        <w:t>.</w:t>
      </w:r>
      <w:r>
        <w:t>4</w:t>
      </w:r>
      <w:r>
        <w:rPr>
          <w:rFonts w:hint="eastAsia"/>
        </w:rPr>
        <w:t>0</w:t>
      </w:r>
      <w:bookmarkEnd w:id="1"/>
      <w:r>
        <w:rPr>
          <w:rFonts w:hint="eastAsia" w:eastAsiaTheme="minorEastAsia"/>
        </w:rPr>
        <w:t>万份调整为</w:t>
      </w:r>
      <w:r>
        <w:rPr>
          <w:rFonts w:eastAsiaTheme="minorEastAsia"/>
        </w:rPr>
        <w:t>654.90</w:t>
      </w:r>
      <w:r>
        <w:rPr>
          <w:rFonts w:hint="eastAsia" w:eastAsiaTheme="minorEastAsia"/>
        </w:rPr>
        <w:t>万份。</w:t>
      </w:r>
    </w:p>
    <w:p>
      <w:pPr>
        <w:autoSpaceDE w:val="0"/>
        <w:autoSpaceDN w:val="0"/>
        <w:adjustRightInd w:val="0"/>
        <w:snapToGrid w:val="0"/>
        <w:spacing w:line="360" w:lineRule="auto"/>
        <w:ind w:firstLine="504" w:firstLineChars="210"/>
        <w:jc w:val="both"/>
        <w:rPr>
          <w:rFonts w:eastAsiaTheme="minorEastAsia"/>
        </w:rPr>
      </w:pPr>
    </w:p>
    <w:p>
      <w:pPr>
        <w:tabs>
          <w:tab w:val="left" w:pos="1260"/>
        </w:tabs>
        <w:adjustRightInd w:val="0"/>
        <w:snapToGrid w:val="0"/>
        <w:spacing w:line="360" w:lineRule="auto"/>
        <w:ind w:firstLine="482" w:firstLineChars="200"/>
        <w:jc w:val="both"/>
        <w:outlineLvl w:val="0"/>
        <w:rPr>
          <w:rFonts w:eastAsiaTheme="minorEastAsia"/>
          <w:b/>
        </w:rPr>
      </w:pPr>
      <w:r>
        <w:rPr>
          <w:rFonts w:hint="eastAsia" w:eastAsiaTheme="minorEastAsia"/>
          <w:b/>
        </w:rPr>
        <w:t>三、本次调整股票期权行权价格的情况</w:t>
      </w:r>
    </w:p>
    <w:p>
      <w:pPr>
        <w:autoSpaceDE w:val="0"/>
        <w:autoSpaceDN w:val="0"/>
        <w:adjustRightInd w:val="0"/>
        <w:snapToGrid w:val="0"/>
        <w:spacing w:line="360" w:lineRule="auto"/>
        <w:ind w:firstLine="420"/>
        <w:jc w:val="both"/>
        <w:rPr>
          <w:color w:val="000000"/>
        </w:rPr>
      </w:pPr>
      <w:r>
        <w:rPr>
          <w:color w:val="000000"/>
        </w:rPr>
        <w:t>1、股票期权行权价格的调整</w:t>
      </w:r>
    </w:p>
    <w:p>
      <w:pPr>
        <w:autoSpaceDE w:val="0"/>
        <w:autoSpaceDN w:val="0"/>
        <w:adjustRightInd w:val="0"/>
        <w:snapToGrid w:val="0"/>
        <w:spacing w:line="360" w:lineRule="auto"/>
        <w:ind w:firstLine="420"/>
        <w:jc w:val="both"/>
        <w:rPr>
          <w:color w:val="000000"/>
        </w:rPr>
      </w:pPr>
      <w:r>
        <w:rPr>
          <w:color w:val="000000"/>
        </w:rPr>
        <w:t>（1）调整事由</w:t>
      </w:r>
    </w:p>
    <w:p>
      <w:pPr>
        <w:autoSpaceDE w:val="0"/>
        <w:autoSpaceDN w:val="0"/>
        <w:adjustRightInd w:val="0"/>
        <w:snapToGrid w:val="0"/>
        <w:spacing w:line="360" w:lineRule="auto"/>
        <w:ind w:firstLine="420"/>
        <w:jc w:val="both"/>
        <w:rPr>
          <w:color w:val="000000"/>
        </w:rPr>
      </w:pPr>
      <w:r>
        <w:rPr>
          <w:color w:val="000000"/>
        </w:rPr>
        <w:t>公司</w:t>
      </w:r>
      <w:r>
        <w:rPr>
          <w:rFonts w:hint="eastAsia"/>
          <w:color w:val="000000"/>
        </w:rPr>
        <w:t>2021</w:t>
      </w:r>
      <w:r>
        <w:rPr>
          <w:color w:val="000000"/>
        </w:rPr>
        <w:t>年年度股东大会审议通过了《</w:t>
      </w:r>
      <w:r>
        <w:rPr>
          <w:rFonts w:hint="eastAsia"/>
          <w:color w:val="000000"/>
        </w:rPr>
        <w:t>关于&lt;公司</w:t>
      </w:r>
      <w:r>
        <w:rPr>
          <w:color w:val="000000"/>
        </w:rPr>
        <w:t>202</w:t>
      </w:r>
      <w:r>
        <w:rPr>
          <w:rFonts w:hint="eastAsia"/>
          <w:color w:val="000000"/>
        </w:rPr>
        <w:t>1</w:t>
      </w:r>
      <w:r>
        <w:rPr>
          <w:color w:val="000000"/>
        </w:rPr>
        <w:t>年度利润分配</w:t>
      </w:r>
      <w:r>
        <w:rPr>
          <w:rFonts w:hint="eastAsia"/>
          <w:color w:val="000000"/>
        </w:rPr>
        <w:t>预案&gt;</w:t>
      </w:r>
      <w:r>
        <w:rPr>
          <w:color w:val="000000"/>
        </w:rPr>
        <w:t>的议案》，本次利润分配以方案实施前的公司总股本231,722,033股为基数，每股派发现金红利0.13元（含税）。该利润分配方案已于202</w:t>
      </w:r>
      <w:r>
        <w:rPr>
          <w:rFonts w:hint="eastAsia"/>
          <w:color w:val="000000"/>
        </w:rPr>
        <w:t>2</w:t>
      </w:r>
      <w:r>
        <w:rPr>
          <w:color w:val="000000"/>
        </w:rPr>
        <w:t>年6月</w:t>
      </w:r>
      <w:r>
        <w:rPr>
          <w:rFonts w:hint="eastAsia"/>
          <w:color w:val="000000"/>
        </w:rPr>
        <w:t>16</w:t>
      </w:r>
      <w:r>
        <w:rPr>
          <w:color w:val="000000"/>
        </w:rPr>
        <w:t>日实施完毕。</w:t>
      </w:r>
    </w:p>
    <w:p>
      <w:pPr>
        <w:autoSpaceDE w:val="0"/>
        <w:autoSpaceDN w:val="0"/>
        <w:adjustRightInd w:val="0"/>
        <w:snapToGrid w:val="0"/>
        <w:spacing w:line="360" w:lineRule="auto"/>
        <w:ind w:firstLine="420"/>
        <w:jc w:val="both"/>
        <w:rPr>
          <w:color w:val="000000"/>
        </w:rPr>
      </w:pPr>
      <w:r>
        <w:rPr>
          <w:color w:val="000000"/>
        </w:rPr>
        <w:t>鉴于此，公司董事会根据2021年第一次临时股东大会的授权，对本次激励计划首次授予股票期权的行权价格进行调整。调整后，公司本次激励计划首次授予股票期权的行权价格由</w:t>
      </w:r>
      <w:r>
        <w:rPr>
          <w:rFonts w:hint="eastAsia"/>
          <w:color w:val="000000"/>
        </w:rPr>
        <w:t>13.58</w:t>
      </w:r>
      <w:r>
        <w:rPr>
          <w:color w:val="000000"/>
        </w:rPr>
        <w:t>元/股调整为</w:t>
      </w:r>
      <w:r>
        <w:rPr>
          <w:rFonts w:hint="eastAsia"/>
          <w:color w:val="000000"/>
        </w:rPr>
        <w:t>13.45</w:t>
      </w:r>
      <w:r>
        <w:rPr>
          <w:color w:val="000000"/>
        </w:rPr>
        <w:t>元/股。</w:t>
      </w:r>
    </w:p>
    <w:p>
      <w:pPr>
        <w:autoSpaceDE w:val="0"/>
        <w:autoSpaceDN w:val="0"/>
        <w:adjustRightInd w:val="0"/>
        <w:snapToGrid w:val="0"/>
        <w:spacing w:line="360" w:lineRule="auto"/>
        <w:ind w:firstLine="420"/>
        <w:jc w:val="both"/>
        <w:rPr>
          <w:color w:val="000000"/>
        </w:rPr>
      </w:pPr>
      <w:r>
        <w:rPr>
          <w:color w:val="000000"/>
        </w:rPr>
        <w:t>（2）调整方法</w:t>
      </w:r>
    </w:p>
    <w:p>
      <w:pPr>
        <w:autoSpaceDE w:val="0"/>
        <w:autoSpaceDN w:val="0"/>
        <w:adjustRightInd w:val="0"/>
        <w:snapToGrid w:val="0"/>
        <w:spacing w:line="360" w:lineRule="auto"/>
        <w:ind w:firstLine="420"/>
        <w:jc w:val="both"/>
        <w:rPr>
          <w:color w:val="000000"/>
        </w:rPr>
      </w:pPr>
      <w:r>
        <w:rPr>
          <w:color w:val="000000"/>
        </w:rPr>
        <w:t>根据《激励计划》的相关规定，若在本激励计划公告当日至激励对象完成股票期权股份登记期间，公司有资本公积转增股本、派送股票红利、股</w:t>
      </w:r>
      <w:r>
        <w:rPr>
          <w:rFonts w:hint="eastAsia"/>
          <w:color w:val="000000"/>
        </w:rPr>
        <w:t>票</w:t>
      </w:r>
      <w:r>
        <w:rPr>
          <w:color w:val="000000"/>
        </w:rPr>
        <w:t>拆细、配股、缩股或派息等事项，应对股票期权行权价格进行相应的调整，但任何调整不得导致行权价格低于股票面值。调整方法如下：</w:t>
      </w:r>
    </w:p>
    <w:p>
      <w:pPr>
        <w:autoSpaceDE w:val="0"/>
        <w:autoSpaceDN w:val="0"/>
        <w:adjustRightInd w:val="0"/>
        <w:snapToGrid w:val="0"/>
        <w:spacing w:line="360" w:lineRule="auto"/>
        <w:ind w:firstLine="420"/>
        <w:jc w:val="both"/>
        <w:rPr>
          <w:color w:val="000000"/>
        </w:rPr>
      </w:pPr>
      <w:r>
        <w:rPr>
          <w:color w:val="000000"/>
        </w:rPr>
        <w:t>P＝P0-V</w:t>
      </w:r>
    </w:p>
    <w:p>
      <w:pPr>
        <w:autoSpaceDE w:val="0"/>
        <w:autoSpaceDN w:val="0"/>
        <w:adjustRightInd w:val="0"/>
        <w:snapToGrid w:val="0"/>
        <w:spacing w:line="360" w:lineRule="auto"/>
        <w:ind w:firstLine="420"/>
        <w:jc w:val="both"/>
        <w:rPr>
          <w:color w:val="000000"/>
        </w:rPr>
      </w:pPr>
      <w:r>
        <w:rPr>
          <w:color w:val="000000"/>
        </w:rPr>
        <w:t>其中：P0为调整前的行权价格；V为每股的派息额；P为调整后的行权价格。</w:t>
      </w:r>
    </w:p>
    <w:p>
      <w:pPr>
        <w:autoSpaceDE w:val="0"/>
        <w:autoSpaceDN w:val="0"/>
        <w:adjustRightInd w:val="0"/>
        <w:snapToGrid w:val="0"/>
        <w:spacing w:line="360" w:lineRule="auto"/>
        <w:ind w:firstLine="420"/>
        <w:jc w:val="both"/>
        <w:rPr>
          <w:color w:val="000000"/>
        </w:rPr>
      </w:pPr>
      <w:r>
        <w:rPr>
          <w:color w:val="000000"/>
        </w:rPr>
        <w:t>经派息调整后，P仍须大于1。</w:t>
      </w:r>
    </w:p>
    <w:p>
      <w:pPr>
        <w:autoSpaceDE w:val="0"/>
        <w:autoSpaceDN w:val="0"/>
        <w:adjustRightInd w:val="0"/>
        <w:snapToGrid w:val="0"/>
        <w:spacing w:line="360" w:lineRule="auto"/>
        <w:ind w:firstLine="420"/>
        <w:jc w:val="both"/>
        <w:rPr>
          <w:color w:val="000000"/>
        </w:rPr>
      </w:pPr>
      <w:r>
        <w:rPr>
          <w:color w:val="000000"/>
        </w:rPr>
        <w:t>根据公式计算得出，调整后的行权价格=(</w:t>
      </w:r>
      <w:r>
        <w:rPr>
          <w:rFonts w:hint="eastAsia"/>
          <w:color w:val="000000"/>
        </w:rPr>
        <w:t>13.58</w:t>
      </w:r>
      <w:r>
        <w:rPr>
          <w:color w:val="000000"/>
        </w:rPr>
        <w:t>-0.1</w:t>
      </w:r>
      <w:r>
        <w:rPr>
          <w:rFonts w:hint="eastAsia"/>
          <w:color w:val="000000"/>
        </w:rPr>
        <w:t>3</w:t>
      </w:r>
      <w:r>
        <w:rPr>
          <w:color w:val="000000"/>
        </w:rPr>
        <w:t>)=</w:t>
      </w:r>
      <w:r>
        <w:rPr>
          <w:rFonts w:hint="eastAsia"/>
          <w:color w:val="000000"/>
        </w:rPr>
        <w:t>13.45</w:t>
      </w:r>
      <w:r>
        <w:rPr>
          <w:color w:val="000000"/>
        </w:rPr>
        <w:t>元/股。</w:t>
      </w:r>
    </w:p>
    <w:p>
      <w:pPr>
        <w:autoSpaceDE w:val="0"/>
        <w:autoSpaceDN w:val="0"/>
        <w:adjustRightInd w:val="0"/>
        <w:snapToGrid w:val="0"/>
        <w:spacing w:line="360" w:lineRule="auto"/>
        <w:jc w:val="both"/>
      </w:pPr>
    </w:p>
    <w:p>
      <w:pPr>
        <w:tabs>
          <w:tab w:val="left" w:pos="1260"/>
        </w:tabs>
        <w:adjustRightInd w:val="0"/>
        <w:snapToGrid w:val="0"/>
        <w:spacing w:line="360" w:lineRule="auto"/>
        <w:ind w:firstLine="482" w:firstLineChars="200"/>
        <w:jc w:val="both"/>
        <w:outlineLvl w:val="0"/>
        <w:rPr>
          <w:rFonts w:eastAsiaTheme="minorEastAsia"/>
          <w:b/>
        </w:rPr>
      </w:pPr>
      <w:r>
        <w:rPr>
          <w:rFonts w:hint="eastAsia" w:eastAsiaTheme="minorEastAsia"/>
          <w:b/>
        </w:rPr>
        <w:t>四、本次注销部分股票期权及调整股票期权行权价格对公司的影响</w:t>
      </w:r>
    </w:p>
    <w:p>
      <w:pPr>
        <w:autoSpaceDE w:val="0"/>
        <w:autoSpaceDN w:val="0"/>
        <w:adjustRightInd w:val="0"/>
        <w:snapToGrid w:val="0"/>
        <w:spacing w:line="360" w:lineRule="auto"/>
        <w:ind w:firstLine="504" w:firstLineChars="210"/>
        <w:jc w:val="both"/>
        <w:rPr>
          <w:rFonts w:eastAsiaTheme="minorEastAsia"/>
          <w:color w:val="000000"/>
        </w:rPr>
      </w:pPr>
      <w:r>
        <w:rPr>
          <w:rFonts w:eastAsiaTheme="minorEastAsia"/>
          <w:color w:val="000000"/>
        </w:rPr>
        <w:t>本次注销部分股票期权及调整股票期权的行权价格事项不会对公司财务状况和经营成果产生重大影响，不会影响公司管理团队的稳定性，也不会影响公司股票期权激励计划继续实施。</w:t>
      </w:r>
    </w:p>
    <w:p>
      <w:pPr>
        <w:autoSpaceDE w:val="0"/>
        <w:autoSpaceDN w:val="0"/>
        <w:adjustRightInd w:val="0"/>
        <w:snapToGrid w:val="0"/>
        <w:spacing w:line="360" w:lineRule="auto"/>
        <w:ind w:firstLine="504" w:firstLineChars="210"/>
        <w:jc w:val="both"/>
        <w:rPr>
          <w:rFonts w:eastAsiaTheme="minorEastAsia"/>
          <w:color w:val="000000"/>
        </w:rPr>
      </w:pPr>
    </w:p>
    <w:p>
      <w:pPr>
        <w:tabs>
          <w:tab w:val="left" w:pos="1260"/>
        </w:tabs>
        <w:adjustRightInd w:val="0"/>
        <w:snapToGrid w:val="0"/>
        <w:spacing w:line="360" w:lineRule="auto"/>
        <w:ind w:firstLine="482" w:firstLineChars="200"/>
        <w:jc w:val="both"/>
        <w:outlineLvl w:val="0"/>
        <w:rPr>
          <w:rFonts w:eastAsiaTheme="minorEastAsia"/>
          <w:b/>
        </w:rPr>
      </w:pPr>
      <w:r>
        <w:rPr>
          <w:rFonts w:hint="eastAsia" w:eastAsiaTheme="minorEastAsia"/>
          <w:b/>
        </w:rPr>
        <w:t>五、监事会发表的核查意见</w:t>
      </w:r>
    </w:p>
    <w:p>
      <w:pPr>
        <w:snapToGrid w:val="0"/>
        <w:spacing w:line="360" w:lineRule="auto"/>
        <w:ind w:firstLine="460" w:firstLineChars="192"/>
        <w:jc w:val="both"/>
        <w:rPr>
          <w:szCs w:val="32"/>
        </w:rPr>
      </w:pPr>
      <w:bookmarkStart w:id="2" w:name="_Hlk108584450"/>
      <w:r>
        <w:rPr>
          <w:rFonts w:hint="eastAsia" w:eastAsiaTheme="minorEastAsia"/>
          <w:color w:val="000000"/>
        </w:rPr>
        <w:t>监事会</w:t>
      </w:r>
      <w:bookmarkStart w:id="3" w:name="_Hlk108589027"/>
      <w:r>
        <w:rPr>
          <w:rFonts w:hint="eastAsia" w:eastAsiaTheme="minorEastAsia"/>
          <w:color w:val="000000"/>
        </w:rPr>
        <w:t>对本次激励计划部分股票期权注销事项进行核查后</w:t>
      </w:r>
      <w:bookmarkEnd w:id="2"/>
      <w:r>
        <w:rPr>
          <w:rFonts w:hint="eastAsia"/>
          <w:szCs w:val="32"/>
        </w:rPr>
        <w:t>，</w:t>
      </w:r>
      <w:bookmarkEnd w:id="3"/>
      <w:r>
        <w:rPr>
          <w:rFonts w:eastAsiaTheme="minorEastAsia"/>
          <w:color w:val="000000"/>
        </w:rPr>
        <w:t>认为</w:t>
      </w:r>
      <w:r>
        <w:rPr>
          <w:rFonts w:hint="eastAsia" w:eastAsiaTheme="minorEastAsia"/>
          <w:color w:val="000000"/>
        </w:rPr>
        <w:t>：</w:t>
      </w:r>
      <w:r>
        <w:rPr>
          <w:rFonts w:hint="eastAsia"/>
          <w:szCs w:val="32"/>
        </w:rPr>
        <w:t>公司2021年股票期权激励计划的7名激励对象已离职，公司注销其已获授但尚未行权的股票期权，符合《上市公司股权激励管理办法》（以下简称</w:t>
      </w:r>
      <w:r>
        <w:rPr>
          <w:rFonts w:hint="eastAsia"/>
          <w:szCs w:val="32"/>
          <w:lang w:eastAsia="zh-CN"/>
        </w:rPr>
        <w:t>“</w:t>
      </w:r>
      <w:r>
        <w:rPr>
          <w:rFonts w:hint="eastAsia"/>
          <w:szCs w:val="32"/>
        </w:rPr>
        <w:t>《管理办法》</w:t>
      </w:r>
      <w:r>
        <w:rPr>
          <w:rFonts w:hint="eastAsia"/>
          <w:szCs w:val="32"/>
          <w:lang w:eastAsia="zh-CN"/>
        </w:rPr>
        <w:t>”</w:t>
      </w:r>
      <w:r>
        <w:rPr>
          <w:rFonts w:hint="eastAsia"/>
          <w:szCs w:val="32"/>
        </w:rPr>
        <w:t>）及</w:t>
      </w:r>
      <w:r>
        <w:rPr>
          <w:rFonts w:hint="eastAsia"/>
          <w:color w:val="000000"/>
        </w:rPr>
        <w:t>《激励计划》</w:t>
      </w:r>
      <w:r>
        <w:rPr>
          <w:rFonts w:hint="eastAsia"/>
          <w:szCs w:val="32"/>
        </w:rPr>
        <w:t>的相关规定，不会对公司的财务状况和经营成果产生实质影响，不存在损害公司及全体股东利益的情形。本次注销审议决策程序合法合规，关联董事均回避表决，公司独立董事对注销相关事项发表了独立意见，符合公司2021年第一次临时股东大会的相关授权。公司监事会同意对上述已离职激励对象已授予但尚未行权的股票期权合计41.50万份进行注销；</w:t>
      </w:r>
    </w:p>
    <w:p>
      <w:pPr>
        <w:snapToGrid w:val="0"/>
        <w:spacing w:line="360" w:lineRule="auto"/>
        <w:ind w:firstLine="460" w:firstLineChars="192"/>
        <w:jc w:val="both"/>
        <w:rPr>
          <w:szCs w:val="32"/>
        </w:rPr>
      </w:pPr>
      <w:r>
        <w:rPr>
          <w:rFonts w:eastAsiaTheme="minorEastAsia"/>
          <w:color w:val="000000"/>
        </w:rPr>
        <w:t>监事会</w:t>
      </w:r>
      <w:bookmarkStart w:id="4" w:name="_Hlk108589006"/>
      <w:r>
        <w:rPr>
          <w:rFonts w:hint="eastAsia" w:eastAsiaTheme="minorEastAsia"/>
          <w:color w:val="000000"/>
        </w:rPr>
        <w:t>对本次调整首次授予行权价格事项进行核查后，</w:t>
      </w:r>
      <w:bookmarkEnd w:id="4"/>
      <w:r>
        <w:rPr>
          <w:rFonts w:eastAsiaTheme="minorEastAsia"/>
          <w:color w:val="000000"/>
        </w:rPr>
        <w:t>认为</w:t>
      </w:r>
      <w:r>
        <w:rPr>
          <w:rFonts w:hint="eastAsia" w:eastAsiaTheme="minorEastAsia"/>
          <w:color w:val="000000"/>
        </w:rPr>
        <w:t>：</w:t>
      </w:r>
      <w:r>
        <w:rPr>
          <w:rFonts w:hint="eastAsia"/>
          <w:color w:val="000000"/>
        </w:rPr>
        <w:t>本次调整符合《</w:t>
      </w:r>
      <w:r>
        <w:rPr>
          <w:color w:val="000000"/>
        </w:rPr>
        <w:t>管理办法</w:t>
      </w:r>
      <w:r>
        <w:rPr>
          <w:rFonts w:hint="eastAsia"/>
          <w:color w:val="000000"/>
        </w:rPr>
        <w:t>》及《激励计划》中关于价格调整方法的规定。</w:t>
      </w:r>
      <w:r>
        <w:rPr>
          <w:rFonts w:hint="eastAsia"/>
          <w:szCs w:val="32"/>
        </w:rPr>
        <w:t>本次调整事项审议决策程序合法合规，关联董事均回避表决，公司独立董事对</w:t>
      </w:r>
      <w:r>
        <w:rPr>
          <w:rFonts w:hint="eastAsia"/>
        </w:rPr>
        <w:t>调整公司2021年股票期权激励计划</w:t>
      </w:r>
      <w:r>
        <w:rPr>
          <w:color w:val="000000"/>
        </w:rPr>
        <w:t>首次授予股票期权行权价格</w:t>
      </w:r>
      <w:r>
        <w:rPr>
          <w:rFonts w:hint="eastAsia"/>
          <w:color w:val="000000"/>
        </w:rPr>
        <w:t>的</w:t>
      </w:r>
      <w:r>
        <w:rPr>
          <w:rFonts w:hint="eastAsia"/>
          <w:szCs w:val="32"/>
        </w:rPr>
        <w:t>相关事项发表了独立意见。</w:t>
      </w:r>
      <w:r>
        <w:rPr>
          <w:rFonts w:hint="eastAsia"/>
          <w:color w:val="000000"/>
        </w:rPr>
        <w:t>公司监事会同意本次激励计划首次授予股票期权的行权价格由13.58元/股调整为13.45元/股。</w:t>
      </w:r>
    </w:p>
    <w:p>
      <w:pPr>
        <w:snapToGrid w:val="0"/>
        <w:spacing w:line="360" w:lineRule="auto"/>
        <w:ind w:firstLine="460" w:firstLineChars="192"/>
        <w:jc w:val="both"/>
        <w:rPr>
          <w:szCs w:val="32"/>
        </w:rPr>
      </w:pPr>
    </w:p>
    <w:p>
      <w:pPr>
        <w:numPr>
          <w:ilvl w:val="0"/>
          <w:numId w:val="3"/>
        </w:numPr>
        <w:snapToGrid w:val="0"/>
        <w:spacing w:line="360" w:lineRule="auto"/>
        <w:ind w:firstLine="420"/>
        <w:jc w:val="both"/>
        <w:rPr>
          <w:rFonts w:eastAsiaTheme="minorEastAsia"/>
          <w:b/>
          <w:bCs/>
          <w:color w:val="000000"/>
        </w:rPr>
      </w:pPr>
      <w:r>
        <w:rPr>
          <w:rFonts w:hint="eastAsia" w:eastAsiaTheme="minorEastAsia"/>
          <w:b/>
          <w:bCs/>
          <w:color w:val="000000"/>
        </w:rPr>
        <w:t>独立董事发表的独立意见</w:t>
      </w:r>
    </w:p>
    <w:p>
      <w:pPr>
        <w:snapToGrid w:val="0"/>
        <w:spacing w:line="360" w:lineRule="auto"/>
        <w:ind w:firstLine="420"/>
        <w:jc w:val="both"/>
        <w:rPr>
          <w:rFonts w:eastAsiaTheme="minorEastAsia"/>
          <w:color w:val="000000"/>
        </w:rPr>
      </w:pPr>
      <w:r>
        <w:rPr>
          <w:rFonts w:hint="eastAsia" w:eastAsiaTheme="minorEastAsia"/>
          <w:color w:val="000000"/>
        </w:rPr>
        <w:t>我们认为：公司此次注销部分股票期权及调整公司2021年股票期权激励计划首次授予股票期权行权价格事项符合《管理办法》及《激励计划》的相关规定，公司审议程序合法合规，不会对公司的财务状况和经营成果产生实质性影响，不存在损害公司及全体股东利益的情形，也不会影响公司管理团队及核心人员的勤勉尽职。</w:t>
      </w:r>
    </w:p>
    <w:p>
      <w:pPr>
        <w:snapToGrid w:val="0"/>
        <w:spacing w:line="360" w:lineRule="auto"/>
        <w:ind w:firstLine="420"/>
        <w:jc w:val="both"/>
        <w:rPr>
          <w:rFonts w:eastAsiaTheme="minorEastAsia"/>
          <w:color w:val="000000"/>
        </w:rPr>
      </w:pPr>
      <w:r>
        <w:rPr>
          <w:rFonts w:hint="eastAsia" w:eastAsiaTheme="minorEastAsia"/>
          <w:color w:val="000000"/>
        </w:rPr>
        <w:t>综上所述，同意公司对2021年股票期权激励计划的部分股票期权注销及首次授予股票期权行权价格的调整。</w:t>
      </w:r>
    </w:p>
    <w:p>
      <w:pPr>
        <w:snapToGrid w:val="0"/>
        <w:spacing w:line="360" w:lineRule="auto"/>
        <w:ind w:firstLine="420"/>
        <w:jc w:val="both"/>
        <w:rPr>
          <w:rFonts w:eastAsiaTheme="minorEastAsia"/>
          <w:b/>
          <w:bCs/>
          <w:color w:val="000000"/>
        </w:rPr>
      </w:pPr>
    </w:p>
    <w:p>
      <w:pPr>
        <w:numPr>
          <w:ilvl w:val="0"/>
          <w:numId w:val="3"/>
        </w:numPr>
        <w:snapToGrid w:val="0"/>
        <w:spacing w:line="360" w:lineRule="auto"/>
        <w:ind w:firstLine="420"/>
        <w:jc w:val="both"/>
        <w:rPr>
          <w:rFonts w:eastAsiaTheme="minorEastAsia"/>
          <w:b/>
          <w:bCs/>
          <w:color w:val="000000"/>
        </w:rPr>
      </w:pPr>
      <w:r>
        <w:rPr>
          <w:rFonts w:hint="eastAsia" w:eastAsiaTheme="minorEastAsia"/>
          <w:b/>
          <w:bCs/>
          <w:color w:val="000000"/>
        </w:rPr>
        <w:t>法律意见书的结论性意见</w:t>
      </w:r>
    </w:p>
    <w:p>
      <w:pPr>
        <w:snapToGrid w:val="0"/>
        <w:spacing w:line="360" w:lineRule="auto"/>
        <w:ind w:firstLine="420"/>
        <w:jc w:val="both"/>
      </w:pPr>
      <w:r>
        <w:rPr>
          <w:rFonts w:hint="eastAsia"/>
        </w:rPr>
        <w:t>根据</w:t>
      </w:r>
      <w:r>
        <w:t>2021年第</w:t>
      </w:r>
      <w:r>
        <w:rPr>
          <w:rFonts w:hint="eastAsia"/>
        </w:rPr>
        <w:t>一</w:t>
      </w:r>
      <w:r>
        <w:t>次临时股东大会对董事会的授权</w:t>
      </w:r>
      <w:r>
        <w:rPr>
          <w:rFonts w:hint="eastAsia"/>
        </w:rPr>
        <w:t>，截至本法律意见书出具日，本次注销及调整已取得了现阶段必要批准与授权，履行了相应的程序，符合《管理办法》及《激励计划》的相关规定</w:t>
      </w:r>
      <w:r>
        <w:t>；</w:t>
      </w:r>
      <w:r>
        <w:rPr>
          <w:rFonts w:hint="eastAsia"/>
        </w:rPr>
        <w:t>公司本次注销及调整的原因及股票期权数量，符合《管理办法》等法律、法规、规范性文件及《激励计划》的相关规定，本次注销及调整不会对公司的财务状况和经营成果产生重大影响，不会影响公司管理团队的稳定性，也不会影响公司本次激励计划继续实施</w:t>
      </w:r>
      <w:r>
        <w:t>。</w:t>
      </w:r>
    </w:p>
    <w:p>
      <w:pPr>
        <w:snapToGrid w:val="0"/>
        <w:spacing w:line="360" w:lineRule="auto"/>
        <w:ind w:firstLine="460" w:firstLineChars="192"/>
        <w:jc w:val="both"/>
        <w:rPr>
          <w:rFonts w:eastAsiaTheme="minorEastAsia"/>
          <w:color w:val="000000"/>
        </w:rPr>
      </w:pPr>
      <w:r>
        <w:rPr>
          <w:rFonts w:eastAsiaTheme="minorEastAsia"/>
          <w:color w:val="000000"/>
        </w:rPr>
        <w:t>特此公告。</w:t>
      </w:r>
    </w:p>
    <w:p>
      <w:pPr>
        <w:snapToGrid w:val="0"/>
        <w:spacing w:line="360" w:lineRule="auto"/>
        <w:ind w:firstLine="460" w:firstLineChars="192"/>
        <w:jc w:val="right"/>
        <w:rPr>
          <w:rFonts w:eastAsiaTheme="minorEastAsia"/>
          <w:color w:val="000000"/>
        </w:rPr>
      </w:pPr>
      <w:r>
        <w:rPr>
          <w:rFonts w:eastAsiaTheme="minorEastAsia"/>
          <w:color w:val="000000"/>
        </w:rPr>
        <w:t>格尔软件股份有限公司</w:t>
      </w:r>
      <w:r>
        <w:rPr>
          <w:rFonts w:hint="eastAsia" w:eastAsiaTheme="minorEastAsia"/>
          <w:color w:val="000000"/>
        </w:rPr>
        <w:t>董事会</w:t>
      </w:r>
    </w:p>
    <w:p>
      <w:pPr>
        <w:snapToGrid w:val="0"/>
        <w:spacing w:line="360" w:lineRule="auto"/>
        <w:ind w:firstLine="480" w:firstLineChars="200"/>
        <w:jc w:val="right"/>
        <w:rPr>
          <w:rFonts w:eastAsiaTheme="minorEastAsia"/>
        </w:rPr>
      </w:pPr>
      <w:r>
        <w:rPr>
          <w:rFonts w:eastAsiaTheme="minorEastAsia"/>
        </w:rPr>
        <w:t>2022年7月</w:t>
      </w:r>
      <w:r>
        <w:rPr>
          <w:rFonts w:hint="eastAsia" w:eastAsiaTheme="minorEastAsia"/>
        </w:rPr>
        <w:t>16</w:t>
      </w:r>
      <w:r>
        <w:rPr>
          <w:rFonts w:eastAsiaTheme="minorEastAsia"/>
        </w:rPr>
        <w:t>日</w:t>
      </w:r>
    </w:p>
    <w:p>
      <w:pPr>
        <w:spacing w:line="360" w:lineRule="auto"/>
        <w:ind w:firstLine="420"/>
        <w:jc w:val="both"/>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2EE221"/>
    <w:multiLevelType w:val="singleLevel"/>
    <w:tmpl w:val="EA2EE221"/>
    <w:lvl w:ilvl="0" w:tentative="0">
      <w:start w:val="1"/>
      <w:numFmt w:val="chineseCounting"/>
      <w:suff w:val="nothing"/>
      <w:lvlText w:val="%1、"/>
      <w:lvlJc w:val="left"/>
      <w:rPr>
        <w:rFonts w:hint="eastAsia"/>
      </w:rPr>
    </w:lvl>
  </w:abstractNum>
  <w:abstractNum w:abstractNumId="1">
    <w:nsid w:val="F5FED928"/>
    <w:multiLevelType w:val="singleLevel"/>
    <w:tmpl w:val="F5FED928"/>
    <w:lvl w:ilvl="0" w:tentative="0">
      <w:start w:val="6"/>
      <w:numFmt w:val="chineseCounting"/>
      <w:suff w:val="nothing"/>
      <w:lvlText w:val="%1、"/>
      <w:lvlJc w:val="left"/>
      <w:rPr>
        <w:rFonts w:hint="eastAsia"/>
      </w:rPr>
    </w:lvl>
  </w:abstractNum>
  <w:abstractNum w:abstractNumId="2">
    <w:nsid w:val="68722BCA"/>
    <w:multiLevelType w:val="multilevel"/>
    <w:tmpl w:val="68722BC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displayBackgroundShape w:val="1"/>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A2NGEzY2E5YjE4NDIwNDY2ODJjNzRhYTZlYjMzZTIifQ=="/>
  </w:docVars>
  <w:rsids>
    <w:rsidRoot w:val="009C6E42"/>
    <w:rsid w:val="0001518A"/>
    <w:rsid w:val="00034C18"/>
    <w:rsid w:val="0006001C"/>
    <w:rsid w:val="00062682"/>
    <w:rsid w:val="00072850"/>
    <w:rsid w:val="000805F0"/>
    <w:rsid w:val="000A1AED"/>
    <w:rsid w:val="000B2247"/>
    <w:rsid w:val="000B6613"/>
    <w:rsid w:val="000D6DC1"/>
    <w:rsid w:val="000E2099"/>
    <w:rsid w:val="000E6472"/>
    <w:rsid w:val="000F28C0"/>
    <w:rsid w:val="00110697"/>
    <w:rsid w:val="00126977"/>
    <w:rsid w:val="0012771B"/>
    <w:rsid w:val="00131460"/>
    <w:rsid w:val="00133A94"/>
    <w:rsid w:val="001356CB"/>
    <w:rsid w:val="00146F1C"/>
    <w:rsid w:val="00152CB1"/>
    <w:rsid w:val="00163A3C"/>
    <w:rsid w:val="0017115E"/>
    <w:rsid w:val="00173872"/>
    <w:rsid w:val="0018593C"/>
    <w:rsid w:val="00191EB6"/>
    <w:rsid w:val="001A13FD"/>
    <w:rsid w:val="001B313D"/>
    <w:rsid w:val="001B4F8A"/>
    <w:rsid w:val="001E14A7"/>
    <w:rsid w:val="001E52E5"/>
    <w:rsid w:val="001F1231"/>
    <w:rsid w:val="001F31B2"/>
    <w:rsid w:val="00201867"/>
    <w:rsid w:val="002115E2"/>
    <w:rsid w:val="00213E54"/>
    <w:rsid w:val="00214D08"/>
    <w:rsid w:val="00220129"/>
    <w:rsid w:val="00233B53"/>
    <w:rsid w:val="002447E5"/>
    <w:rsid w:val="002576A2"/>
    <w:rsid w:val="00261677"/>
    <w:rsid w:val="002750E8"/>
    <w:rsid w:val="002835A5"/>
    <w:rsid w:val="00284D3B"/>
    <w:rsid w:val="00290949"/>
    <w:rsid w:val="002A5849"/>
    <w:rsid w:val="002C7394"/>
    <w:rsid w:val="002D411F"/>
    <w:rsid w:val="002E0BC0"/>
    <w:rsid w:val="002E4B99"/>
    <w:rsid w:val="002F1D31"/>
    <w:rsid w:val="002F20A4"/>
    <w:rsid w:val="0030246F"/>
    <w:rsid w:val="003064A7"/>
    <w:rsid w:val="003168B3"/>
    <w:rsid w:val="00323A9D"/>
    <w:rsid w:val="00325A33"/>
    <w:rsid w:val="00335674"/>
    <w:rsid w:val="003434F6"/>
    <w:rsid w:val="0037562B"/>
    <w:rsid w:val="003A3B59"/>
    <w:rsid w:val="003E2EC3"/>
    <w:rsid w:val="003F4838"/>
    <w:rsid w:val="0043128F"/>
    <w:rsid w:val="00434C93"/>
    <w:rsid w:val="00441DB1"/>
    <w:rsid w:val="004442F9"/>
    <w:rsid w:val="00456B3F"/>
    <w:rsid w:val="00462E44"/>
    <w:rsid w:val="00475719"/>
    <w:rsid w:val="00482B62"/>
    <w:rsid w:val="0049036B"/>
    <w:rsid w:val="004A2F1B"/>
    <w:rsid w:val="004A51E2"/>
    <w:rsid w:val="004F5440"/>
    <w:rsid w:val="00512621"/>
    <w:rsid w:val="005138A1"/>
    <w:rsid w:val="005143EC"/>
    <w:rsid w:val="005224C8"/>
    <w:rsid w:val="00536953"/>
    <w:rsid w:val="005411D1"/>
    <w:rsid w:val="00541CB7"/>
    <w:rsid w:val="0056507B"/>
    <w:rsid w:val="0057109C"/>
    <w:rsid w:val="00581AA0"/>
    <w:rsid w:val="00582E21"/>
    <w:rsid w:val="005843C8"/>
    <w:rsid w:val="0059046A"/>
    <w:rsid w:val="005B2138"/>
    <w:rsid w:val="005C37FF"/>
    <w:rsid w:val="005C6518"/>
    <w:rsid w:val="00607864"/>
    <w:rsid w:val="00616A3F"/>
    <w:rsid w:val="00643100"/>
    <w:rsid w:val="0064491F"/>
    <w:rsid w:val="0067142C"/>
    <w:rsid w:val="00674272"/>
    <w:rsid w:val="006919FF"/>
    <w:rsid w:val="006A269B"/>
    <w:rsid w:val="006A2CC9"/>
    <w:rsid w:val="006B1EBD"/>
    <w:rsid w:val="006C6417"/>
    <w:rsid w:val="006C6B4D"/>
    <w:rsid w:val="006E72E7"/>
    <w:rsid w:val="006F2FA9"/>
    <w:rsid w:val="006F6042"/>
    <w:rsid w:val="00703D83"/>
    <w:rsid w:val="0071120E"/>
    <w:rsid w:val="007134CE"/>
    <w:rsid w:val="00732C0F"/>
    <w:rsid w:val="0075001C"/>
    <w:rsid w:val="0075122B"/>
    <w:rsid w:val="00755D25"/>
    <w:rsid w:val="007707B7"/>
    <w:rsid w:val="00781184"/>
    <w:rsid w:val="00782594"/>
    <w:rsid w:val="00791B8D"/>
    <w:rsid w:val="007D3A51"/>
    <w:rsid w:val="007E1209"/>
    <w:rsid w:val="007E26DA"/>
    <w:rsid w:val="007F4B01"/>
    <w:rsid w:val="007F69D0"/>
    <w:rsid w:val="00861A8E"/>
    <w:rsid w:val="008709AC"/>
    <w:rsid w:val="008716AE"/>
    <w:rsid w:val="00891777"/>
    <w:rsid w:val="008A1D84"/>
    <w:rsid w:val="008A4360"/>
    <w:rsid w:val="008B09DA"/>
    <w:rsid w:val="008C42D1"/>
    <w:rsid w:val="008C72F9"/>
    <w:rsid w:val="008D3158"/>
    <w:rsid w:val="008D7D5F"/>
    <w:rsid w:val="008E1AC1"/>
    <w:rsid w:val="008E450B"/>
    <w:rsid w:val="008F4B5B"/>
    <w:rsid w:val="00911289"/>
    <w:rsid w:val="00923A69"/>
    <w:rsid w:val="00940A25"/>
    <w:rsid w:val="00944F62"/>
    <w:rsid w:val="0096024D"/>
    <w:rsid w:val="00961C0E"/>
    <w:rsid w:val="0096659B"/>
    <w:rsid w:val="00970B7D"/>
    <w:rsid w:val="009716E5"/>
    <w:rsid w:val="009A6108"/>
    <w:rsid w:val="009B3919"/>
    <w:rsid w:val="009C211E"/>
    <w:rsid w:val="009C6E42"/>
    <w:rsid w:val="009D490D"/>
    <w:rsid w:val="00A047DF"/>
    <w:rsid w:val="00A1415E"/>
    <w:rsid w:val="00A41FFE"/>
    <w:rsid w:val="00A57C22"/>
    <w:rsid w:val="00A61048"/>
    <w:rsid w:val="00A61F00"/>
    <w:rsid w:val="00A62962"/>
    <w:rsid w:val="00A71C97"/>
    <w:rsid w:val="00A72368"/>
    <w:rsid w:val="00A9390F"/>
    <w:rsid w:val="00A96597"/>
    <w:rsid w:val="00AC4A33"/>
    <w:rsid w:val="00AD7B8B"/>
    <w:rsid w:val="00B02BC2"/>
    <w:rsid w:val="00B153C5"/>
    <w:rsid w:val="00B22C1A"/>
    <w:rsid w:val="00B27DBC"/>
    <w:rsid w:val="00B4719E"/>
    <w:rsid w:val="00B54C55"/>
    <w:rsid w:val="00B77B90"/>
    <w:rsid w:val="00B82191"/>
    <w:rsid w:val="00B8509F"/>
    <w:rsid w:val="00B90A28"/>
    <w:rsid w:val="00B91097"/>
    <w:rsid w:val="00B9474F"/>
    <w:rsid w:val="00B94DF3"/>
    <w:rsid w:val="00B95149"/>
    <w:rsid w:val="00BC13B0"/>
    <w:rsid w:val="00BD2941"/>
    <w:rsid w:val="00BE1987"/>
    <w:rsid w:val="00BE539C"/>
    <w:rsid w:val="00BF62EF"/>
    <w:rsid w:val="00C00B3E"/>
    <w:rsid w:val="00C158A6"/>
    <w:rsid w:val="00C27565"/>
    <w:rsid w:val="00C41CEC"/>
    <w:rsid w:val="00C55A63"/>
    <w:rsid w:val="00C569F2"/>
    <w:rsid w:val="00C65383"/>
    <w:rsid w:val="00C85161"/>
    <w:rsid w:val="00C90D3C"/>
    <w:rsid w:val="00C970BB"/>
    <w:rsid w:val="00CA0083"/>
    <w:rsid w:val="00CD17CF"/>
    <w:rsid w:val="00CE13E7"/>
    <w:rsid w:val="00D07CD5"/>
    <w:rsid w:val="00D07DCA"/>
    <w:rsid w:val="00D207A5"/>
    <w:rsid w:val="00D23697"/>
    <w:rsid w:val="00D27792"/>
    <w:rsid w:val="00D30C51"/>
    <w:rsid w:val="00D312BC"/>
    <w:rsid w:val="00D370E0"/>
    <w:rsid w:val="00D45446"/>
    <w:rsid w:val="00D64105"/>
    <w:rsid w:val="00D657AB"/>
    <w:rsid w:val="00D810EE"/>
    <w:rsid w:val="00D92124"/>
    <w:rsid w:val="00DA06E2"/>
    <w:rsid w:val="00DB096A"/>
    <w:rsid w:val="00DB75CF"/>
    <w:rsid w:val="00DC2022"/>
    <w:rsid w:val="00DC4E73"/>
    <w:rsid w:val="00DC6AA1"/>
    <w:rsid w:val="00DC6D3B"/>
    <w:rsid w:val="00DE1453"/>
    <w:rsid w:val="00DE3EDD"/>
    <w:rsid w:val="00E1611E"/>
    <w:rsid w:val="00E21F93"/>
    <w:rsid w:val="00E33166"/>
    <w:rsid w:val="00E36290"/>
    <w:rsid w:val="00E44B3A"/>
    <w:rsid w:val="00E638CE"/>
    <w:rsid w:val="00E72793"/>
    <w:rsid w:val="00E82A9E"/>
    <w:rsid w:val="00EA31D3"/>
    <w:rsid w:val="00EA657E"/>
    <w:rsid w:val="00EA7340"/>
    <w:rsid w:val="00EB25E7"/>
    <w:rsid w:val="00ED47D1"/>
    <w:rsid w:val="00ED7676"/>
    <w:rsid w:val="00EF053F"/>
    <w:rsid w:val="00F0408C"/>
    <w:rsid w:val="00F10FE9"/>
    <w:rsid w:val="00F22ADD"/>
    <w:rsid w:val="00F36C6A"/>
    <w:rsid w:val="00F43499"/>
    <w:rsid w:val="00F65091"/>
    <w:rsid w:val="00F92FAA"/>
    <w:rsid w:val="00FB2AC6"/>
    <w:rsid w:val="00FB4734"/>
    <w:rsid w:val="00FB6F73"/>
    <w:rsid w:val="00FC0663"/>
    <w:rsid w:val="00FD1530"/>
    <w:rsid w:val="00FD3001"/>
    <w:rsid w:val="00FE47EA"/>
    <w:rsid w:val="00FE621C"/>
    <w:rsid w:val="00FF2439"/>
    <w:rsid w:val="00FF49AD"/>
    <w:rsid w:val="01E3316A"/>
    <w:rsid w:val="02214FC3"/>
    <w:rsid w:val="026E0116"/>
    <w:rsid w:val="02B95212"/>
    <w:rsid w:val="035D6C69"/>
    <w:rsid w:val="04383D88"/>
    <w:rsid w:val="04EE71B3"/>
    <w:rsid w:val="061B5421"/>
    <w:rsid w:val="06C44988"/>
    <w:rsid w:val="073D3EE8"/>
    <w:rsid w:val="092822A5"/>
    <w:rsid w:val="0AC67B39"/>
    <w:rsid w:val="0B100CAC"/>
    <w:rsid w:val="0C1D2426"/>
    <w:rsid w:val="0C490DA4"/>
    <w:rsid w:val="0CA3523B"/>
    <w:rsid w:val="0DC21D96"/>
    <w:rsid w:val="0E41082D"/>
    <w:rsid w:val="0ED830F1"/>
    <w:rsid w:val="0F851FF3"/>
    <w:rsid w:val="10597E57"/>
    <w:rsid w:val="107D4ECE"/>
    <w:rsid w:val="117F52E5"/>
    <w:rsid w:val="13143F34"/>
    <w:rsid w:val="13935F21"/>
    <w:rsid w:val="18D64D8F"/>
    <w:rsid w:val="1937221F"/>
    <w:rsid w:val="1B037CDD"/>
    <w:rsid w:val="1BD972EE"/>
    <w:rsid w:val="1D093BE7"/>
    <w:rsid w:val="1FB66CDF"/>
    <w:rsid w:val="1FF83AA7"/>
    <w:rsid w:val="202101A4"/>
    <w:rsid w:val="2031307C"/>
    <w:rsid w:val="21597A58"/>
    <w:rsid w:val="216A1B8D"/>
    <w:rsid w:val="21ED770F"/>
    <w:rsid w:val="224462EA"/>
    <w:rsid w:val="22FE2970"/>
    <w:rsid w:val="232D64B7"/>
    <w:rsid w:val="234447AB"/>
    <w:rsid w:val="23CF0795"/>
    <w:rsid w:val="24727B53"/>
    <w:rsid w:val="24C108AD"/>
    <w:rsid w:val="25483E3A"/>
    <w:rsid w:val="27E27C5A"/>
    <w:rsid w:val="2859184C"/>
    <w:rsid w:val="28A90D4C"/>
    <w:rsid w:val="2A1022F5"/>
    <w:rsid w:val="2BEA0F44"/>
    <w:rsid w:val="2C4F2AD7"/>
    <w:rsid w:val="2C992DA1"/>
    <w:rsid w:val="2CC8097D"/>
    <w:rsid w:val="2E227416"/>
    <w:rsid w:val="2EF01BE2"/>
    <w:rsid w:val="2F2E7374"/>
    <w:rsid w:val="2F8751FB"/>
    <w:rsid w:val="2FD327D9"/>
    <w:rsid w:val="2FD94771"/>
    <w:rsid w:val="32654859"/>
    <w:rsid w:val="32BA5BD3"/>
    <w:rsid w:val="331A4B9F"/>
    <w:rsid w:val="33375DBF"/>
    <w:rsid w:val="33E653E8"/>
    <w:rsid w:val="3691627C"/>
    <w:rsid w:val="37092B3E"/>
    <w:rsid w:val="38D26630"/>
    <w:rsid w:val="3AE77A75"/>
    <w:rsid w:val="3B277FFC"/>
    <w:rsid w:val="3E920F0F"/>
    <w:rsid w:val="3FB222DC"/>
    <w:rsid w:val="404C3A7C"/>
    <w:rsid w:val="407E0AA8"/>
    <w:rsid w:val="416C38DF"/>
    <w:rsid w:val="436B7FDA"/>
    <w:rsid w:val="44064FCD"/>
    <w:rsid w:val="44C7795C"/>
    <w:rsid w:val="45B253A3"/>
    <w:rsid w:val="46092479"/>
    <w:rsid w:val="467C66C9"/>
    <w:rsid w:val="47FE7124"/>
    <w:rsid w:val="490876A7"/>
    <w:rsid w:val="496A4CD3"/>
    <w:rsid w:val="49B86908"/>
    <w:rsid w:val="49E12C87"/>
    <w:rsid w:val="4B3D59C8"/>
    <w:rsid w:val="4BF70D33"/>
    <w:rsid w:val="4DA62092"/>
    <w:rsid w:val="4EF4496D"/>
    <w:rsid w:val="4F486310"/>
    <w:rsid w:val="507024A0"/>
    <w:rsid w:val="52451A0A"/>
    <w:rsid w:val="557030FD"/>
    <w:rsid w:val="56E22B76"/>
    <w:rsid w:val="56EF4352"/>
    <w:rsid w:val="580D5B53"/>
    <w:rsid w:val="58556BFC"/>
    <w:rsid w:val="593270CE"/>
    <w:rsid w:val="5A070C42"/>
    <w:rsid w:val="5A150BDD"/>
    <w:rsid w:val="5A7E1718"/>
    <w:rsid w:val="5AF87FEB"/>
    <w:rsid w:val="5B4F7984"/>
    <w:rsid w:val="5C332A84"/>
    <w:rsid w:val="5CFC0A5F"/>
    <w:rsid w:val="5E785667"/>
    <w:rsid w:val="5E8F65BA"/>
    <w:rsid w:val="60756874"/>
    <w:rsid w:val="607E7678"/>
    <w:rsid w:val="662034EA"/>
    <w:rsid w:val="663049B1"/>
    <w:rsid w:val="66720B4E"/>
    <w:rsid w:val="67596B94"/>
    <w:rsid w:val="68346E68"/>
    <w:rsid w:val="684E0A93"/>
    <w:rsid w:val="69411A88"/>
    <w:rsid w:val="6A0D0B87"/>
    <w:rsid w:val="6AB54AA0"/>
    <w:rsid w:val="6B6433C5"/>
    <w:rsid w:val="6EAC4C03"/>
    <w:rsid w:val="6FE1269F"/>
    <w:rsid w:val="70285E66"/>
    <w:rsid w:val="70765533"/>
    <w:rsid w:val="713B55CA"/>
    <w:rsid w:val="722B71FD"/>
    <w:rsid w:val="73B86637"/>
    <w:rsid w:val="75D352C7"/>
    <w:rsid w:val="773430B1"/>
    <w:rsid w:val="7742482B"/>
    <w:rsid w:val="77781FC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Document Map"/>
    <w:basedOn w:val="1"/>
    <w:link w:val="21"/>
    <w:semiHidden/>
    <w:unhideWhenUsed/>
    <w:qFormat/>
    <w:uiPriority w:val="99"/>
    <w:rPr>
      <w:rFonts w:ascii="宋体"/>
      <w:sz w:val="18"/>
      <w:szCs w:val="18"/>
    </w:rPr>
  </w:style>
  <w:style w:type="paragraph" w:styleId="3">
    <w:name w:val="annotation text"/>
    <w:basedOn w:val="1"/>
    <w:link w:val="23"/>
    <w:semiHidden/>
    <w:unhideWhenUsed/>
    <w:qFormat/>
    <w:uiPriority w:val="99"/>
  </w:style>
  <w:style w:type="paragraph" w:styleId="4">
    <w:name w:val="Date"/>
    <w:basedOn w:val="1"/>
    <w:next w:val="1"/>
    <w:link w:val="18"/>
    <w:semiHidden/>
    <w:unhideWhenUsed/>
    <w:qFormat/>
    <w:uiPriority w:val="99"/>
    <w:pPr>
      <w:ind w:left="100" w:leftChars="2500"/>
    </w:pPr>
  </w:style>
  <w:style w:type="paragraph" w:styleId="5">
    <w:name w:val="footer"/>
    <w:basedOn w:val="1"/>
    <w:link w:val="20"/>
    <w:unhideWhenUsed/>
    <w:qFormat/>
    <w:uiPriority w:val="99"/>
    <w:pPr>
      <w:tabs>
        <w:tab w:val="center" w:pos="4153"/>
        <w:tab w:val="right" w:pos="8306"/>
      </w:tabs>
      <w:snapToGrid w:val="0"/>
    </w:pPr>
    <w:rPr>
      <w:sz w:val="18"/>
      <w:szCs w:val="18"/>
    </w:rPr>
  </w:style>
  <w:style w:type="paragraph" w:styleId="6">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pPr>
  </w:style>
  <w:style w:type="paragraph" w:styleId="8">
    <w:name w:val="annotation subject"/>
    <w:basedOn w:val="3"/>
    <w:next w:val="3"/>
    <w:link w:val="24"/>
    <w:semiHidden/>
    <w:unhideWhenUsed/>
    <w:qFormat/>
    <w:uiPriority w:val="99"/>
    <w:rPr>
      <w:b/>
      <w:bCs/>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character" w:styleId="13">
    <w:name w:val="Hyperlink"/>
    <w:basedOn w:val="11"/>
    <w:qFormat/>
    <w:uiPriority w:val="0"/>
    <w:rPr>
      <w:color w:val="0000FF"/>
      <w:u w:val="single"/>
    </w:rPr>
  </w:style>
  <w:style w:type="character" w:styleId="14">
    <w:name w:val="annotation reference"/>
    <w:basedOn w:val="11"/>
    <w:semiHidden/>
    <w:unhideWhenUsed/>
    <w:qFormat/>
    <w:uiPriority w:val="99"/>
    <w:rPr>
      <w:sz w:val="21"/>
      <w:szCs w:val="21"/>
    </w:rPr>
  </w:style>
  <w:style w:type="paragraph" w:customStyle="1" w:styleId="15">
    <w:name w:val="Default"/>
    <w:link w:val="16"/>
    <w:qFormat/>
    <w:uiPriority w:val="0"/>
    <w:pPr>
      <w:widowControl w:val="0"/>
      <w:autoSpaceDE w:val="0"/>
      <w:autoSpaceDN w:val="0"/>
      <w:adjustRightInd w:val="0"/>
    </w:pPr>
    <w:rPr>
      <w:rFonts w:ascii="楷体_GB2312" w:hAnsi="Times New Roman" w:eastAsia="楷体_GB2312" w:cs="Times New Roman"/>
      <w:color w:val="000000"/>
      <w:sz w:val="24"/>
      <w:szCs w:val="24"/>
      <w:lang w:val="en-US" w:eastAsia="zh-CN" w:bidi="ar-SA"/>
    </w:rPr>
  </w:style>
  <w:style w:type="character" w:customStyle="1" w:styleId="16">
    <w:name w:val="Default Char"/>
    <w:link w:val="15"/>
    <w:qFormat/>
    <w:uiPriority w:val="0"/>
    <w:rPr>
      <w:rFonts w:ascii="楷体_GB2312" w:hAnsi="Times New Roman" w:eastAsia="楷体_GB2312" w:cs="Times New Roman"/>
      <w:color w:val="000000"/>
      <w:kern w:val="0"/>
      <w:sz w:val="24"/>
      <w:szCs w:val="24"/>
    </w:rPr>
  </w:style>
  <w:style w:type="paragraph" w:styleId="17">
    <w:name w:val="List Paragraph"/>
    <w:basedOn w:val="1"/>
    <w:qFormat/>
    <w:uiPriority w:val="34"/>
    <w:pPr>
      <w:widowControl w:val="0"/>
      <w:ind w:firstLine="420" w:firstLineChars="200"/>
      <w:jc w:val="both"/>
    </w:pPr>
    <w:rPr>
      <w:rFonts w:ascii="Calibri" w:hAnsi="Calibri"/>
      <w:kern w:val="2"/>
      <w:sz w:val="21"/>
      <w:szCs w:val="22"/>
    </w:rPr>
  </w:style>
  <w:style w:type="character" w:customStyle="1" w:styleId="18">
    <w:name w:val="日期 字符"/>
    <w:basedOn w:val="11"/>
    <w:link w:val="4"/>
    <w:semiHidden/>
    <w:qFormat/>
    <w:uiPriority w:val="99"/>
    <w:rPr>
      <w:rFonts w:ascii="Times New Roman" w:hAnsi="Times New Roman" w:eastAsia="宋体" w:cs="Times New Roman"/>
      <w:kern w:val="0"/>
      <w:sz w:val="24"/>
      <w:szCs w:val="24"/>
    </w:rPr>
  </w:style>
  <w:style w:type="character" w:customStyle="1" w:styleId="19">
    <w:name w:val="页眉 字符"/>
    <w:basedOn w:val="11"/>
    <w:link w:val="6"/>
    <w:qFormat/>
    <w:uiPriority w:val="99"/>
    <w:rPr>
      <w:rFonts w:ascii="Times New Roman" w:hAnsi="Times New Roman" w:eastAsia="宋体" w:cs="Times New Roman"/>
      <w:kern w:val="0"/>
      <w:sz w:val="18"/>
      <w:szCs w:val="18"/>
    </w:rPr>
  </w:style>
  <w:style w:type="character" w:customStyle="1" w:styleId="20">
    <w:name w:val="页脚 字符"/>
    <w:basedOn w:val="11"/>
    <w:link w:val="5"/>
    <w:qFormat/>
    <w:uiPriority w:val="99"/>
    <w:rPr>
      <w:rFonts w:ascii="Times New Roman" w:hAnsi="Times New Roman" w:eastAsia="宋体" w:cs="Times New Roman"/>
      <w:kern w:val="0"/>
      <w:sz w:val="18"/>
      <w:szCs w:val="18"/>
    </w:rPr>
  </w:style>
  <w:style w:type="character" w:customStyle="1" w:styleId="21">
    <w:name w:val="文档结构图 字符"/>
    <w:basedOn w:val="11"/>
    <w:link w:val="2"/>
    <w:semiHidden/>
    <w:qFormat/>
    <w:uiPriority w:val="99"/>
    <w:rPr>
      <w:rFonts w:ascii="宋体" w:hAnsi="Times New Roman" w:eastAsia="宋体" w:cs="Times New Roman"/>
      <w:kern w:val="0"/>
      <w:sz w:val="18"/>
      <w:szCs w:val="18"/>
    </w:rPr>
  </w:style>
  <w:style w:type="paragraph" w:customStyle="1" w:styleId="22">
    <w:name w:val="修订1"/>
    <w:hidden/>
    <w:semiHidden/>
    <w:qFormat/>
    <w:uiPriority w:val="99"/>
    <w:rPr>
      <w:rFonts w:ascii="Times New Roman" w:hAnsi="Times New Roman" w:eastAsia="宋体" w:cs="Times New Roman"/>
      <w:sz w:val="24"/>
      <w:szCs w:val="24"/>
      <w:lang w:val="en-US" w:eastAsia="zh-CN" w:bidi="ar-SA"/>
    </w:rPr>
  </w:style>
  <w:style w:type="character" w:customStyle="1" w:styleId="23">
    <w:name w:val="批注文字 字符"/>
    <w:basedOn w:val="11"/>
    <w:link w:val="3"/>
    <w:semiHidden/>
    <w:qFormat/>
    <w:uiPriority w:val="99"/>
    <w:rPr>
      <w:rFonts w:ascii="Times New Roman" w:hAnsi="Times New Roman" w:eastAsia="宋体" w:cs="Times New Roman"/>
      <w:sz w:val="24"/>
      <w:szCs w:val="24"/>
    </w:rPr>
  </w:style>
  <w:style w:type="character" w:customStyle="1" w:styleId="24">
    <w:name w:val="批注主题 字符"/>
    <w:basedOn w:val="23"/>
    <w:link w:val="8"/>
    <w:semiHidden/>
    <w:qFormat/>
    <w:uiPriority w:val="99"/>
    <w:rPr>
      <w:rFonts w:ascii="Times New Roman" w:hAnsi="Times New Roman" w:eastAsia="宋体" w:cs="Times New Roman"/>
      <w:b/>
      <w:bCs/>
      <w:sz w:val="24"/>
      <w:szCs w:val="24"/>
    </w:rPr>
  </w:style>
  <w:style w:type="paragraph" w:customStyle="1" w:styleId="25">
    <w:name w:val="修订2"/>
    <w:hidden/>
    <w:semiHidden/>
    <w:qFormat/>
    <w:uiPriority w:val="99"/>
    <w:rPr>
      <w:rFonts w:ascii="Times New Roman" w:hAnsi="Times New Roman" w:eastAsia="宋体" w:cs="Times New Roman"/>
      <w:sz w:val="24"/>
      <w:szCs w:val="24"/>
      <w:lang w:val="en-US" w:eastAsia="zh-CN" w:bidi="ar-SA"/>
    </w:rPr>
  </w:style>
  <w:style w:type="paragraph" w:customStyle="1" w:styleId="26">
    <w:name w:val="Revision"/>
    <w:hidden/>
    <w:semiHidden/>
    <w:qFormat/>
    <w:uiPriority w:val="99"/>
    <w:rPr>
      <w:rFonts w:ascii="Times New Roman" w:hAnsi="Times New Roman" w:eastAsia="宋体" w:cs="Times New Roman"/>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BC53291-24DE-4514-BADA-DD9B372B6E1B}">
  <ds:schemaRefs/>
</ds:datastoreItem>
</file>

<file path=docProps/app.xml><?xml version="1.0" encoding="utf-8"?>
<Properties xmlns="http://schemas.openxmlformats.org/officeDocument/2006/extended-properties" xmlns:vt="http://schemas.openxmlformats.org/officeDocument/2006/docPropsVTypes">
  <Template>Normal</Template>
  <Pages>6</Pages>
  <Words>686</Words>
  <Characters>3916</Characters>
  <Lines>32</Lines>
  <Paragraphs>9</Paragraphs>
  <TotalTime>5</TotalTime>
  <ScaleCrop>false</ScaleCrop>
  <LinksUpToDate>false</LinksUpToDate>
  <CharactersWithSpaces>4593</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2022-07-15T05:45:00Z</dcterms:created>
  <dc:creator>admin</dc:creator>
  <cp:lastModifiedBy>杨易</cp:lastModifiedBy>
  <cp:lastPrinted>2019-06-12T08:48:00Z</cp:lastPrinted>
  <dcterms:modified xsi:type="dcterms:W3CDTF">2022-07-15T07:16:28Z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03B68A6EE39D4D97857BB20E45486772</vt:lpwstr>
  </property>
</Properties>
</file>